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47B6C" w14:textId="77777777" w:rsidR="00EE5DD1" w:rsidRPr="00685CDB" w:rsidRDefault="00EE5DD1" w:rsidP="003704A4">
      <w:pPr>
        <w:pStyle w:val="p1"/>
        <w:spacing w:line="360" w:lineRule="auto"/>
        <w:rPr>
          <w:rFonts w:ascii="Calibri" w:hAnsi="Calibri"/>
        </w:rPr>
      </w:pPr>
      <w:r w:rsidRPr="00685CDB">
        <w:rPr>
          <w:rStyle w:val="s1"/>
          <w:rFonts w:ascii="Calibri" w:hAnsi="Calibri"/>
        </w:rPr>
        <w:t>Bilingualism and multilingualism refer to the use of two or more languages by an individual or within a community. Bilingualism generally describes competence in two languages, whereas multilingualism involves the use of three or more languages, with proficiency levels varying according to context and function (Grosjean, 2010). In the United Kingdom and globally, these linguistic practices are increasingly common due to migration, globalisation, education policies, and digital communication (Baker, 2011).</w:t>
      </w:r>
    </w:p>
    <w:p w14:paraId="6788FFEE" w14:textId="77777777" w:rsidR="00EE5DD1" w:rsidRPr="00685CDB" w:rsidRDefault="00EE5DD1" w:rsidP="003704A4">
      <w:pPr>
        <w:pStyle w:val="p1"/>
        <w:spacing w:line="360" w:lineRule="auto"/>
        <w:rPr>
          <w:rFonts w:ascii="Calibri" w:hAnsi="Calibri"/>
        </w:rPr>
      </w:pPr>
      <w:r w:rsidRPr="00685CDB">
        <w:rPr>
          <w:rStyle w:val="s1"/>
          <w:rFonts w:ascii="Calibri" w:hAnsi="Calibri"/>
        </w:rPr>
        <w:t>This paper provides an overview of bilingualism and multilingualism by outlining key definitions and examining how these phenomena develop in social and educational contexts. It also considers the cognitive, cultural, and societal dimensions of using multiple languages, including both benefits and challenges. By exploring these themes, the discussion aims to establish a clear foundation for understanding the role of bilingualism and multilingualism in contemporary societies.</w:t>
      </w:r>
    </w:p>
    <w:p w14:paraId="40A5FD85" w14:textId="77777777" w:rsidR="00973FF4" w:rsidRPr="00685CDB" w:rsidRDefault="00973FF4" w:rsidP="003704A4">
      <w:pPr>
        <w:pStyle w:val="p1"/>
        <w:spacing w:line="360" w:lineRule="auto"/>
        <w:rPr>
          <w:rFonts w:ascii="Calibri" w:hAnsi="Calibri"/>
        </w:rPr>
      </w:pPr>
      <w:r w:rsidRPr="00685CDB">
        <w:rPr>
          <w:rStyle w:val="s1"/>
          <w:rFonts w:ascii="Calibri" w:hAnsi="Calibri"/>
        </w:rPr>
        <w:t>Research literature strongly emphasises the benefits of bilingualism and multilingualism for cognitive, educational, and social development. According to Bialystok (2011), individuals who use more than one language develop greater metalinguistic awareness, enabling them to think about language as a system and apply this understanding across learning contexts. This enhanced awareness is particularly valuable in educational settings, where language underpins achievement in all curriculum areas.</w:t>
      </w:r>
    </w:p>
    <w:p w14:paraId="623B9A8F" w14:textId="4890E84F" w:rsidR="00973FF4" w:rsidRPr="00685CDB" w:rsidRDefault="00973FF4" w:rsidP="003704A4">
      <w:pPr>
        <w:pStyle w:val="p1"/>
        <w:spacing w:line="360" w:lineRule="auto"/>
        <w:rPr>
          <w:rFonts w:ascii="Calibri" w:hAnsi="Calibri"/>
        </w:rPr>
      </w:pPr>
      <w:r w:rsidRPr="00685CDB">
        <w:rPr>
          <w:rStyle w:val="s1"/>
          <w:rFonts w:ascii="Calibri" w:hAnsi="Calibri"/>
        </w:rPr>
        <w:t xml:space="preserve">In the UK context, learners identified as speaking English as an Additional Language (EAL) and Welsh as an Additional Language (WAL) form an increasingly significant part of the school population. </w:t>
      </w:r>
      <w:proofErr w:type="spellStart"/>
      <w:r w:rsidRPr="00685CDB">
        <w:rPr>
          <w:rStyle w:val="s1"/>
          <w:rFonts w:ascii="Calibri" w:hAnsi="Calibri"/>
        </w:rPr>
        <w:t>Conteh</w:t>
      </w:r>
      <w:proofErr w:type="spellEnd"/>
      <w:r w:rsidRPr="00685CDB">
        <w:rPr>
          <w:rStyle w:val="s1"/>
          <w:rFonts w:ascii="Calibri" w:hAnsi="Calibri"/>
        </w:rPr>
        <w:t xml:space="preserve"> (2018) argues that recognising and valuing learners home languages promotes inclusion, identity development, and academic success. Rather than viewing EAL or WAL as deficits, schools that adopt asset</w:t>
      </w:r>
      <w:r w:rsidR="00F21D7A">
        <w:rPr>
          <w:rStyle w:val="s1"/>
          <w:rFonts w:ascii="Calibri" w:hAnsi="Calibri"/>
        </w:rPr>
        <w:t xml:space="preserve"> </w:t>
      </w:r>
      <w:r w:rsidRPr="00685CDB">
        <w:rPr>
          <w:rStyle w:val="s1"/>
          <w:rFonts w:ascii="Calibri" w:hAnsi="Calibri"/>
        </w:rPr>
        <w:t>based approaches enable pupils to transfer skills and knowledge across languages.</w:t>
      </w:r>
    </w:p>
    <w:p w14:paraId="16CBD35B" w14:textId="24F04FE3" w:rsidR="00973FF4" w:rsidRPr="00685CDB" w:rsidRDefault="00973FF4" w:rsidP="003704A4">
      <w:pPr>
        <w:pStyle w:val="p1"/>
        <w:spacing w:line="360" w:lineRule="auto"/>
        <w:rPr>
          <w:rFonts w:ascii="Calibri" w:hAnsi="Calibri"/>
        </w:rPr>
      </w:pPr>
      <w:r w:rsidRPr="00685CDB">
        <w:rPr>
          <w:rStyle w:val="s1"/>
          <w:rFonts w:ascii="Calibri" w:hAnsi="Calibri"/>
        </w:rPr>
        <w:t xml:space="preserve">From a neurological perspective, bilingualism has been linked to positive brain development. Bialystok, </w:t>
      </w:r>
      <w:proofErr w:type="spellStart"/>
      <w:r w:rsidRPr="00685CDB">
        <w:rPr>
          <w:rStyle w:val="s1"/>
          <w:rFonts w:ascii="Calibri" w:hAnsi="Calibri"/>
        </w:rPr>
        <w:t>Craik</w:t>
      </w:r>
      <w:proofErr w:type="spellEnd"/>
      <w:r w:rsidRPr="00685CDB">
        <w:rPr>
          <w:rStyle w:val="s1"/>
          <w:rFonts w:ascii="Calibri" w:hAnsi="Calibri"/>
        </w:rPr>
        <w:t xml:space="preserve"> and </w:t>
      </w:r>
      <w:proofErr w:type="spellStart"/>
      <w:r w:rsidRPr="00685CDB">
        <w:rPr>
          <w:rStyle w:val="s1"/>
          <w:rFonts w:ascii="Calibri" w:hAnsi="Calibri"/>
        </w:rPr>
        <w:t>Luk</w:t>
      </w:r>
      <w:proofErr w:type="spellEnd"/>
      <w:r w:rsidRPr="00685CDB">
        <w:rPr>
          <w:rStyle w:val="s1"/>
          <w:rFonts w:ascii="Calibri" w:hAnsi="Calibri"/>
        </w:rPr>
        <w:t xml:space="preserve"> (2012) explain that the constant management of multiple languages strengthens executive functioning, including attention control, working memory, and cognitive flexibility. These skills contribute directly to divergent thinking, defined as the ability to generate multiple ideas or solutions. As Baker (2011) notes, bilingual individuals often show greater creativity and problem</w:t>
      </w:r>
      <w:r w:rsidR="00F21D7A">
        <w:rPr>
          <w:rStyle w:val="s1"/>
          <w:rFonts w:ascii="Calibri" w:hAnsi="Calibri"/>
        </w:rPr>
        <w:t xml:space="preserve"> </w:t>
      </w:r>
      <w:r w:rsidRPr="00685CDB">
        <w:rPr>
          <w:rStyle w:val="s1"/>
          <w:rFonts w:ascii="Calibri" w:hAnsi="Calibri"/>
        </w:rPr>
        <w:t>solving capacity due to their experience navigating different linguistic and cultural systems.</w:t>
      </w:r>
    </w:p>
    <w:p w14:paraId="2CFB0346" w14:textId="476584F0" w:rsidR="00973FF4" w:rsidRPr="00685CDB" w:rsidRDefault="00973FF4" w:rsidP="003704A4">
      <w:pPr>
        <w:pStyle w:val="p1"/>
        <w:spacing w:line="360" w:lineRule="auto"/>
        <w:rPr>
          <w:rFonts w:ascii="Calibri" w:hAnsi="Calibri"/>
        </w:rPr>
      </w:pPr>
      <w:r w:rsidRPr="00685CDB">
        <w:rPr>
          <w:rStyle w:val="s1"/>
          <w:rFonts w:ascii="Calibri" w:hAnsi="Calibri"/>
        </w:rPr>
        <w:t>To support these outcomes, structured frameworks and programmes have been introduced. In England, EAL frameworks guide schools in embedding inclusive, language</w:t>
      </w:r>
      <w:r w:rsidR="00F21D7A">
        <w:rPr>
          <w:rStyle w:val="s1"/>
          <w:rFonts w:ascii="Calibri" w:hAnsi="Calibri"/>
        </w:rPr>
        <w:t xml:space="preserve"> </w:t>
      </w:r>
      <w:r w:rsidRPr="00685CDB">
        <w:rPr>
          <w:rStyle w:val="s1"/>
          <w:rFonts w:ascii="Calibri" w:hAnsi="Calibri"/>
        </w:rPr>
        <w:t xml:space="preserve">aware practices, while in Wales the </w:t>
      </w:r>
      <w:r w:rsidRPr="00685CDB">
        <w:rPr>
          <w:rStyle w:val="s2"/>
          <w:rFonts w:ascii="Calibri" w:hAnsi="Calibri"/>
        </w:rPr>
        <w:t>Curriculum for Wales</w:t>
      </w:r>
      <w:r w:rsidRPr="00685CDB">
        <w:rPr>
          <w:rStyle w:val="s1"/>
          <w:rFonts w:ascii="Calibri" w:hAnsi="Calibri"/>
        </w:rPr>
        <w:t xml:space="preserve"> promotes bilingualism and multilingualism as central to learning. These frameworks ensure that linguistic diversity is supported systematically, allowing learners to fully benefit from bilingual and multilingual education.</w:t>
      </w:r>
    </w:p>
    <w:p w14:paraId="5AB3D568" w14:textId="31E36F0B" w:rsidR="00524CE3" w:rsidRPr="00685CDB" w:rsidRDefault="00524CE3" w:rsidP="003704A4">
      <w:pPr>
        <w:pStyle w:val="p1"/>
        <w:spacing w:line="360" w:lineRule="auto"/>
        <w:rPr>
          <w:rFonts w:ascii="Calibri" w:hAnsi="Calibri"/>
        </w:rPr>
      </w:pPr>
      <w:r w:rsidRPr="00685CDB">
        <w:rPr>
          <w:rStyle w:val="s1"/>
          <w:rFonts w:ascii="Calibri" w:hAnsi="Calibri"/>
        </w:rPr>
        <w:t xml:space="preserve">This discussion has highlighted the key benefits of bilingualism and multilingualism, particularly in relation to cognitive development, educational inclusion, and creative thinking. The evidence demonstrates that learners who use more than one language often develop stronger metalinguistic awareness, enhanced executive functioning, and greater capacity for divergent thinking. In the UK context, effective support for learners of English as an Additional Language (EAL) and Welsh as an Additional Language (WAL) is essential in ensuring equitable access to learning and positive educational outcomes. Frameworks such as the National Curriculum in England and the </w:t>
      </w:r>
      <w:r w:rsidRPr="00685CDB">
        <w:rPr>
          <w:rStyle w:val="s2"/>
          <w:rFonts w:ascii="Calibri" w:hAnsi="Calibri"/>
        </w:rPr>
        <w:t>Curriculum for Wales</w:t>
      </w:r>
      <w:r w:rsidRPr="00685CDB">
        <w:rPr>
          <w:rStyle w:val="s1"/>
          <w:rFonts w:ascii="Calibri" w:hAnsi="Calibri"/>
        </w:rPr>
        <w:t xml:space="preserve"> play an important role in embedding inclusive, language</w:t>
      </w:r>
      <w:r w:rsidR="0047632D">
        <w:rPr>
          <w:rStyle w:val="s1"/>
          <w:rFonts w:ascii="Calibri" w:hAnsi="Calibri"/>
        </w:rPr>
        <w:t xml:space="preserve"> </w:t>
      </w:r>
      <w:r w:rsidRPr="00685CDB">
        <w:rPr>
          <w:rStyle w:val="s1"/>
          <w:rFonts w:ascii="Calibri" w:hAnsi="Calibri"/>
        </w:rPr>
        <w:t>aware practices across schools.</w:t>
      </w:r>
    </w:p>
    <w:p w14:paraId="12F61A7B" w14:textId="73EE96C1" w:rsidR="00524CE3" w:rsidRPr="00685CDB" w:rsidRDefault="00524CE3" w:rsidP="003704A4">
      <w:pPr>
        <w:pStyle w:val="p1"/>
        <w:spacing w:line="360" w:lineRule="auto"/>
        <w:rPr>
          <w:rFonts w:ascii="Calibri" w:hAnsi="Calibri"/>
        </w:rPr>
      </w:pPr>
      <w:r w:rsidRPr="00685CDB">
        <w:rPr>
          <w:rStyle w:val="s1"/>
          <w:rFonts w:ascii="Calibri" w:hAnsi="Calibri"/>
        </w:rPr>
        <w:t>Future practice should continue to adopt asset-based approaches that value learners</w:t>
      </w:r>
      <w:r w:rsidR="0047632D">
        <w:rPr>
          <w:rStyle w:val="s1"/>
          <w:rFonts w:ascii="Calibri" w:hAnsi="Calibri"/>
        </w:rPr>
        <w:t xml:space="preserve"> </w:t>
      </w:r>
      <w:r w:rsidRPr="00685CDB">
        <w:rPr>
          <w:rStyle w:val="s1"/>
          <w:rFonts w:ascii="Calibri" w:hAnsi="Calibri"/>
        </w:rPr>
        <w:t xml:space="preserve"> home languages and cultural identities. Schools and practitioners should prioritise staff training, whole</w:t>
      </w:r>
      <w:r w:rsidR="0047632D">
        <w:rPr>
          <w:rStyle w:val="s1"/>
          <w:rFonts w:ascii="Calibri" w:hAnsi="Calibri"/>
        </w:rPr>
        <w:t xml:space="preserve"> </w:t>
      </w:r>
      <w:r w:rsidRPr="00685CDB">
        <w:rPr>
          <w:rStyle w:val="s1"/>
          <w:rFonts w:ascii="Calibri" w:hAnsi="Calibri"/>
        </w:rPr>
        <w:t>school language policies, and collaborative engagement with families. By strengthening these practices, educational settings can further support bilingual and multilingual learners and maximise the cognitive, social, and educational benefits already identified, without introducing new theoretical perspectives.</w:t>
      </w:r>
    </w:p>
    <w:p w14:paraId="7C51C84E" w14:textId="77777777" w:rsidR="00EE5DD1" w:rsidRDefault="00EE5DD1" w:rsidP="003704A4">
      <w:pPr>
        <w:spacing w:line="360" w:lineRule="auto"/>
        <w:rPr>
          <w:rFonts w:ascii="Calibri" w:hAnsi="Calibri"/>
        </w:rPr>
      </w:pPr>
    </w:p>
    <w:p w14:paraId="1786FE85" w14:textId="77777777" w:rsidR="00A51DA5" w:rsidRDefault="00A51DA5" w:rsidP="003704A4">
      <w:pPr>
        <w:spacing w:line="360" w:lineRule="auto"/>
        <w:rPr>
          <w:rFonts w:ascii="Calibri" w:hAnsi="Calibri"/>
        </w:rPr>
      </w:pPr>
    </w:p>
    <w:p w14:paraId="74A84ECF" w14:textId="77777777" w:rsidR="00A51DA5" w:rsidRDefault="00A51DA5" w:rsidP="003704A4">
      <w:pPr>
        <w:spacing w:line="360" w:lineRule="auto"/>
        <w:rPr>
          <w:rFonts w:ascii="Calibri" w:hAnsi="Calibri"/>
        </w:rPr>
      </w:pPr>
    </w:p>
    <w:p w14:paraId="0CF562CB" w14:textId="77777777" w:rsidR="00A51DA5" w:rsidRDefault="00A51DA5" w:rsidP="003704A4">
      <w:pPr>
        <w:spacing w:line="360" w:lineRule="auto"/>
        <w:rPr>
          <w:rFonts w:ascii="Calibri" w:hAnsi="Calibri"/>
        </w:rPr>
      </w:pPr>
    </w:p>
    <w:p w14:paraId="524CA92D" w14:textId="77777777" w:rsidR="00A51DA5" w:rsidRDefault="00A51DA5" w:rsidP="003704A4">
      <w:pPr>
        <w:spacing w:line="360" w:lineRule="auto"/>
        <w:rPr>
          <w:rFonts w:ascii="Calibri" w:hAnsi="Calibri"/>
        </w:rPr>
      </w:pPr>
    </w:p>
    <w:p w14:paraId="264DBC68" w14:textId="77777777" w:rsidR="00A51DA5" w:rsidRDefault="00A51DA5" w:rsidP="003704A4">
      <w:pPr>
        <w:spacing w:line="360" w:lineRule="auto"/>
        <w:rPr>
          <w:rFonts w:ascii="Calibri" w:hAnsi="Calibri"/>
        </w:rPr>
      </w:pPr>
    </w:p>
    <w:p w14:paraId="650A33FD" w14:textId="77777777" w:rsidR="00A51DA5" w:rsidRDefault="00A51DA5" w:rsidP="003704A4">
      <w:pPr>
        <w:spacing w:line="360" w:lineRule="auto"/>
        <w:rPr>
          <w:rFonts w:ascii="Calibri" w:hAnsi="Calibri"/>
        </w:rPr>
      </w:pPr>
    </w:p>
    <w:p w14:paraId="705AAC3A" w14:textId="77777777" w:rsidR="00A51DA5" w:rsidRDefault="00A51DA5" w:rsidP="003704A4">
      <w:pPr>
        <w:spacing w:line="360" w:lineRule="auto"/>
        <w:rPr>
          <w:rFonts w:ascii="Calibri" w:hAnsi="Calibri"/>
        </w:rPr>
      </w:pPr>
    </w:p>
    <w:p w14:paraId="2699A61C" w14:textId="77777777" w:rsidR="00A51DA5" w:rsidRDefault="00A51DA5" w:rsidP="003704A4">
      <w:pPr>
        <w:spacing w:line="360" w:lineRule="auto"/>
        <w:rPr>
          <w:rFonts w:ascii="Calibri" w:hAnsi="Calibri"/>
        </w:rPr>
      </w:pPr>
    </w:p>
    <w:p w14:paraId="0D103B1B" w14:textId="77777777" w:rsidR="00A51DA5" w:rsidRDefault="00A51DA5" w:rsidP="003704A4">
      <w:pPr>
        <w:spacing w:line="360" w:lineRule="auto"/>
        <w:rPr>
          <w:rFonts w:ascii="Calibri" w:hAnsi="Calibri"/>
        </w:rPr>
      </w:pPr>
    </w:p>
    <w:p w14:paraId="2FD72C8E" w14:textId="77777777" w:rsidR="00A51DA5" w:rsidRDefault="00A51DA5" w:rsidP="003704A4">
      <w:pPr>
        <w:spacing w:line="360" w:lineRule="auto"/>
        <w:rPr>
          <w:rFonts w:ascii="Calibri" w:hAnsi="Calibri"/>
        </w:rPr>
      </w:pPr>
    </w:p>
    <w:p w14:paraId="42EE5D46" w14:textId="77777777" w:rsidR="00A51DA5" w:rsidRDefault="00A51DA5" w:rsidP="003704A4">
      <w:pPr>
        <w:spacing w:line="360" w:lineRule="auto"/>
        <w:rPr>
          <w:rFonts w:ascii="Calibri" w:hAnsi="Calibri"/>
        </w:rPr>
      </w:pPr>
    </w:p>
    <w:p w14:paraId="566DF02A" w14:textId="77777777" w:rsidR="00A51DA5" w:rsidRDefault="00A51DA5" w:rsidP="003704A4">
      <w:pPr>
        <w:spacing w:line="360" w:lineRule="auto"/>
        <w:rPr>
          <w:rFonts w:ascii="Calibri" w:hAnsi="Calibri"/>
        </w:rPr>
      </w:pPr>
    </w:p>
    <w:p w14:paraId="62574B79" w14:textId="77777777" w:rsidR="00A51DA5" w:rsidRDefault="00A51DA5" w:rsidP="003704A4">
      <w:pPr>
        <w:spacing w:line="360" w:lineRule="auto"/>
        <w:rPr>
          <w:rFonts w:ascii="Calibri" w:hAnsi="Calibri"/>
        </w:rPr>
      </w:pPr>
    </w:p>
    <w:p w14:paraId="2DB1291C" w14:textId="77777777" w:rsidR="00A51DA5" w:rsidRDefault="00A51DA5" w:rsidP="003704A4">
      <w:pPr>
        <w:spacing w:line="360" w:lineRule="auto"/>
        <w:rPr>
          <w:rFonts w:ascii="Calibri" w:hAnsi="Calibri"/>
        </w:rPr>
      </w:pPr>
    </w:p>
    <w:p w14:paraId="374B7575" w14:textId="77777777" w:rsidR="00A51DA5" w:rsidRDefault="00A51DA5" w:rsidP="003704A4">
      <w:pPr>
        <w:spacing w:line="360" w:lineRule="auto"/>
        <w:rPr>
          <w:rFonts w:ascii="Calibri" w:hAnsi="Calibri"/>
        </w:rPr>
      </w:pPr>
    </w:p>
    <w:p w14:paraId="6038DC28" w14:textId="77777777" w:rsidR="00A51DA5" w:rsidRDefault="00A51DA5" w:rsidP="003704A4">
      <w:pPr>
        <w:spacing w:line="360" w:lineRule="auto"/>
        <w:rPr>
          <w:rFonts w:ascii="Calibri" w:hAnsi="Calibri"/>
        </w:rPr>
      </w:pPr>
    </w:p>
    <w:p w14:paraId="6C726FE0" w14:textId="77777777" w:rsidR="00A51DA5" w:rsidRDefault="00A51DA5" w:rsidP="003704A4">
      <w:pPr>
        <w:spacing w:line="360" w:lineRule="auto"/>
        <w:rPr>
          <w:rFonts w:ascii="Calibri" w:hAnsi="Calibri"/>
        </w:rPr>
      </w:pPr>
    </w:p>
    <w:p w14:paraId="52C836B8" w14:textId="77777777" w:rsidR="00A51DA5" w:rsidRDefault="00A51DA5" w:rsidP="003704A4">
      <w:pPr>
        <w:spacing w:line="360" w:lineRule="auto"/>
        <w:rPr>
          <w:rFonts w:ascii="Calibri" w:hAnsi="Calibri"/>
        </w:rPr>
      </w:pPr>
    </w:p>
    <w:p w14:paraId="6198F62B" w14:textId="77777777" w:rsidR="00A51DA5" w:rsidRDefault="00A51DA5">
      <w:pPr>
        <w:pStyle w:val="p1"/>
      </w:pPr>
      <w:r>
        <w:rPr>
          <w:rStyle w:val="s1"/>
        </w:rPr>
        <w:t xml:space="preserve">Baker, C. (2011) </w:t>
      </w:r>
      <w:r>
        <w:rPr>
          <w:rStyle w:val="s2"/>
        </w:rPr>
        <w:t>Foundations of bilingual education and bilingualism</w:t>
      </w:r>
      <w:r>
        <w:rPr>
          <w:rStyle w:val="s1"/>
        </w:rPr>
        <w:t xml:space="preserve">. 5th </w:t>
      </w:r>
      <w:proofErr w:type="spellStart"/>
      <w:r>
        <w:rPr>
          <w:rStyle w:val="s1"/>
        </w:rPr>
        <w:t>edn</w:t>
      </w:r>
      <w:proofErr w:type="spellEnd"/>
      <w:r>
        <w:rPr>
          <w:rStyle w:val="s1"/>
        </w:rPr>
        <w:t>. Bristol: Multilingual Matters.</w:t>
      </w:r>
    </w:p>
    <w:p w14:paraId="4428AD22" w14:textId="77777777" w:rsidR="00A51DA5" w:rsidRDefault="00A51DA5">
      <w:pPr>
        <w:pStyle w:val="p2"/>
      </w:pPr>
    </w:p>
    <w:p w14:paraId="6786BF33" w14:textId="77777777" w:rsidR="00A51DA5" w:rsidRDefault="00A51DA5">
      <w:pPr>
        <w:pStyle w:val="p1"/>
      </w:pPr>
      <w:r>
        <w:rPr>
          <w:rStyle w:val="s1"/>
        </w:rPr>
        <w:t xml:space="preserve">Bialystok, E. (2001) </w:t>
      </w:r>
      <w:r>
        <w:rPr>
          <w:rStyle w:val="s2"/>
        </w:rPr>
        <w:t>Bilingualism in development: Language, literacy, and cognition</w:t>
      </w:r>
      <w:r>
        <w:rPr>
          <w:rStyle w:val="s1"/>
        </w:rPr>
        <w:t>. Cambridge: Cambridge University Press.</w:t>
      </w:r>
    </w:p>
    <w:p w14:paraId="3761FD2A" w14:textId="77777777" w:rsidR="00A51DA5" w:rsidRDefault="00A51DA5">
      <w:pPr>
        <w:pStyle w:val="p2"/>
      </w:pPr>
    </w:p>
    <w:p w14:paraId="453A14D7" w14:textId="77777777" w:rsidR="00A51DA5" w:rsidRDefault="00A51DA5">
      <w:pPr>
        <w:pStyle w:val="p1"/>
      </w:pPr>
      <w:r>
        <w:rPr>
          <w:rStyle w:val="s1"/>
        </w:rPr>
        <w:t xml:space="preserve">Bialystok, E. (2011) ‘Reshaping the mind: The benefits of bilingualism’, </w:t>
      </w:r>
      <w:r>
        <w:rPr>
          <w:rStyle w:val="s2"/>
        </w:rPr>
        <w:t>Canadian Journal of Experimental Psychology</w:t>
      </w:r>
      <w:r>
        <w:rPr>
          <w:rStyle w:val="s1"/>
        </w:rPr>
        <w:t>, 65(4), pp. 229–235.</w:t>
      </w:r>
    </w:p>
    <w:p w14:paraId="603E5B1D" w14:textId="77777777" w:rsidR="00A51DA5" w:rsidRDefault="00A51DA5">
      <w:pPr>
        <w:pStyle w:val="p2"/>
      </w:pPr>
    </w:p>
    <w:p w14:paraId="533A4DA9" w14:textId="77777777" w:rsidR="00A51DA5" w:rsidRDefault="00A51DA5">
      <w:pPr>
        <w:pStyle w:val="p1"/>
      </w:pPr>
      <w:r>
        <w:rPr>
          <w:rStyle w:val="s1"/>
        </w:rPr>
        <w:t xml:space="preserve">Bialystok, E., </w:t>
      </w:r>
      <w:proofErr w:type="spellStart"/>
      <w:r>
        <w:rPr>
          <w:rStyle w:val="s1"/>
        </w:rPr>
        <w:t>Craik</w:t>
      </w:r>
      <w:proofErr w:type="spellEnd"/>
      <w:r>
        <w:rPr>
          <w:rStyle w:val="s1"/>
        </w:rPr>
        <w:t xml:space="preserve">, F.I.M. and </w:t>
      </w:r>
      <w:proofErr w:type="spellStart"/>
      <w:r>
        <w:rPr>
          <w:rStyle w:val="s1"/>
        </w:rPr>
        <w:t>Luk</w:t>
      </w:r>
      <w:proofErr w:type="spellEnd"/>
      <w:r>
        <w:rPr>
          <w:rStyle w:val="s1"/>
        </w:rPr>
        <w:t xml:space="preserve">, G. (2012) ‘Bilingualism: Consequences for mind and brain’, </w:t>
      </w:r>
      <w:r>
        <w:rPr>
          <w:rStyle w:val="s2"/>
        </w:rPr>
        <w:t>Trends in Cognitive Sciences</w:t>
      </w:r>
      <w:r>
        <w:rPr>
          <w:rStyle w:val="s1"/>
        </w:rPr>
        <w:t>, 16(4), pp. 240–250.</w:t>
      </w:r>
    </w:p>
    <w:p w14:paraId="7EC23C55" w14:textId="77777777" w:rsidR="00A51DA5" w:rsidRDefault="00A51DA5">
      <w:pPr>
        <w:pStyle w:val="p2"/>
      </w:pPr>
    </w:p>
    <w:p w14:paraId="7C919750" w14:textId="77777777" w:rsidR="00A51DA5" w:rsidRDefault="00A51DA5">
      <w:pPr>
        <w:pStyle w:val="p1"/>
      </w:pPr>
      <w:proofErr w:type="spellStart"/>
      <w:r>
        <w:rPr>
          <w:rStyle w:val="s1"/>
        </w:rPr>
        <w:t>Conteh</w:t>
      </w:r>
      <w:proofErr w:type="spellEnd"/>
      <w:r>
        <w:rPr>
          <w:rStyle w:val="s1"/>
        </w:rPr>
        <w:t xml:space="preserve">, J. (2018) </w:t>
      </w:r>
      <w:r>
        <w:rPr>
          <w:rStyle w:val="s2"/>
        </w:rPr>
        <w:t>Researching English as an additional language</w:t>
      </w:r>
      <w:r>
        <w:rPr>
          <w:rStyle w:val="s1"/>
        </w:rPr>
        <w:t>. London: Bloomsbury.</w:t>
      </w:r>
    </w:p>
    <w:p w14:paraId="7866E3CD" w14:textId="77777777" w:rsidR="00A51DA5" w:rsidRDefault="00A51DA5">
      <w:pPr>
        <w:pStyle w:val="p2"/>
      </w:pPr>
    </w:p>
    <w:p w14:paraId="1E3E2689" w14:textId="77777777" w:rsidR="00A51DA5" w:rsidRDefault="00A51DA5">
      <w:pPr>
        <w:pStyle w:val="p1"/>
      </w:pPr>
      <w:r>
        <w:rPr>
          <w:rStyle w:val="s1"/>
        </w:rPr>
        <w:t xml:space="preserve">Cummins, J. (2000) </w:t>
      </w:r>
      <w:r>
        <w:rPr>
          <w:rStyle w:val="s2"/>
        </w:rPr>
        <w:t>Language, power and pedagogy: Bilingual children in the crossfire</w:t>
      </w:r>
      <w:r>
        <w:rPr>
          <w:rStyle w:val="s1"/>
        </w:rPr>
        <w:t xml:space="preserve">. </w:t>
      </w:r>
      <w:proofErr w:type="spellStart"/>
      <w:r>
        <w:rPr>
          <w:rStyle w:val="s1"/>
        </w:rPr>
        <w:t>Clevedon</w:t>
      </w:r>
      <w:proofErr w:type="spellEnd"/>
      <w:r>
        <w:rPr>
          <w:rStyle w:val="s1"/>
        </w:rPr>
        <w:t>: Multilingual Matters.</w:t>
      </w:r>
    </w:p>
    <w:p w14:paraId="5159215F" w14:textId="77777777" w:rsidR="00A51DA5" w:rsidRDefault="00A51DA5">
      <w:pPr>
        <w:pStyle w:val="p2"/>
      </w:pPr>
    </w:p>
    <w:p w14:paraId="63621DEA" w14:textId="77777777" w:rsidR="00A51DA5" w:rsidRDefault="00A51DA5">
      <w:pPr>
        <w:pStyle w:val="p1"/>
      </w:pPr>
      <w:r>
        <w:rPr>
          <w:rStyle w:val="s1"/>
        </w:rPr>
        <w:t xml:space="preserve">Department for Education (DfE) (2016) </w:t>
      </w:r>
      <w:r>
        <w:rPr>
          <w:rStyle w:val="s2"/>
        </w:rPr>
        <w:t>The national curriculum in England: Framework document</w:t>
      </w:r>
      <w:r>
        <w:rPr>
          <w:rStyle w:val="s1"/>
        </w:rPr>
        <w:t>. London: DfE.</w:t>
      </w:r>
    </w:p>
    <w:p w14:paraId="46228322" w14:textId="77777777" w:rsidR="00A51DA5" w:rsidRDefault="00A51DA5">
      <w:pPr>
        <w:pStyle w:val="p2"/>
      </w:pPr>
    </w:p>
    <w:p w14:paraId="350D831F" w14:textId="77777777" w:rsidR="00A51DA5" w:rsidRDefault="00A51DA5">
      <w:pPr>
        <w:pStyle w:val="p1"/>
      </w:pPr>
      <w:r>
        <w:rPr>
          <w:rStyle w:val="s1"/>
        </w:rPr>
        <w:t xml:space="preserve">Grosjean, F. (2010) </w:t>
      </w:r>
      <w:r>
        <w:rPr>
          <w:rStyle w:val="s2"/>
        </w:rPr>
        <w:t>Bilingual: Life and reality</w:t>
      </w:r>
      <w:r>
        <w:rPr>
          <w:rStyle w:val="s1"/>
        </w:rPr>
        <w:t>. Cambridge, MA: Harvard University Press.</w:t>
      </w:r>
    </w:p>
    <w:p w14:paraId="626C18F2" w14:textId="77777777" w:rsidR="00A51DA5" w:rsidRDefault="00A51DA5">
      <w:pPr>
        <w:pStyle w:val="p2"/>
      </w:pPr>
    </w:p>
    <w:p w14:paraId="6805F033" w14:textId="77777777" w:rsidR="00A51DA5" w:rsidRDefault="00A51DA5">
      <w:pPr>
        <w:pStyle w:val="p1"/>
      </w:pPr>
      <w:r>
        <w:rPr>
          <w:rStyle w:val="s1"/>
        </w:rPr>
        <w:t xml:space="preserve">Organisation for Economic Co-operation and Development (OECD) (2019) </w:t>
      </w:r>
      <w:r>
        <w:rPr>
          <w:rStyle w:val="s2"/>
        </w:rPr>
        <w:t>Educating learners with diverse backgrounds: Language policies in education</w:t>
      </w:r>
      <w:r>
        <w:rPr>
          <w:rStyle w:val="s1"/>
        </w:rPr>
        <w:t>. Paris: OECD Publishing.</w:t>
      </w:r>
    </w:p>
    <w:p w14:paraId="46DCD122" w14:textId="77777777" w:rsidR="00A51DA5" w:rsidRDefault="00A51DA5">
      <w:pPr>
        <w:pStyle w:val="p2"/>
      </w:pPr>
    </w:p>
    <w:p w14:paraId="204FE1D1" w14:textId="77777777" w:rsidR="00A51DA5" w:rsidRDefault="00A51DA5">
      <w:pPr>
        <w:pStyle w:val="p1"/>
      </w:pPr>
      <w:r>
        <w:rPr>
          <w:rStyle w:val="s1"/>
        </w:rPr>
        <w:t xml:space="preserve">Welsh Government (2022) </w:t>
      </w:r>
      <w:r>
        <w:rPr>
          <w:rStyle w:val="s2"/>
        </w:rPr>
        <w:t>Curriculum for Wales: Guidance</w:t>
      </w:r>
      <w:r>
        <w:rPr>
          <w:rStyle w:val="s1"/>
        </w:rPr>
        <w:t>. Cardiff: Welsh Government.</w:t>
      </w:r>
    </w:p>
    <w:p w14:paraId="10C97A71" w14:textId="77777777" w:rsidR="00A51DA5" w:rsidRPr="00685CDB" w:rsidRDefault="00A51DA5" w:rsidP="003704A4">
      <w:pPr>
        <w:spacing w:line="360" w:lineRule="auto"/>
        <w:rPr>
          <w:rFonts w:ascii="Calibri" w:hAnsi="Calibri"/>
        </w:rPr>
      </w:pPr>
    </w:p>
    <w:sectPr w:rsidR="00A51DA5" w:rsidRPr="00685C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4D70BA"/>
    <w:multiLevelType w:val="hybridMultilevel"/>
    <w:tmpl w:val="BEC65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5905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DD1"/>
    <w:rsid w:val="00183998"/>
    <w:rsid w:val="003704A4"/>
    <w:rsid w:val="00422368"/>
    <w:rsid w:val="0047632D"/>
    <w:rsid w:val="00524CE3"/>
    <w:rsid w:val="00630EA1"/>
    <w:rsid w:val="00685CDB"/>
    <w:rsid w:val="00756D1D"/>
    <w:rsid w:val="00973FF4"/>
    <w:rsid w:val="00A51DA5"/>
    <w:rsid w:val="00B301FE"/>
    <w:rsid w:val="00C2189B"/>
    <w:rsid w:val="00EE5DD1"/>
    <w:rsid w:val="00F21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E29FED"/>
  <w15:chartTrackingRefBased/>
  <w15:docId w15:val="{EC6CC353-C2F0-1442-8C39-24E3D91AB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DD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5D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5D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5D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5D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5D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D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D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D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DD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5D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5D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5D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5D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5D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D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D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DD1"/>
    <w:rPr>
      <w:rFonts w:eastAsiaTheme="majorEastAsia" w:cstheme="majorBidi"/>
      <w:color w:val="272727" w:themeColor="text1" w:themeTint="D8"/>
    </w:rPr>
  </w:style>
  <w:style w:type="paragraph" w:styleId="Title">
    <w:name w:val="Title"/>
    <w:basedOn w:val="Normal"/>
    <w:next w:val="Normal"/>
    <w:link w:val="TitleChar"/>
    <w:uiPriority w:val="10"/>
    <w:qFormat/>
    <w:rsid w:val="00EE5D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D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D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D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DD1"/>
    <w:pPr>
      <w:spacing w:before="160"/>
      <w:jc w:val="center"/>
    </w:pPr>
    <w:rPr>
      <w:i/>
      <w:iCs/>
      <w:color w:val="404040" w:themeColor="text1" w:themeTint="BF"/>
    </w:rPr>
  </w:style>
  <w:style w:type="character" w:customStyle="1" w:styleId="QuoteChar">
    <w:name w:val="Quote Char"/>
    <w:basedOn w:val="DefaultParagraphFont"/>
    <w:link w:val="Quote"/>
    <w:uiPriority w:val="29"/>
    <w:rsid w:val="00EE5DD1"/>
    <w:rPr>
      <w:i/>
      <w:iCs/>
      <w:color w:val="404040" w:themeColor="text1" w:themeTint="BF"/>
    </w:rPr>
  </w:style>
  <w:style w:type="paragraph" w:styleId="ListParagraph">
    <w:name w:val="List Paragraph"/>
    <w:basedOn w:val="Normal"/>
    <w:uiPriority w:val="34"/>
    <w:qFormat/>
    <w:rsid w:val="00EE5DD1"/>
    <w:pPr>
      <w:ind w:left="720"/>
      <w:contextualSpacing/>
    </w:pPr>
  </w:style>
  <w:style w:type="character" w:styleId="IntenseEmphasis">
    <w:name w:val="Intense Emphasis"/>
    <w:basedOn w:val="DefaultParagraphFont"/>
    <w:uiPriority w:val="21"/>
    <w:qFormat/>
    <w:rsid w:val="00EE5DD1"/>
    <w:rPr>
      <w:i/>
      <w:iCs/>
      <w:color w:val="2F5496" w:themeColor="accent1" w:themeShade="BF"/>
    </w:rPr>
  </w:style>
  <w:style w:type="paragraph" w:styleId="IntenseQuote">
    <w:name w:val="Intense Quote"/>
    <w:basedOn w:val="Normal"/>
    <w:next w:val="Normal"/>
    <w:link w:val="IntenseQuoteChar"/>
    <w:uiPriority w:val="30"/>
    <w:qFormat/>
    <w:rsid w:val="00EE5D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5DD1"/>
    <w:rPr>
      <w:i/>
      <w:iCs/>
      <w:color w:val="2F5496" w:themeColor="accent1" w:themeShade="BF"/>
    </w:rPr>
  </w:style>
  <w:style w:type="character" w:styleId="IntenseReference">
    <w:name w:val="Intense Reference"/>
    <w:basedOn w:val="DefaultParagraphFont"/>
    <w:uiPriority w:val="32"/>
    <w:qFormat/>
    <w:rsid w:val="00EE5DD1"/>
    <w:rPr>
      <w:b/>
      <w:bCs/>
      <w:smallCaps/>
      <w:color w:val="2F5496" w:themeColor="accent1" w:themeShade="BF"/>
      <w:spacing w:val="5"/>
    </w:rPr>
  </w:style>
  <w:style w:type="paragraph" w:customStyle="1" w:styleId="p1">
    <w:name w:val="p1"/>
    <w:basedOn w:val="Normal"/>
    <w:rsid w:val="00EE5DD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E5DD1"/>
  </w:style>
  <w:style w:type="paragraph" w:customStyle="1" w:styleId="p2">
    <w:name w:val="p2"/>
    <w:basedOn w:val="Normal"/>
    <w:rsid w:val="00EE5DD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30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818</Words>
  <Characters>4669</Characters>
  <Application>Microsoft Office Word</Application>
  <DocSecurity>0</DocSecurity>
  <Lines>38</Lines>
  <Paragraphs>10</Paragraphs>
  <ScaleCrop>false</ScaleCrop>
  <Company/>
  <LinksUpToDate>false</LinksUpToDate>
  <CharactersWithSpaces>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2026-02-05T16:55:00Z</dcterms:created>
  <dcterms:modified xsi:type="dcterms:W3CDTF">2026-02-05T16:55:00Z</dcterms:modified>
</cp:coreProperties>
</file>