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2856EC7" wp14:paraId="2CE312DB" wp14:textId="44348703">
      <w:pPr>
        <w:spacing w:before="0" w:beforeAutospacing="off" w:after="0" w:afterAutospacing="off"/>
        <w:ind w:left="-20" w:right="-20"/>
        <w:rPr>
          <w:rFonts w:ascii="Calibri" w:hAnsi="Calibri" w:eastAsia="Calibri" w:cs="Calibri"/>
          <w:b w:val="0"/>
          <w:bCs w:val="0"/>
          <w:i w:val="0"/>
          <w:iCs w:val="0"/>
          <w:strike w:val="0"/>
          <w:dstrike w:val="0"/>
          <w:noProof w:val="0"/>
          <w:color w:val="auto"/>
          <w:sz w:val="22"/>
          <w:szCs w:val="22"/>
          <w:u w:val="none"/>
          <w:lang w:val="en-GB"/>
        </w:rPr>
      </w:pPr>
      <w:r w:rsidRPr="62856EC7" w:rsidR="543E409E">
        <w:rPr>
          <w:rFonts w:ascii="Calibri" w:hAnsi="Calibri" w:eastAsia="Calibri" w:cs="Calibri"/>
          <w:b w:val="0"/>
          <w:bCs w:val="0"/>
          <w:i w:val="0"/>
          <w:iCs w:val="0"/>
          <w:strike w:val="0"/>
          <w:dstrike w:val="0"/>
          <w:noProof w:val="0"/>
          <w:color w:val="auto"/>
          <w:sz w:val="22"/>
          <w:szCs w:val="22"/>
          <w:u w:val="none"/>
          <w:lang w:val="en-GB"/>
        </w:rPr>
        <w:t>‘Myths are a product of a specific time and place</w:t>
      </w:r>
      <w:r w:rsidRPr="62856EC7" w:rsidR="789C2ECC">
        <w:rPr>
          <w:rFonts w:ascii="Calibri" w:hAnsi="Calibri" w:eastAsia="Calibri" w:cs="Calibri"/>
          <w:b w:val="0"/>
          <w:bCs w:val="0"/>
          <w:i w:val="0"/>
          <w:iCs w:val="0"/>
          <w:strike w:val="0"/>
          <w:dstrike w:val="0"/>
          <w:noProof w:val="0"/>
          <w:color w:val="auto"/>
          <w:sz w:val="22"/>
          <w:szCs w:val="22"/>
          <w:u w:val="none"/>
          <w:lang w:val="en-GB"/>
        </w:rPr>
        <w:t>.’</w:t>
      </w:r>
      <w:r w:rsidRPr="62856EC7" w:rsidR="543E409E">
        <w:rPr>
          <w:rFonts w:ascii="Calibri" w:hAnsi="Calibri" w:eastAsia="Calibri" w:cs="Calibri"/>
          <w:b w:val="0"/>
          <w:bCs w:val="0"/>
          <w:i w:val="0"/>
          <w:iCs w:val="0"/>
          <w:strike w:val="0"/>
          <w:dstrike w:val="0"/>
          <w:noProof w:val="0"/>
          <w:color w:val="auto"/>
          <w:sz w:val="22"/>
          <w:szCs w:val="22"/>
          <w:u w:val="none"/>
          <w:lang w:val="en-GB"/>
        </w:rPr>
        <w:t xml:space="preserve"> Discuss the extent to which this statement is valid in relation to your own reading of one of the texts you have studied in this module. </w:t>
      </w:r>
    </w:p>
    <w:p xmlns:wp14="http://schemas.microsoft.com/office/word/2010/wordml" w:rsidP="62856EC7" wp14:paraId="26C42AA7" wp14:textId="13979D31">
      <w:pPr>
        <w:rPr>
          <w:rFonts w:ascii="Calibri" w:hAnsi="Calibri" w:eastAsia="Calibri" w:cs="Calibri"/>
          <w:color w:val="auto"/>
          <w:sz w:val="22"/>
          <w:szCs w:val="22"/>
        </w:rPr>
      </w:pPr>
    </w:p>
    <w:p xmlns:wp14="http://schemas.microsoft.com/office/word/2010/wordml" w:rsidP="62856EC7" wp14:paraId="1680F127" wp14:textId="2FABD5A8">
      <w:pPr>
        <w:spacing w:before="0" w:beforeAutospacing="off" w:after="0" w:afterAutospacing="off"/>
        <w:ind w:left="-20" w:right="-20"/>
        <w:rPr>
          <w:rFonts w:ascii="Calibri" w:hAnsi="Calibri" w:eastAsia="Calibri" w:cs="Calibri"/>
          <w:b w:val="0"/>
          <w:bCs w:val="0"/>
          <w:i w:val="0"/>
          <w:iCs w:val="0"/>
          <w:strike w:val="0"/>
          <w:dstrike w:val="0"/>
          <w:noProof w:val="0"/>
          <w:color w:val="auto"/>
          <w:sz w:val="22"/>
          <w:szCs w:val="22"/>
          <w:u w:val="none"/>
          <w:lang w:val="en-GB"/>
        </w:rPr>
      </w:pPr>
      <w:r w:rsidRPr="62856EC7" w:rsidR="543E409E">
        <w:rPr>
          <w:rFonts w:ascii="Calibri" w:hAnsi="Calibri" w:eastAsia="Calibri" w:cs="Calibri"/>
          <w:b w:val="0"/>
          <w:bCs w:val="0"/>
          <w:i w:val="0"/>
          <w:iCs w:val="0"/>
          <w:strike w:val="0"/>
          <w:dstrike w:val="0"/>
          <w:noProof w:val="0"/>
          <w:color w:val="auto"/>
          <w:sz w:val="22"/>
          <w:szCs w:val="22"/>
          <w:u w:val="none"/>
          <w:lang w:val="en-GB"/>
        </w:rPr>
        <w:t xml:space="preserve">While some myths </w:t>
      </w:r>
      <w:bookmarkStart w:name="_Int_pAaxR4jd" w:id="188742649"/>
      <w:r w:rsidRPr="62856EC7" w:rsidR="543E409E">
        <w:rPr>
          <w:rFonts w:ascii="Calibri" w:hAnsi="Calibri" w:eastAsia="Calibri" w:cs="Calibri"/>
          <w:b w:val="0"/>
          <w:bCs w:val="0"/>
          <w:i w:val="0"/>
          <w:iCs w:val="0"/>
          <w:strike w:val="0"/>
          <w:dstrike w:val="0"/>
          <w:noProof w:val="0"/>
          <w:color w:val="auto"/>
          <w:sz w:val="22"/>
          <w:szCs w:val="22"/>
          <w:u w:val="none"/>
          <w:lang w:val="en-GB"/>
        </w:rPr>
        <w:t>appear to be</w:t>
      </w:r>
      <w:bookmarkEnd w:id="188742649"/>
      <w:r w:rsidRPr="62856EC7" w:rsidR="543E409E">
        <w:rPr>
          <w:rFonts w:ascii="Calibri" w:hAnsi="Calibri" w:eastAsia="Calibri" w:cs="Calibri"/>
          <w:b w:val="0"/>
          <w:bCs w:val="0"/>
          <w:i w:val="0"/>
          <w:iCs w:val="0"/>
          <w:strike w:val="0"/>
          <w:dstrike w:val="0"/>
          <w:noProof w:val="0"/>
          <w:color w:val="auto"/>
          <w:sz w:val="22"/>
          <w:szCs w:val="22"/>
          <w:u w:val="none"/>
          <w:lang w:val="en-GB"/>
        </w:rPr>
        <w:t xml:space="preserve"> products of a particular era and locality, others, such as the myth of Medea, cannot be included in such straightforward categorisation due to their inherent complexity. When considering whether myths are fundamentally products of a specific time and place, </w:t>
      </w:r>
      <w:r w:rsidRPr="62856EC7" w:rsidR="21F96974">
        <w:rPr>
          <w:rFonts w:ascii="Calibri" w:hAnsi="Calibri" w:eastAsia="Calibri" w:cs="Calibri"/>
          <w:b w:val="0"/>
          <w:bCs w:val="0"/>
          <w:i w:val="0"/>
          <w:iCs w:val="0"/>
          <w:strike w:val="0"/>
          <w:dstrike w:val="0"/>
          <w:noProof w:val="0"/>
          <w:color w:val="auto"/>
          <w:sz w:val="22"/>
          <w:szCs w:val="22"/>
          <w:u w:val="none"/>
          <w:lang w:val="en-GB"/>
        </w:rPr>
        <w:t>a range of factors</w:t>
      </w:r>
      <w:r w:rsidRPr="62856EC7" w:rsidR="543E409E">
        <w:rPr>
          <w:rFonts w:ascii="Calibri" w:hAnsi="Calibri" w:eastAsia="Calibri" w:cs="Calibri"/>
          <w:b w:val="0"/>
          <w:bCs w:val="0"/>
          <w:i w:val="0"/>
          <w:iCs w:val="0"/>
          <w:strike w:val="0"/>
          <w:dstrike w:val="0"/>
          <w:noProof w:val="0"/>
          <w:color w:val="auto"/>
          <w:sz w:val="22"/>
          <w:szCs w:val="22"/>
          <w:u w:val="none"/>
          <w:lang w:val="en-GB"/>
        </w:rPr>
        <w:t xml:space="preserve"> are involved, namely: the nuances of different iterations, the overlay of contemporary ideologies on collective interpretation, and the popularisation of certain variations over others. The myth of Medea and its multifaceted characterisation epitomises this complexity due to its </w:t>
      </w:r>
      <w:r w:rsidRPr="62856EC7" w:rsidR="543E409E">
        <w:rPr>
          <w:rFonts w:ascii="Calibri" w:hAnsi="Calibri" w:eastAsia="Calibri" w:cs="Calibri"/>
          <w:b w:val="0"/>
          <w:bCs w:val="0"/>
          <w:i w:val="0"/>
          <w:iCs w:val="0"/>
          <w:strike w:val="0"/>
          <w:dstrike w:val="0"/>
          <w:noProof w:val="0"/>
          <w:color w:val="auto"/>
          <w:sz w:val="22"/>
          <w:szCs w:val="22"/>
          <w:u w:val="none"/>
          <w:lang w:val="en-GB"/>
        </w:rPr>
        <w:t>numerous</w:t>
      </w:r>
      <w:r w:rsidRPr="62856EC7" w:rsidR="543E409E">
        <w:rPr>
          <w:rFonts w:ascii="Calibri" w:hAnsi="Calibri" w:eastAsia="Calibri" w:cs="Calibri"/>
          <w:b w:val="0"/>
          <w:bCs w:val="0"/>
          <w:i w:val="0"/>
          <w:iCs w:val="0"/>
          <w:strike w:val="0"/>
          <w:dstrike w:val="0"/>
          <w:noProof w:val="0"/>
          <w:color w:val="auto"/>
          <w:sz w:val="22"/>
          <w:szCs w:val="22"/>
          <w:u w:val="none"/>
          <w:lang w:val="en-GB"/>
        </w:rPr>
        <w:t xml:space="preserve"> renditions throughout literary history. In this essay, the focal point will be Euripides’ iteration of Medea, with a consideration for why it has become the most widely recognised version of this myth, and what implications its complexity holds for the broader discussion on the temporality of myth. </w:t>
      </w:r>
    </w:p>
    <w:p xmlns:wp14="http://schemas.microsoft.com/office/word/2010/wordml" w:rsidP="62856EC7" wp14:paraId="57CDCCEF" wp14:textId="5F5C192D">
      <w:pPr>
        <w:rPr>
          <w:rFonts w:ascii="Calibri" w:hAnsi="Calibri" w:eastAsia="Calibri" w:cs="Calibri"/>
          <w:color w:val="auto"/>
          <w:sz w:val="22"/>
          <w:szCs w:val="22"/>
        </w:rPr>
      </w:pPr>
    </w:p>
    <w:p xmlns:wp14="http://schemas.microsoft.com/office/word/2010/wordml" w:rsidP="1AFB9926" wp14:paraId="16F7F592" wp14:textId="7694862A">
      <w:pPr>
        <w:spacing w:before="0" w:beforeAutospacing="off" w:after="0" w:afterAutospacing="off"/>
        <w:ind w:left="-20" w:right="-20"/>
        <w:rPr>
          <w:rFonts w:ascii="Calibri" w:hAnsi="Calibri" w:eastAsia="Calibri" w:cs="Calibri"/>
          <w:b w:val="0"/>
          <w:bCs w:val="0"/>
          <w:i w:val="0"/>
          <w:iCs w:val="0"/>
          <w:strike w:val="0"/>
          <w:dstrike w:val="0"/>
          <w:noProof w:val="0"/>
          <w:color w:val="auto"/>
          <w:sz w:val="22"/>
          <w:szCs w:val="22"/>
          <w:u w:val="none"/>
          <w:lang w:val="en-GB"/>
        </w:rPr>
      </w:pPr>
      <w:r w:rsidRPr="1AFB9926" w:rsidR="543E409E">
        <w:rPr>
          <w:rFonts w:ascii="Calibri" w:hAnsi="Calibri" w:eastAsia="Calibri" w:cs="Calibri"/>
          <w:b w:val="0"/>
          <w:bCs w:val="0"/>
          <w:i w:val="0"/>
          <w:iCs w:val="0"/>
          <w:strike w:val="0"/>
          <w:dstrike w:val="0"/>
          <w:noProof w:val="0"/>
          <w:color w:val="auto"/>
          <w:sz w:val="22"/>
          <w:szCs w:val="22"/>
          <w:u w:val="none"/>
          <w:lang w:val="en-GB"/>
        </w:rPr>
        <w:t>The multiplicity of versions surrounding the myth of Medea highlights the inherent complexity of examining the origins of ancient narratives. Euripides’ iteration of Medea</w:t>
      </w:r>
      <w:r w:rsidRPr="1AFB9926">
        <w:rPr>
          <w:rStyle w:val="FootnoteReference"/>
          <w:rFonts w:ascii="Calibri" w:hAnsi="Calibri" w:eastAsia="Calibri" w:cs="Calibri"/>
          <w:b w:val="0"/>
          <w:bCs w:val="0"/>
          <w:i w:val="0"/>
          <w:iCs w:val="0"/>
          <w:strike w:val="0"/>
          <w:dstrike w:val="0"/>
          <w:noProof w:val="0"/>
          <w:color w:val="auto"/>
          <w:sz w:val="22"/>
          <w:szCs w:val="22"/>
          <w:u w:val="none"/>
          <w:lang w:val="en-GB"/>
        </w:rPr>
        <w:footnoteReference w:id="25345"/>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has become the most well-known among contemporary audiences, but it is crucial to examine the changes in narrative and intention that occurred before he composed his tragic version to understand the nuances of this myth. </w:t>
      </w:r>
      <w:bookmarkStart w:name="_Int_Gmk0HAHA" w:id="162089487"/>
      <w:r w:rsidRPr="1AFB9926" w:rsidR="543E409E">
        <w:rPr>
          <w:rFonts w:ascii="Calibri" w:hAnsi="Calibri" w:eastAsia="Calibri" w:cs="Calibri"/>
          <w:b w:val="0"/>
          <w:bCs w:val="0"/>
          <w:i w:val="0"/>
          <w:iCs w:val="0"/>
          <w:strike w:val="0"/>
          <w:dstrike w:val="0"/>
          <w:noProof w:val="0"/>
          <w:color w:val="auto"/>
          <w:sz w:val="22"/>
          <w:szCs w:val="22"/>
          <w:u w:val="none"/>
          <w:lang w:val="en-GB"/>
        </w:rPr>
        <w:t>Eumelus</w:t>
      </w:r>
      <w:bookmarkEnd w:id="162089487"/>
      <w:r w:rsidRPr="1AFB9926" w:rsidR="543E409E">
        <w:rPr>
          <w:rFonts w:ascii="Calibri" w:hAnsi="Calibri" w:eastAsia="Calibri" w:cs="Calibri"/>
          <w:b w:val="0"/>
          <w:bCs w:val="0"/>
          <w:i w:val="0"/>
          <w:iCs w:val="0"/>
          <w:strike w:val="0"/>
          <w:dstrike w:val="0"/>
          <w:noProof w:val="0"/>
          <w:color w:val="auto"/>
          <w:sz w:val="22"/>
          <w:szCs w:val="22"/>
          <w:u w:val="none"/>
          <w:lang w:val="en-GB"/>
        </w:rPr>
        <w:t>’ epic poem</w:t>
      </w:r>
      <w:r w:rsidRPr="1AFB9926">
        <w:rPr>
          <w:rStyle w:val="FootnoteReference"/>
          <w:rFonts w:ascii="Calibri" w:hAnsi="Calibri" w:eastAsia="Calibri" w:cs="Calibri"/>
          <w:b w:val="0"/>
          <w:bCs w:val="0"/>
          <w:i w:val="0"/>
          <w:iCs w:val="0"/>
          <w:strike w:val="0"/>
          <w:dstrike w:val="0"/>
          <w:noProof w:val="0"/>
          <w:color w:val="auto"/>
          <w:sz w:val="22"/>
          <w:szCs w:val="22"/>
          <w:u w:val="none"/>
          <w:lang w:val="en-GB"/>
        </w:rPr>
        <w:footnoteReference w:id="22168"/>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entitled the </w:t>
      </w:r>
      <w:bookmarkStart w:name="_Int_G2XlQpO6" w:id="696819077"/>
      <w:r w:rsidRPr="1AFB9926" w:rsidR="543E409E">
        <w:rPr>
          <w:rFonts w:ascii="Calibri" w:hAnsi="Calibri" w:eastAsia="Calibri" w:cs="Calibri"/>
          <w:b w:val="0"/>
          <w:bCs w:val="0"/>
          <w:i w:val="0"/>
          <w:iCs w:val="0"/>
          <w:strike w:val="0"/>
          <w:dstrike w:val="0"/>
          <w:noProof w:val="0"/>
          <w:color w:val="auto"/>
          <w:sz w:val="22"/>
          <w:szCs w:val="22"/>
          <w:u w:val="none"/>
          <w:lang w:val="en-GB"/>
        </w:rPr>
        <w:t>Corinthiaca</w:t>
      </w:r>
      <w:bookmarkEnd w:id="696819077"/>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of which only fragments survive, presents two potential endings for the Medea myth, both of which seem to have had a significant impact on ancient Corinthian society. In the poem, after killing Creon, Medea takes her sons to the temple of Hera </w:t>
      </w:r>
      <w:bookmarkStart w:name="_Int_miejgPeE" w:id="292285518"/>
      <w:r w:rsidRPr="1AFB9926" w:rsidR="543E409E">
        <w:rPr>
          <w:rFonts w:ascii="Calibri" w:hAnsi="Calibri" w:eastAsia="Calibri" w:cs="Calibri"/>
          <w:b w:val="0"/>
          <w:bCs w:val="0"/>
          <w:i w:val="0"/>
          <w:iCs w:val="0"/>
          <w:strike w:val="0"/>
          <w:dstrike w:val="0"/>
          <w:noProof w:val="0"/>
          <w:color w:val="auto"/>
          <w:sz w:val="22"/>
          <w:szCs w:val="22"/>
          <w:u w:val="none"/>
          <w:lang w:val="en-GB"/>
        </w:rPr>
        <w:t>Acraia</w:t>
      </w:r>
      <w:bookmarkEnd w:id="292285518"/>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to immortalise them before fleeing Corinth, not much survives of this text, so it is unclear why she tried to do this - </w:t>
      </w:r>
      <w:bookmarkStart w:name="_Int_Gb4zkUI0" w:id="405293549"/>
      <w:r w:rsidRPr="1AFB9926" w:rsidR="543E409E">
        <w:rPr>
          <w:rFonts w:ascii="Calibri" w:hAnsi="Calibri" w:eastAsia="Calibri" w:cs="Calibri"/>
          <w:b w:val="0"/>
          <w:bCs w:val="0"/>
          <w:i w:val="0"/>
          <w:iCs w:val="0"/>
          <w:strike w:val="0"/>
          <w:dstrike w:val="0"/>
          <w:noProof w:val="0"/>
          <w:color w:val="auto"/>
          <w:sz w:val="22"/>
          <w:szCs w:val="22"/>
          <w:u w:val="none"/>
          <w:lang w:val="en-GB"/>
        </w:rPr>
        <w:t>perhaps she</w:t>
      </w:r>
      <w:bookmarkEnd w:id="405293549"/>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believed her sons to be in danger or they were already harmed. Eumelus ends the myth with the rite going horribly wrong and her sons dying, a conclusion which, much like Euripides’ later version, suggests an element of divine intervention. Corinthian folklore, however, tells of the boys meeting a grim death on the altar of Hera’s temple at the hands of the citizens in revenge for Medea’s killing of the</w:t>
      </w:r>
      <w:r w:rsidRPr="1AFB9926" w:rsidR="67185C40">
        <w:rPr>
          <w:rFonts w:ascii="Calibri" w:hAnsi="Calibri" w:eastAsia="Calibri" w:cs="Calibri"/>
          <w:b w:val="0"/>
          <w:bCs w:val="0"/>
          <w:i w:val="0"/>
          <w:iCs w:val="0"/>
          <w:strike w:val="0"/>
          <w:dstrike w:val="0"/>
          <w:noProof w:val="0"/>
          <w:color w:val="auto"/>
          <w:sz w:val="22"/>
          <w:szCs w:val="22"/>
          <w:u w:val="none"/>
          <w:lang w:val="en-GB"/>
        </w:rPr>
        <w:t xml:space="preserve">ir</w:t>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king. Considering its grim reflection on Corinthian society, this myth appears to have influenced a cultural legacy of penance</w:t>
      </w:r>
      <w:r w:rsidRPr="1AFB9926">
        <w:rPr>
          <w:rStyle w:val="FootnoteReference"/>
          <w:rFonts w:ascii="Calibri" w:hAnsi="Calibri" w:eastAsia="Calibri" w:cs="Calibri"/>
          <w:b w:val="0"/>
          <w:bCs w:val="0"/>
          <w:i w:val="0"/>
          <w:iCs w:val="0"/>
          <w:strike w:val="0"/>
          <w:dstrike w:val="0"/>
          <w:noProof w:val="0"/>
          <w:color w:val="auto"/>
          <w:sz w:val="22"/>
          <w:szCs w:val="22"/>
          <w:u w:val="none"/>
          <w:lang w:val="en-GB"/>
        </w:rPr>
        <w:footnoteReference w:id="31991"/>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with festivals dedication to expiation, underscoring the enduring impact of each individual iteration of a myth. Despite the fragmentary nature of the Corinthiaca, the surviving excerpts related to Medea example how myths are ever-changing in nature, and therefore difficult to attribute to a specific period or place. For Corinthians specifically, the impact of Eumelus’ variation of Medea’s tale influenced civic religious practises: with folklore telling of various rites performed at the temple of Hera Acraia, reflecting a sense of communal guilt and atonement. However, this iteration might not carry the same weight in Athens as they were devoid of such civic culpability. This disparity suggests that the impact of mythical narratives varies depending on their consumption context rather than place of origin. Furthermore, as interpretations of Medea shift</w:t>
      </w:r>
      <w:r w:rsidRPr="1AFB9926" w:rsidR="51C0CEB3">
        <w:rPr>
          <w:rFonts w:ascii="Calibri" w:hAnsi="Calibri" w:eastAsia="Calibri" w:cs="Calibri"/>
          <w:b w:val="0"/>
          <w:bCs w:val="0"/>
          <w:i w:val="0"/>
          <w:iCs w:val="0"/>
          <w:strike w:val="0"/>
          <w:dstrike w:val="0"/>
          <w:noProof w:val="0"/>
          <w:color w:val="auto"/>
          <w:sz w:val="22"/>
          <w:szCs w:val="22"/>
          <w:u w:val="none"/>
          <w:lang w:val="en-GB"/>
        </w:rPr>
        <w:t xml:space="preserve"> - </w:t>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from a jealous woman to a loyal wife or a desperate mother</w:t>
      </w:r>
      <w:r w:rsidRPr="1AFB9926" w:rsidR="7C063A1F">
        <w:rPr>
          <w:rFonts w:ascii="Calibri" w:hAnsi="Calibri" w:eastAsia="Calibri" w:cs="Calibri"/>
          <w:b w:val="0"/>
          <w:bCs w:val="0"/>
          <w:i w:val="0"/>
          <w:iCs w:val="0"/>
          <w:strike w:val="0"/>
          <w:dstrike w:val="0"/>
          <w:noProof w:val="0"/>
          <w:color w:val="auto"/>
          <w:sz w:val="22"/>
          <w:szCs w:val="22"/>
          <w:u w:val="none"/>
          <w:lang w:val="en-GB"/>
        </w:rPr>
        <w:t xml:space="preserve"> - </w:t>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so too do the overarching themes and implications of her story. The surviving fragments from Eumelus’ 8th century </w:t>
      </w:r>
      <w:r w:rsidRPr="1AFB9926" w:rsidR="65EC9DC2">
        <w:rPr>
          <w:rFonts w:ascii="Calibri" w:hAnsi="Calibri" w:eastAsia="Calibri" w:cs="Calibri"/>
          <w:b w:val="0"/>
          <w:bCs w:val="0"/>
          <w:i w:val="0"/>
          <w:iCs w:val="0"/>
          <w:strike w:val="0"/>
          <w:dstrike w:val="0"/>
          <w:noProof w:val="0"/>
          <w:color w:val="auto"/>
          <w:sz w:val="22"/>
          <w:szCs w:val="22"/>
          <w:u w:val="none"/>
          <w:lang w:val="en-GB"/>
        </w:rPr>
        <w:t>BCE</w:t>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version of Medea emphasises the citizens of Corinth rather than Medea herself, </w:t>
      </w:r>
      <w:r w:rsidRPr="1AFB9926" w:rsidR="543E409E">
        <w:rPr>
          <w:rFonts w:ascii="Calibri" w:hAnsi="Calibri" w:eastAsia="Calibri" w:cs="Calibri"/>
          <w:b w:val="0"/>
          <w:bCs w:val="0"/>
          <w:i w:val="0"/>
          <w:iCs w:val="0"/>
          <w:strike w:val="0"/>
          <w:dstrike w:val="0"/>
          <w:noProof w:val="0"/>
          <w:color w:val="auto"/>
          <w:sz w:val="22"/>
          <w:szCs w:val="22"/>
          <w:u w:val="none"/>
          <w:lang w:val="en-GB"/>
        </w:rPr>
        <w:t>indicating</w:t>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a shift towards a civic myth and a change in the extent of her culpability. This evolution highlights the dynamic nature of </w:t>
      </w:r>
      <w:r w:rsidRPr="1AFB9926" w:rsidR="2167F4C1">
        <w:rPr>
          <w:rFonts w:ascii="Calibri" w:hAnsi="Calibri" w:eastAsia="Calibri" w:cs="Calibri"/>
          <w:b w:val="0"/>
          <w:bCs w:val="0"/>
          <w:i w:val="0"/>
          <w:iCs w:val="0"/>
          <w:strike w:val="0"/>
          <w:dstrike w:val="0"/>
          <w:noProof w:val="0"/>
          <w:color w:val="auto"/>
          <w:sz w:val="22"/>
          <w:szCs w:val="22"/>
          <w:u w:val="none"/>
          <w:lang w:val="en-GB"/>
        </w:rPr>
        <w:t>myths and</w:t>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suggests that the Medea myth cannot be confined by specific temporal or spatial contexts, instead embodying a narrative that continually evolves. </w:t>
      </w:r>
    </w:p>
    <w:p xmlns:wp14="http://schemas.microsoft.com/office/word/2010/wordml" w:rsidP="62856EC7" wp14:paraId="24DE6471" wp14:textId="15082F86">
      <w:pPr>
        <w:spacing w:before="0" w:beforeAutospacing="off" w:after="0" w:afterAutospacing="off"/>
        <w:ind w:left="-20" w:right="-20"/>
        <w:rPr>
          <w:rFonts w:ascii="Calibri" w:hAnsi="Calibri" w:eastAsia="Calibri" w:cs="Calibri"/>
          <w:b w:val="0"/>
          <w:bCs w:val="0"/>
          <w:i w:val="0"/>
          <w:iCs w:val="0"/>
          <w:strike w:val="0"/>
          <w:dstrike w:val="0"/>
          <w:noProof w:val="0"/>
          <w:color w:val="auto"/>
          <w:sz w:val="22"/>
          <w:szCs w:val="22"/>
          <w:u w:val="none"/>
          <w:lang w:val="en-GB"/>
        </w:rPr>
      </w:pPr>
    </w:p>
    <w:p xmlns:wp14="http://schemas.microsoft.com/office/word/2010/wordml" w:rsidP="1AFB9926" wp14:textId="6CC00DDB" wp14:paraId="4AFDEB2F">
      <w:pPr>
        <w:spacing w:before="0" w:beforeAutospacing="off" w:after="0" w:afterAutospacing="off"/>
        <w:ind w:left="-20" w:right="-20"/>
        <w:rPr>
          <w:rFonts w:ascii="Calibri" w:hAnsi="Calibri" w:eastAsia="Calibri" w:cs="Calibri"/>
          <w:b w:val="0"/>
          <w:bCs w:val="0"/>
          <w:i w:val="0"/>
          <w:iCs w:val="0"/>
          <w:strike w:val="0"/>
          <w:dstrike w:val="0"/>
          <w:noProof w:val="0"/>
          <w:color w:val="auto"/>
          <w:sz w:val="22"/>
          <w:szCs w:val="22"/>
          <w:u w:val="none"/>
          <w:lang w:val="en-GB"/>
        </w:rPr>
      </w:pP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In the various renditions of Medea, she consistently </w:t>
      </w:r>
      <w:r w:rsidRPr="1AFB9926" w:rsidR="543E409E">
        <w:rPr>
          <w:rFonts w:ascii="Calibri" w:hAnsi="Calibri" w:eastAsia="Calibri" w:cs="Calibri"/>
          <w:b w:val="0"/>
          <w:bCs w:val="0"/>
          <w:i w:val="0"/>
          <w:iCs w:val="0"/>
          <w:strike w:val="0"/>
          <w:dstrike w:val="0"/>
          <w:noProof w:val="0"/>
          <w:color w:val="auto"/>
          <w:sz w:val="22"/>
          <w:szCs w:val="22"/>
          <w:u w:val="none"/>
          <w:lang w:val="en-GB"/>
        </w:rPr>
        <w:t>emerges</w:t>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as a figure marked by emotional volatility, reactivity, and a need for vengeance. The works of Seneca</w:t>
      </w:r>
      <w:r w:rsidRPr="1AFB9926">
        <w:rPr>
          <w:rStyle w:val="FootnoteReference"/>
          <w:rFonts w:ascii="Calibri" w:hAnsi="Calibri" w:eastAsia="Calibri" w:cs="Calibri"/>
          <w:b w:val="0"/>
          <w:bCs w:val="0"/>
          <w:i w:val="0"/>
          <w:iCs w:val="0"/>
          <w:strike w:val="0"/>
          <w:dstrike w:val="0"/>
          <w:noProof w:val="0"/>
          <w:color w:val="auto"/>
          <w:sz w:val="22"/>
          <w:szCs w:val="22"/>
          <w:u w:val="none"/>
          <w:lang w:val="en-GB"/>
        </w:rPr>
        <w:footnoteReference w:id="26194"/>
      </w:r>
      <w:r w:rsidRPr="1AFB9926" w:rsidR="543E409E">
        <w:rPr>
          <w:rFonts w:ascii="Calibri" w:hAnsi="Calibri" w:eastAsia="Calibri" w:cs="Calibri"/>
          <w:b w:val="0"/>
          <w:bCs w:val="0"/>
          <w:i w:val="0"/>
          <w:iCs w:val="0"/>
          <w:strike w:val="0"/>
          <w:dstrike w:val="0"/>
          <w:noProof w:val="0"/>
          <w:color w:val="auto"/>
          <w:sz w:val="22"/>
          <w:szCs w:val="22"/>
          <w:u w:val="none"/>
          <w:lang w:val="en-GB"/>
        </w:rPr>
        <w:t>, Apollonius of Rhodes</w:t>
      </w:r>
      <w:r w:rsidRPr="1AFB9926">
        <w:rPr>
          <w:rStyle w:val="FootnoteReference"/>
          <w:rFonts w:ascii="Calibri" w:hAnsi="Calibri" w:eastAsia="Calibri" w:cs="Calibri"/>
          <w:b w:val="0"/>
          <w:bCs w:val="0"/>
          <w:i w:val="0"/>
          <w:iCs w:val="0"/>
          <w:strike w:val="0"/>
          <w:dstrike w:val="0"/>
          <w:noProof w:val="0"/>
          <w:color w:val="auto"/>
          <w:sz w:val="22"/>
          <w:szCs w:val="22"/>
          <w:u w:val="none"/>
          <w:lang w:val="en-GB"/>
        </w:rPr>
        <w:footnoteReference w:id="20995"/>
      </w:r>
      <w:r w:rsidRPr="1AFB9926" w:rsidR="543E409E">
        <w:rPr>
          <w:rFonts w:ascii="Calibri" w:hAnsi="Calibri" w:eastAsia="Calibri" w:cs="Calibri"/>
          <w:b w:val="0"/>
          <w:bCs w:val="0"/>
          <w:i w:val="0"/>
          <w:iCs w:val="0"/>
          <w:strike w:val="0"/>
          <w:dstrike w:val="0"/>
          <w:noProof w:val="0"/>
          <w:color w:val="auto"/>
          <w:sz w:val="22"/>
          <w:szCs w:val="22"/>
          <w:u w:val="none"/>
          <w:lang w:val="en-GB"/>
        </w:rPr>
        <w:t>, and Euripides all characterise Medea through her jealousy at Jason’s desire to remarry. However, it is crucial to contextualise Medea’s actions by considering how ancient tragic audiences might have resonated with her rationale. Central to this understanding is the gravity attached to oath-breaking</w:t>
      </w:r>
      <w:r w:rsidRPr="1AFB9926">
        <w:rPr>
          <w:rStyle w:val="FootnoteReference"/>
          <w:rFonts w:ascii="Calibri" w:hAnsi="Calibri" w:eastAsia="Calibri" w:cs="Calibri"/>
          <w:b w:val="0"/>
          <w:bCs w:val="0"/>
          <w:i w:val="0"/>
          <w:iCs w:val="0"/>
          <w:strike w:val="0"/>
          <w:dstrike w:val="0"/>
          <w:noProof w:val="0"/>
          <w:color w:val="auto"/>
          <w:sz w:val="22"/>
          <w:szCs w:val="22"/>
          <w:u w:val="none"/>
          <w:lang w:val="en-GB"/>
        </w:rPr>
        <w:footnoteReference w:id="14594"/>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in societies of the classical world: it was a transgression considered particularly egregious as it defied the domain of Zeus </w:t>
      </w:r>
      <w:bookmarkStart w:name="_Int_RweJC7Hk" w:id="928745701"/>
      <w:r w:rsidRPr="1AFB9926" w:rsidR="543E409E">
        <w:rPr>
          <w:rFonts w:ascii="Calibri" w:hAnsi="Calibri" w:eastAsia="Calibri" w:cs="Calibri"/>
          <w:b w:val="0"/>
          <w:bCs w:val="0"/>
          <w:i w:val="0"/>
          <w:iCs w:val="0"/>
          <w:strike w:val="0"/>
          <w:dstrike w:val="0"/>
          <w:noProof w:val="0"/>
          <w:color w:val="auto"/>
          <w:sz w:val="22"/>
          <w:szCs w:val="22"/>
          <w:u w:val="none"/>
          <w:lang w:val="en-GB"/>
        </w:rPr>
        <w:t>Horkios</w:t>
      </w:r>
      <w:bookmarkEnd w:id="928745701"/>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the deity presiding over oaths. By choosing to prioritise his desire for Creon’s daughter, Jason betrays his marital vow to Medea and forsakes their children - an action that is critical in comprehending Medea’s </w:t>
      </w:r>
      <w:r w:rsidRPr="1AFB9926" w:rsidR="543E409E">
        <w:rPr>
          <w:rFonts w:ascii="Calibri" w:hAnsi="Calibri" w:eastAsia="Calibri" w:cs="Calibri"/>
          <w:b w:val="0"/>
          <w:bCs w:val="0"/>
          <w:i w:val="0"/>
          <w:iCs w:val="0"/>
          <w:strike w:val="0"/>
          <w:dstrike w:val="0"/>
          <w:noProof w:val="0"/>
          <w:color w:val="auto"/>
          <w:sz w:val="22"/>
          <w:szCs w:val="22"/>
          <w:u w:val="none"/>
          <w:lang w:val="en-GB"/>
        </w:rPr>
        <w:t>subsequent</w:t>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desire for revenge. Her retribution is epitomised by her act of reclaiming her sons’ bodies using her grandfather’s chariot drawn by drakones as it suggests the potential for divine sanction of her actions. This is particularly intriguing when considering how a profound reverence for the dictates of the divine was woven into the fabric of social norms, particularly within ancient Greece, thereby lending further credence to the acceptability of Medea’s quest for vengeance in the eyes of ancient tragic audiences. </w:t>
      </w:r>
    </w:p>
    <w:p xmlns:wp14="http://schemas.microsoft.com/office/word/2010/wordml" w:rsidP="1AFB9926" wp14:paraId="3333605F" wp14:textId="3DE73A37">
      <w:pPr>
        <w:spacing w:before="0" w:beforeAutospacing="off" w:after="0" w:afterAutospacing="off"/>
        <w:ind w:left="-20" w:right="-20"/>
        <w:rPr>
          <w:rFonts w:ascii="Calibri" w:hAnsi="Calibri" w:eastAsia="Calibri" w:cs="Calibri"/>
          <w:b w:val="0"/>
          <w:bCs w:val="0"/>
          <w:i w:val="0"/>
          <w:iCs w:val="0"/>
          <w:strike w:val="0"/>
          <w:dstrike w:val="0"/>
          <w:noProof w:val="0"/>
          <w:color w:val="auto"/>
          <w:sz w:val="22"/>
          <w:szCs w:val="22"/>
          <w:u w:val="none"/>
          <w:lang w:val="en-GB"/>
        </w:rPr>
      </w:pPr>
    </w:p>
    <w:p xmlns:wp14="http://schemas.microsoft.com/office/word/2010/wordml" w:rsidP="1AFB9926" wp14:paraId="2324C250" wp14:textId="0E734052">
      <w:pPr>
        <w:spacing w:before="0" w:beforeAutospacing="off" w:after="0" w:afterAutospacing="off"/>
        <w:ind w:left="-20" w:right="-20"/>
        <w:rPr>
          <w:rFonts w:ascii="Calibri" w:hAnsi="Calibri" w:eastAsia="Calibri" w:cs="Calibri"/>
          <w:b w:val="0"/>
          <w:bCs w:val="0"/>
          <w:i w:val="0"/>
          <w:iCs w:val="0"/>
          <w:strike w:val="0"/>
          <w:dstrike w:val="0"/>
          <w:noProof w:val="0"/>
          <w:color w:val="auto"/>
          <w:sz w:val="22"/>
          <w:szCs w:val="22"/>
          <w:u w:val="none"/>
          <w:lang w:val="en-GB"/>
        </w:rPr>
      </w:pPr>
      <w:r w:rsidRPr="1AFB9926" w:rsidR="5EB91D42">
        <w:rPr>
          <w:rFonts w:ascii="Calibri" w:hAnsi="Calibri" w:eastAsia="Calibri" w:cs="Calibri"/>
          <w:b w:val="0"/>
          <w:bCs w:val="0"/>
          <w:i w:val="0"/>
          <w:iCs w:val="0"/>
          <w:strike w:val="0"/>
          <w:dstrike w:val="0"/>
          <w:noProof w:val="0"/>
          <w:color w:val="auto"/>
          <w:sz w:val="22"/>
          <w:szCs w:val="22"/>
          <w:u w:val="none"/>
          <w:lang w:val="en-GB"/>
        </w:rPr>
        <w:t xml:space="preserve">A </w:t>
      </w:r>
      <w:r w:rsidRPr="1AFB9926" w:rsidR="543E409E">
        <w:rPr>
          <w:rFonts w:ascii="Calibri" w:hAnsi="Calibri" w:eastAsia="Calibri" w:cs="Calibri"/>
          <w:b w:val="0"/>
          <w:bCs w:val="0"/>
          <w:i w:val="0"/>
          <w:iCs w:val="0"/>
          <w:strike w:val="0"/>
          <w:dstrike w:val="0"/>
          <w:noProof w:val="0"/>
          <w:color w:val="auto"/>
          <w:sz w:val="22"/>
          <w:szCs w:val="22"/>
          <w:u w:val="none"/>
          <w:lang w:val="en-GB"/>
        </w:rPr>
        <w:t>common modern interpretation of Medea is a woman who is emotionally unstable and volatile due to our social belief that any mother who commits infanticide to seek revenge against her husband is so overwhelmed by jealousy that she has become mentally un</w:t>
      </w:r>
      <w:r w:rsidRPr="1AFB9926" w:rsidR="4C5B6C35">
        <w:rPr>
          <w:rFonts w:ascii="Calibri" w:hAnsi="Calibri" w:eastAsia="Calibri" w:cs="Calibri"/>
          <w:b w:val="0"/>
          <w:bCs w:val="0"/>
          <w:i w:val="0"/>
          <w:iCs w:val="0"/>
          <w:strike w:val="0"/>
          <w:dstrike w:val="0"/>
          <w:noProof w:val="0"/>
          <w:color w:val="auto"/>
          <w:sz w:val="22"/>
          <w:szCs w:val="22"/>
          <w:u w:val="none"/>
          <w:lang w:val="en-GB"/>
        </w:rPr>
        <w:t>hinged</w:t>
      </w:r>
      <w:r w:rsidRPr="1AFB9926" w:rsidR="543E409E">
        <w:rPr>
          <w:rFonts w:ascii="Calibri" w:hAnsi="Calibri" w:eastAsia="Calibri" w:cs="Calibri"/>
          <w:b w:val="0"/>
          <w:bCs w:val="0"/>
          <w:i w:val="0"/>
          <w:iCs w:val="0"/>
          <w:strike w:val="0"/>
          <w:dstrike w:val="0"/>
          <w:noProof w:val="0"/>
          <w:color w:val="auto"/>
          <w:sz w:val="22"/>
          <w:szCs w:val="22"/>
          <w:u w:val="none"/>
          <w:lang w:val="en-GB"/>
        </w:rPr>
        <w:t>. However, to say that this interpretation of her actions would also have been made by tragic audiences reflects modern bias and is an assumption that overlooks the diverse perspectives prevalent in the ancient world - particularly in the polis of Athens, which functioned as an academic and cultural hub in Classical Greece, and was where the most popular version of the myth (as composed by Euripides) was performed. There is a lack of empirical evidence to support the notion that classical society viewed her actions as disproportionate or aberrant, or indeed that this was the message Euripides intended to get across in his version</w:t>
      </w:r>
      <w:r w:rsidRPr="1AFB9926">
        <w:rPr>
          <w:rStyle w:val="FootnoteReference"/>
          <w:rFonts w:ascii="Calibri" w:hAnsi="Calibri" w:eastAsia="Calibri" w:cs="Calibri"/>
          <w:b w:val="0"/>
          <w:bCs w:val="0"/>
          <w:i w:val="0"/>
          <w:iCs w:val="0"/>
          <w:strike w:val="0"/>
          <w:dstrike w:val="0"/>
          <w:noProof w:val="0"/>
          <w:color w:val="auto"/>
          <w:sz w:val="22"/>
          <w:szCs w:val="22"/>
          <w:u w:val="none"/>
          <w:lang w:val="en-GB"/>
        </w:rPr>
        <w:footnoteReference w:id="23737"/>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Instead, within the context of a society that placed immense value on familial honour, it is reasonable to suggest that Medea’s act of filicide may have been interpreted as emblematic of a mother’s unwavering devotion to her children: a drastic measure to safeguard her sons from potential exile following Jason’s remarriage, effectively punishing him for his betrayal. </w:t>
      </w:r>
      <w:r w:rsidRPr="1AFB9926" w:rsidR="4ABC537D">
        <w:rPr>
          <w:rFonts w:ascii="Calibri" w:hAnsi="Calibri" w:eastAsia="Calibri" w:cs="Calibri"/>
          <w:b w:val="0"/>
          <w:bCs w:val="0"/>
          <w:i w:val="0"/>
          <w:iCs w:val="0"/>
          <w:strike w:val="0"/>
          <w:dstrike w:val="0"/>
          <w:noProof w:val="0"/>
          <w:color w:val="auto"/>
          <w:sz w:val="22"/>
          <w:szCs w:val="22"/>
          <w:u w:val="none"/>
          <w:lang w:val="en-GB"/>
        </w:rPr>
        <w:t>Additionally,</w:t>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her familial connections to Helios and the perceived endorsement of her actions by divine entities further suggest a broader range of interpretations beyond petty jealousy or mental instability offered by Euripides. Therefore, while the religious elements of Euripides’ rendition certainly reflect the society in which he was composing his tragedy, the intended and actual messaging of his Medea has been clouded by contemporary interpretations. From a modern perspective, Euripides portrays Medea as vengeful and unhinged because that is how we interpret a mother’s decision to kill her children, but it is important to recognise that this characterisation is a contemporary one and therefore does not definitively reflect social attitudes of Euripides’ time. </w:t>
      </w:r>
    </w:p>
    <w:p xmlns:wp14="http://schemas.microsoft.com/office/word/2010/wordml" w:rsidP="1AFB9926" wp14:paraId="1F84D4B8" wp14:textId="6AB841D4">
      <w:pPr>
        <w:spacing w:before="0" w:beforeAutospacing="off" w:after="0" w:afterAutospacing="off"/>
        <w:ind w:left="-20" w:right="-20"/>
        <w:rPr>
          <w:rFonts w:ascii="Calibri" w:hAnsi="Calibri" w:eastAsia="Calibri" w:cs="Calibri"/>
          <w:b w:val="0"/>
          <w:bCs w:val="0"/>
          <w:i w:val="0"/>
          <w:iCs w:val="0"/>
          <w:strike w:val="0"/>
          <w:dstrike w:val="0"/>
          <w:noProof w:val="0"/>
          <w:color w:val="auto"/>
          <w:sz w:val="22"/>
          <w:szCs w:val="22"/>
          <w:u w:val="none"/>
          <w:lang w:val="en-GB"/>
        </w:rPr>
      </w:pPr>
    </w:p>
    <w:p xmlns:wp14="http://schemas.microsoft.com/office/word/2010/wordml" w:rsidP="1AFB9926" wp14:textId="6CC00DDB" wp14:paraId="55370373">
      <w:pPr>
        <w:spacing w:before="0" w:beforeAutospacing="off" w:after="0" w:afterAutospacing="off"/>
        <w:ind w:left="-20" w:right="-20"/>
        <w:rPr>
          <w:rFonts w:ascii="Calibri" w:hAnsi="Calibri" w:eastAsia="Calibri" w:cs="Calibri"/>
          <w:b w:val="0"/>
          <w:bCs w:val="0"/>
          <w:i w:val="0"/>
          <w:iCs w:val="0"/>
          <w:strike w:val="0"/>
          <w:dstrike w:val="0"/>
          <w:noProof w:val="0"/>
          <w:color w:val="auto"/>
          <w:sz w:val="22"/>
          <w:szCs w:val="22"/>
          <w:u w:val="none"/>
          <w:lang w:val="en-GB"/>
        </w:rPr>
      </w:pP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When one version of a myth becomes dominant, it influences interpretations of related themes and characters, which can lead to the marginalisation or suppression of alternative interpretations. The widespread acceptance of a single version can reinforce certain stereotypes that perpetuate existing power dynamics or social norms. In the context of Medea, Euripides’ rendition from 431 </w:t>
      </w:r>
      <w:r w:rsidRPr="1AFB9926" w:rsidR="7D46D4E6">
        <w:rPr>
          <w:rFonts w:ascii="Calibri" w:hAnsi="Calibri" w:eastAsia="Calibri" w:cs="Calibri"/>
          <w:b w:val="0"/>
          <w:bCs w:val="0"/>
          <w:i w:val="0"/>
          <w:iCs w:val="0"/>
          <w:strike w:val="0"/>
          <w:dstrike w:val="0"/>
          <w:noProof w:val="0"/>
          <w:color w:val="auto"/>
          <w:sz w:val="22"/>
          <w:szCs w:val="22"/>
          <w:u w:val="none"/>
          <w:lang w:val="en-GB"/>
        </w:rPr>
        <w:t>BCE</w:t>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is the version most familiar to modern audiences, characterising Medea as unstable, vindictive, and consumed by jealousy. However, as a single tragedian, Euripides does not </w:t>
      </w:r>
      <w:r w:rsidRPr="1AFB9926" w:rsidR="543E409E">
        <w:rPr>
          <w:rFonts w:ascii="Calibri" w:hAnsi="Calibri" w:eastAsia="Calibri" w:cs="Calibri"/>
          <w:b w:val="0"/>
          <w:bCs w:val="0"/>
          <w:i w:val="0"/>
          <w:iCs w:val="0"/>
          <w:strike w:val="0"/>
          <w:dstrike w:val="0"/>
          <w:noProof w:val="0"/>
          <w:color w:val="auto"/>
          <w:sz w:val="22"/>
          <w:szCs w:val="22"/>
          <w:u w:val="none"/>
          <w:lang w:val="en-GB"/>
        </w:rPr>
        <w:t>represent</w:t>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a homogenous perspective, and factors such as the availability of education</w:t>
      </w:r>
      <w:r w:rsidRPr="1AFB9926">
        <w:rPr>
          <w:rStyle w:val="FootnoteReference"/>
          <w:rFonts w:ascii="Calibri" w:hAnsi="Calibri" w:eastAsia="Calibri" w:cs="Calibri"/>
          <w:b w:val="0"/>
          <w:bCs w:val="0"/>
          <w:i w:val="0"/>
          <w:iCs w:val="0"/>
          <w:strike w:val="0"/>
          <w:dstrike w:val="0"/>
          <w:noProof w:val="0"/>
          <w:color w:val="auto"/>
          <w:sz w:val="22"/>
          <w:szCs w:val="22"/>
          <w:u w:val="none"/>
          <w:lang w:val="en-GB"/>
        </w:rPr>
        <w:footnoteReference w:id="20741"/>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in ancient Greece complicate the matter further as the viewpoints held by the educated minority would </w:t>
      </w:r>
      <w:bookmarkStart w:name="_Int_Mn1PHKhz" w:id="1817912965"/>
      <w:r w:rsidRPr="1AFB9926" w:rsidR="543E409E">
        <w:rPr>
          <w:rFonts w:ascii="Calibri" w:hAnsi="Calibri" w:eastAsia="Calibri" w:cs="Calibri"/>
          <w:b w:val="0"/>
          <w:bCs w:val="0"/>
          <w:i w:val="0"/>
          <w:iCs w:val="0"/>
          <w:strike w:val="0"/>
          <w:dstrike w:val="0"/>
          <w:noProof w:val="0"/>
          <w:color w:val="auto"/>
          <w:sz w:val="22"/>
          <w:szCs w:val="22"/>
          <w:u w:val="none"/>
          <w:lang w:val="en-GB"/>
        </w:rPr>
        <w:t>likely not</w:t>
      </w:r>
      <w:bookmarkEnd w:id="1817912965"/>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have reflected those of the wider population. Scholar Matthew Wright</w:t>
      </w:r>
      <w:r w:rsidRPr="1AFB9926">
        <w:rPr>
          <w:rStyle w:val="FootnoteReference"/>
          <w:rFonts w:ascii="Calibri" w:hAnsi="Calibri" w:eastAsia="Calibri" w:cs="Calibri"/>
          <w:b w:val="0"/>
          <w:bCs w:val="0"/>
          <w:i w:val="0"/>
          <w:iCs w:val="0"/>
          <w:strike w:val="0"/>
          <w:dstrike w:val="0"/>
          <w:noProof w:val="0"/>
          <w:color w:val="auto"/>
          <w:sz w:val="22"/>
          <w:szCs w:val="22"/>
          <w:u w:val="none"/>
          <w:lang w:val="en-GB"/>
        </w:rPr>
        <w:footnoteReference w:id="9106"/>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posits that what defines Medea is not solely her actions, but the multitude of stories in which she appears, influencing literary figures beyond those explicitly named after her. The predominance of Euripides’ portrayal has shaped contemporary </w:t>
      </w:r>
      <w:r w:rsidRPr="1AFB9926" w:rsidR="543E409E">
        <w:rPr>
          <w:rFonts w:ascii="Calibri" w:hAnsi="Calibri" w:eastAsia="Calibri" w:cs="Calibri"/>
          <w:b w:val="0"/>
          <w:bCs w:val="0"/>
          <w:i w:val="0"/>
          <w:iCs w:val="0"/>
          <w:strike w:val="0"/>
          <w:dstrike w:val="0"/>
          <w:noProof w:val="0"/>
          <w:color w:val="auto"/>
          <w:sz w:val="22"/>
          <w:szCs w:val="22"/>
          <w:u w:val="none"/>
          <w:lang w:val="en-GB"/>
        </w:rPr>
        <w:t>perceptions</w:t>
      </w:r>
      <w:r w:rsidRPr="1AFB9926" w:rsidR="543E409E">
        <w:rPr>
          <w:rFonts w:ascii="Calibri" w:hAnsi="Calibri" w:eastAsia="Calibri" w:cs="Calibri"/>
          <w:b w:val="0"/>
          <w:bCs w:val="0"/>
          <w:i w:val="0"/>
          <w:iCs w:val="0"/>
          <w:strike w:val="0"/>
          <w:dstrike w:val="0"/>
          <w:noProof w:val="0"/>
          <w:color w:val="auto"/>
          <w:sz w:val="22"/>
          <w:szCs w:val="22"/>
          <w:u w:val="none"/>
          <w:lang w:val="en-GB"/>
        </w:rPr>
        <w:t>, and Wright argues that it may have distorted our understanding not only of Medea, but also of similar female characters with which tragic audiences would have been familiar. Wright’s theory underscores how the popularisation of specific mythic iterations can significantly influence collective interpretations, obscuring alternative narratives that may not be as well-known, and erasing the fluidity and universality that is naturally inherent in myth. Thus, the emphasis on certain variations over others complicates the consideration of whether myths truly reflect a particular time and place, as each iteration becomes inseparable from the perceived cultural identity of a specific society.</w:t>
      </w:r>
    </w:p>
    <w:p xmlns:wp14="http://schemas.microsoft.com/office/word/2010/wordml" w:rsidP="62856EC7" wp14:paraId="50247F18" wp14:textId="7AD6D44B">
      <w:pPr>
        <w:rPr>
          <w:rFonts w:ascii="Calibri" w:hAnsi="Calibri" w:eastAsia="Calibri" w:cs="Calibri"/>
          <w:color w:val="auto"/>
          <w:sz w:val="22"/>
          <w:szCs w:val="22"/>
        </w:rPr>
      </w:pPr>
    </w:p>
    <w:p xmlns:wp14="http://schemas.microsoft.com/office/word/2010/wordml" w:rsidP="1AFB9926" wp14:paraId="3F608DA8" wp14:textId="47C4D6BF">
      <w:pPr>
        <w:spacing w:before="0" w:beforeAutospacing="off" w:after="0" w:afterAutospacing="off"/>
        <w:ind w:left="-20" w:right="-20"/>
        <w:rPr>
          <w:rFonts w:ascii="Calibri" w:hAnsi="Calibri" w:eastAsia="Calibri" w:cs="Calibri"/>
          <w:b w:val="0"/>
          <w:bCs w:val="0"/>
          <w:i w:val="0"/>
          <w:iCs w:val="0"/>
          <w:strike w:val="0"/>
          <w:dstrike w:val="0"/>
          <w:noProof w:val="0"/>
          <w:color w:val="auto"/>
          <w:sz w:val="22"/>
          <w:szCs w:val="22"/>
          <w:u w:val="none"/>
          <w:lang w:val="en-GB"/>
        </w:rPr>
      </w:pP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In focusing on Euripides’ version of Medea, this essay has explored the reasons behind its widespread popularity and the broader implications of the character’s complexity. Overall, myths often are a product of a specific time and place, but the influence of popularisation, interpretation, and variation means our understanding is far more complex. The popularisation of </w:t>
      </w:r>
      <w:bookmarkStart w:name="_Int_i8t03Xtf" w:id="23323965"/>
      <w:r w:rsidRPr="1AFB9926" w:rsidR="543E409E">
        <w:rPr>
          <w:rFonts w:ascii="Calibri" w:hAnsi="Calibri" w:eastAsia="Calibri" w:cs="Calibri"/>
          <w:b w:val="0"/>
          <w:bCs w:val="0"/>
          <w:i w:val="0"/>
          <w:iCs w:val="0"/>
          <w:strike w:val="0"/>
          <w:dstrike w:val="0"/>
          <w:noProof w:val="0"/>
          <w:color w:val="auto"/>
          <w:sz w:val="22"/>
          <w:szCs w:val="22"/>
          <w:u w:val="none"/>
          <w:lang w:val="en-GB"/>
        </w:rPr>
        <w:t>particular variations</w:t>
      </w:r>
      <w:bookmarkEnd w:id="23323965"/>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means a myth can become connected to a specific culture and society, even if it did not originate there. We see this with Euripides’ Medea being the primary reference point for the character of Medea</w:t>
      </w:r>
      <w:r w:rsidRPr="1AFB9926" w:rsidR="41252750">
        <w:rPr>
          <w:rFonts w:ascii="Calibri" w:hAnsi="Calibri" w:eastAsia="Calibri" w:cs="Calibri"/>
          <w:b w:val="0"/>
          <w:bCs w:val="0"/>
          <w:i w:val="0"/>
          <w:iCs w:val="0"/>
          <w:strike w:val="0"/>
          <w:dstrike w:val="0"/>
          <w:noProof w:val="0"/>
          <w:color w:val="auto"/>
          <w:sz w:val="22"/>
          <w:szCs w:val="22"/>
          <w:u w:val="none"/>
          <w:lang w:val="en-GB"/>
        </w:rPr>
        <w:t xml:space="preserve"> in contemporary academia</w:t>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 despite his </w:t>
      </w:r>
      <w:r w:rsidRPr="1AFB9926" w:rsidR="611C6723">
        <w:rPr>
          <w:rFonts w:ascii="Calibri" w:hAnsi="Calibri" w:eastAsia="Calibri" w:cs="Calibri"/>
          <w:b w:val="0"/>
          <w:bCs w:val="0"/>
          <w:i w:val="0"/>
          <w:iCs w:val="0"/>
          <w:strike w:val="0"/>
          <w:dstrike w:val="0"/>
          <w:noProof w:val="0"/>
          <w:color w:val="auto"/>
          <w:sz w:val="22"/>
          <w:szCs w:val="22"/>
          <w:u w:val="none"/>
          <w:lang w:val="en-GB"/>
        </w:rPr>
        <w:t xml:space="preserve">rendition </w:t>
      </w:r>
      <w:r w:rsidRPr="1AFB9926" w:rsidR="543E409E">
        <w:rPr>
          <w:rFonts w:ascii="Calibri" w:hAnsi="Calibri" w:eastAsia="Calibri" w:cs="Calibri"/>
          <w:b w:val="0"/>
          <w:bCs w:val="0"/>
          <w:i w:val="0"/>
          <w:iCs w:val="0"/>
          <w:strike w:val="0"/>
          <w:dstrike w:val="0"/>
          <w:noProof w:val="0"/>
          <w:color w:val="auto"/>
          <w:sz w:val="22"/>
          <w:szCs w:val="22"/>
          <w:u w:val="none"/>
          <w:lang w:val="en-GB"/>
        </w:rPr>
        <w:t>not being the ‘original’ or sole version. However, the interpretation of myth is not relegated to a specific time or place. While the characters, locations, and behaviours portrayed in a mythic tale reflect the period in which it was composed</w:t>
      </w:r>
      <w:r w:rsidRPr="1AFB9926" w:rsidR="1C4DAC51">
        <w:rPr>
          <w:rFonts w:ascii="Calibri" w:hAnsi="Calibri" w:eastAsia="Calibri" w:cs="Calibri"/>
          <w:b w:val="0"/>
          <w:bCs w:val="0"/>
          <w:i w:val="0"/>
          <w:iCs w:val="0"/>
          <w:strike w:val="0"/>
          <w:dstrike w:val="0"/>
          <w:noProof w:val="0"/>
          <w:color w:val="auto"/>
          <w:sz w:val="22"/>
          <w:szCs w:val="22"/>
          <w:u w:val="none"/>
          <w:lang w:val="en-GB"/>
        </w:rPr>
        <w:t xml:space="preserve"> or </w:t>
      </w:r>
      <w:r w:rsidRPr="1AFB9926" w:rsidR="543E409E">
        <w:rPr>
          <w:rFonts w:ascii="Calibri" w:hAnsi="Calibri" w:eastAsia="Calibri" w:cs="Calibri"/>
          <w:b w:val="0"/>
          <w:bCs w:val="0"/>
          <w:i w:val="0"/>
          <w:iCs w:val="0"/>
          <w:strike w:val="0"/>
          <w:dstrike w:val="0"/>
          <w:noProof w:val="0"/>
          <w:color w:val="auto"/>
          <w:sz w:val="22"/>
          <w:szCs w:val="22"/>
          <w:u w:val="none"/>
          <w:lang w:val="en-GB"/>
        </w:rPr>
        <w:t xml:space="preserve">written, the interpretation of myth changes over time. In the case of Medea, the way contemporary audiences view her character and actions will not mirror how ancient tragic audiences felt. This is because of changes in social expectations, religious perspectives, and global culture; as well as the impact of different iterations. </w:t>
      </w:r>
    </w:p>
    <w:p xmlns:wp14="http://schemas.microsoft.com/office/word/2010/wordml" w:rsidP="62856EC7" wp14:paraId="7DC4F26D" wp14:textId="5A9EAF90">
      <w:pPr>
        <w:pStyle w:val="Normal"/>
        <w:rPr>
          <w:rFonts w:ascii="Calibri" w:hAnsi="Calibri" w:eastAsia="Calibri" w:cs="Calibri"/>
          <w:color w:val="auto"/>
          <w:sz w:val="22"/>
          <w:szCs w:val="22"/>
        </w:rPr>
      </w:pPr>
    </w:p>
    <w:p xmlns:wp14="http://schemas.microsoft.com/office/word/2010/wordml" w:rsidP="62856EC7" wp14:paraId="0D5C84B4" wp14:textId="28F4749E">
      <w:pPr>
        <w:pStyle w:val="Normal"/>
        <w:rPr>
          <w:rFonts w:ascii="Calibri" w:hAnsi="Calibri" w:eastAsia="Calibri" w:cs="Calibri"/>
          <w:color w:val="auto"/>
          <w:sz w:val="22"/>
          <w:szCs w:val="22"/>
        </w:rPr>
      </w:pPr>
    </w:p>
    <w:p xmlns:wp14="http://schemas.microsoft.com/office/word/2010/wordml" w:rsidP="62856EC7" wp14:paraId="57326BFA" wp14:textId="22F98C6B">
      <w:pPr>
        <w:spacing w:before="0" w:beforeAutospacing="off" w:after="0" w:afterAutospacing="off"/>
        <w:ind w:left="-20" w:right="-20"/>
        <w:rPr>
          <w:rFonts w:ascii="Calibri" w:hAnsi="Calibri" w:eastAsia="Calibri" w:cs="Calibri"/>
          <w:b w:val="0"/>
          <w:bCs w:val="0"/>
          <w:i w:val="0"/>
          <w:iCs w:val="0"/>
          <w:strike w:val="0"/>
          <w:dstrike w:val="0"/>
          <w:noProof w:val="0"/>
          <w:color w:val="auto"/>
          <w:sz w:val="22"/>
          <w:szCs w:val="22"/>
          <w:u w:val="single"/>
          <w:lang w:val="en-GB"/>
        </w:rPr>
      </w:pPr>
      <w:r w:rsidRPr="62856EC7" w:rsidR="543E409E">
        <w:rPr>
          <w:rFonts w:ascii="Calibri" w:hAnsi="Calibri" w:eastAsia="Calibri" w:cs="Calibri"/>
          <w:b w:val="0"/>
          <w:bCs w:val="0"/>
          <w:i w:val="0"/>
          <w:iCs w:val="0"/>
          <w:strike w:val="0"/>
          <w:dstrike w:val="0"/>
          <w:noProof w:val="0"/>
          <w:color w:val="auto"/>
          <w:sz w:val="22"/>
          <w:szCs w:val="22"/>
          <w:u w:val="single"/>
          <w:lang w:val="en-GB"/>
        </w:rPr>
        <w:t>Further reading</w:t>
      </w:r>
      <w:r w:rsidRPr="62856EC7" w:rsidR="543E409E">
        <w:rPr>
          <w:rFonts w:ascii="Calibri" w:hAnsi="Calibri" w:eastAsia="Calibri" w:cs="Calibri"/>
          <w:b w:val="0"/>
          <w:bCs w:val="0"/>
          <w:i w:val="0"/>
          <w:iCs w:val="0"/>
          <w:strike w:val="0"/>
          <w:dstrike w:val="0"/>
          <w:noProof w:val="0"/>
          <w:color w:val="auto"/>
          <w:sz w:val="22"/>
          <w:szCs w:val="22"/>
          <w:u w:val="none"/>
          <w:lang w:val="en-GB"/>
        </w:rPr>
        <w:t xml:space="preserve">: </w:t>
      </w:r>
    </w:p>
    <w:p xmlns:wp14="http://schemas.microsoft.com/office/word/2010/wordml" w:rsidP="1AFB9926" wp14:paraId="7F8DE5B8" wp14:textId="6FE85925">
      <w:pPr>
        <w:spacing w:before="0" w:beforeAutospacing="off" w:after="0" w:afterAutospacing="off"/>
        <w:ind w:left="-20" w:right="-20"/>
        <w:rPr>
          <w:rFonts w:ascii="Calibri" w:hAnsi="Calibri" w:eastAsia="Calibri" w:cs="Calibri"/>
          <w:b w:val="0"/>
          <w:bCs w:val="0"/>
          <w:i w:val="0"/>
          <w:iCs w:val="0"/>
          <w:strike w:val="0"/>
          <w:dstrike w:val="0"/>
          <w:noProof w:val="0"/>
          <w:color w:val="auto"/>
          <w:sz w:val="22"/>
          <w:szCs w:val="22"/>
          <w:u w:val="none"/>
          <w:lang w:val="en-GB"/>
        </w:rPr>
      </w:pPr>
      <w:r w:rsidRPr="1AFB9926" w:rsidR="2CD9A2C7">
        <w:rPr>
          <w:rFonts w:ascii="Calibri" w:hAnsi="Calibri" w:eastAsia="Calibri" w:cs="Calibri"/>
          <w:b w:val="0"/>
          <w:bCs w:val="0"/>
          <w:i w:val="0"/>
          <w:iCs w:val="0"/>
          <w:strike w:val="0"/>
          <w:dstrike w:val="0"/>
          <w:noProof w:val="0"/>
          <w:color w:val="auto"/>
          <w:sz w:val="22"/>
          <w:szCs w:val="22"/>
          <w:u w:val="none"/>
          <w:lang w:val="en-GB"/>
        </w:rPr>
        <w:t>Rehm, R., 1985. The ‘Agon’ and the Audience: A Study of Euripides’ “Medea</w:t>
      </w:r>
      <w:r w:rsidRPr="1AFB9926" w:rsidR="640BE890">
        <w:rPr>
          <w:rFonts w:ascii="Calibri" w:hAnsi="Calibri" w:eastAsia="Calibri" w:cs="Calibri"/>
          <w:b w:val="0"/>
          <w:bCs w:val="0"/>
          <w:i w:val="0"/>
          <w:iCs w:val="0"/>
          <w:strike w:val="0"/>
          <w:dstrike w:val="0"/>
          <w:noProof w:val="0"/>
          <w:color w:val="auto"/>
          <w:sz w:val="22"/>
          <w:szCs w:val="22"/>
          <w:u w:val="none"/>
          <w:lang w:val="en-GB"/>
        </w:rPr>
        <w:t>,”</w:t>
      </w:r>
      <w:r w:rsidRPr="1AFB9926" w:rsidR="2CD9A2C7">
        <w:rPr>
          <w:rFonts w:ascii="Calibri" w:hAnsi="Calibri" w:eastAsia="Calibri" w:cs="Calibri"/>
          <w:b w:val="0"/>
          <w:bCs w:val="0"/>
          <w:i w:val="0"/>
          <w:iCs w:val="0"/>
          <w:strike w:val="0"/>
          <w:dstrike w:val="0"/>
          <w:noProof w:val="0"/>
          <w:color w:val="auto"/>
          <w:sz w:val="22"/>
          <w:szCs w:val="22"/>
          <w:u w:val="none"/>
          <w:lang w:val="en-GB"/>
        </w:rPr>
        <w:t xml:space="preserve"> “Heracles</w:t>
      </w:r>
      <w:r w:rsidRPr="1AFB9926" w:rsidR="0651BB0D">
        <w:rPr>
          <w:rFonts w:ascii="Calibri" w:hAnsi="Calibri" w:eastAsia="Calibri" w:cs="Calibri"/>
          <w:b w:val="0"/>
          <w:bCs w:val="0"/>
          <w:i w:val="0"/>
          <w:iCs w:val="0"/>
          <w:strike w:val="0"/>
          <w:dstrike w:val="0"/>
          <w:noProof w:val="0"/>
          <w:color w:val="auto"/>
          <w:sz w:val="22"/>
          <w:szCs w:val="22"/>
          <w:u w:val="none"/>
          <w:lang w:val="en-GB"/>
        </w:rPr>
        <w:t>,”</w:t>
      </w:r>
      <w:r w:rsidRPr="1AFB9926" w:rsidR="2CD9A2C7">
        <w:rPr>
          <w:rFonts w:ascii="Calibri" w:hAnsi="Calibri" w:eastAsia="Calibri" w:cs="Calibri"/>
          <w:b w:val="0"/>
          <w:bCs w:val="0"/>
          <w:i w:val="0"/>
          <w:iCs w:val="0"/>
          <w:strike w:val="0"/>
          <w:dstrike w:val="0"/>
          <w:noProof w:val="0"/>
          <w:color w:val="auto"/>
          <w:sz w:val="22"/>
          <w:szCs w:val="22"/>
          <w:u w:val="none"/>
          <w:lang w:val="en-GB"/>
        </w:rPr>
        <w:t xml:space="preserve"> and “Ion” (Greek Tragedy, Stanford University. </w:t>
      </w:r>
    </w:p>
    <w:p xmlns:wp14="http://schemas.microsoft.com/office/word/2010/wordml" w:rsidP="62856EC7" wp14:paraId="45906FBC" wp14:textId="2610F348">
      <w:pPr>
        <w:pStyle w:val="Normal"/>
        <w:spacing w:before="0" w:beforeAutospacing="off" w:after="0" w:afterAutospacing="off"/>
        <w:ind w:left="-20" w:right="-20"/>
        <w:rPr>
          <w:rFonts w:ascii="Calibri" w:hAnsi="Calibri" w:eastAsia="Calibri" w:cs="Calibri"/>
          <w:b w:val="0"/>
          <w:bCs w:val="0"/>
          <w:i w:val="0"/>
          <w:iCs w:val="0"/>
          <w:strike w:val="0"/>
          <w:dstrike w:val="0"/>
          <w:noProof w:val="0"/>
          <w:color w:val="auto"/>
          <w:sz w:val="22"/>
          <w:szCs w:val="22"/>
          <w:u w:val="none"/>
          <w:lang w:val="en-GB"/>
        </w:rPr>
      </w:pPr>
    </w:p>
    <w:p xmlns:wp14="http://schemas.microsoft.com/office/word/2010/wordml" w:rsidP="62856EC7" wp14:paraId="3BE2EBAC" wp14:textId="448DC5A8">
      <w:pPr>
        <w:pStyle w:val="Normal"/>
        <w:spacing w:before="0" w:beforeAutospacing="off" w:after="0" w:afterAutospacing="off"/>
        <w:ind w:left="-20" w:right="-20"/>
      </w:pPr>
      <w:r w:rsidRPr="62856EC7" w:rsidR="5FE8099A">
        <w:rPr>
          <w:rFonts w:ascii="Calibri" w:hAnsi="Calibri" w:eastAsia="Calibri" w:cs="Calibri"/>
          <w:noProof w:val="0"/>
          <w:sz w:val="22"/>
          <w:szCs w:val="22"/>
          <w:lang w:val="en-GB"/>
        </w:rPr>
        <w:t xml:space="preserve">Frisch, Mary Enrico, "The Medea of Euripides and Seneca: A Comparison" (1941). Master's Theses. 180. </w:t>
      </w:r>
    </w:p>
    <w:p xmlns:wp14="http://schemas.microsoft.com/office/word/2010/wordml" w:rsidP="62856EC7" wp14:paraId="1EB718B5" wp14:textId="01708C38">
      <w:pPr>
        <w:pStyle w:val="Normal"/>
        <w:spacing w:before="0" w:beforeAutospacing="off" w:after="0" w:afterAutospacing="off"/>
        <w:ind w:left="-20" w:right="-20"/>
        <w:rPr>
          <w:rFonts w:ascii="Calibri" w:hAnsi="Calibri" w:eastAsia="Calibri" w:cs="Calibri"/>
          <w:noProof w:val="0"/>
          <w:sz w:val="22"/>
          <w:szCs w:val="22"/>
          <w:lang w:val="en-GB"/>
        </w:rPr>
      </w:pPr>
    </w:p>
    <w:p xmlns:wp14="http://schemas.microsoft.com/office/word/2010/wordml" w:rsidP="62856EC7" wp14:paraId="6BC32F99" wp14:textId="35679C19">
      <w:pPr>
        <w:pStyle w:val="Normal"/>
        <w:spacing w:before="0" w:beforeAutospacing="off" w:after="0" w:afterAutospacing="off"/>
        <w:ind w:left="-20" w:right="-20"/>
        <w:rPr>
          <w:rFonts w:ascii="Calibri" w:hAnsi="Calibri" w:eastAsia="Calibri" w:cs="Calibri"/>
          <w:noProof w:val="0"/>
          <w:sz w:val="22"/>
          <w:szCs w:val="22"/>
          <w:lang w:val="en-GB"/>
        </w:rPr>
      </w:pPr>
      <w:r w:rsidRPr="1AFB9926" w:rsidR="56F2E242">
        <w:rPr>
          <w:rFonts w:ascii="Calibri" w:hAnsi="Calibri" w:eastAsia="Calibri" w:cs="Calibri"/>
          <w:noProof w:val="0"/>
          <w:sz w:val="22"/>
          <w:szCs w:val="22"/>
          <w:lang w:val="en-GB"/>
        </w:rPr>
        <w:t xml:space="preserve">Allan, Arlene. “Masters of Manipulation: Euripides’ (and Medea’s) Use of Oaths in Medea.” </w:t>
      </w:r>
      <w:bookmarkStart w:name="_Int_21zrUw42" w:id="632493170"/>
      <w:r w:rsidRPr="1AFB9926" w:rsidR="56F2E242">
        <w:rPr>
          <w:rFonts w:ascii="Calibri" w:hAnsi="Calibri" w:eastAsia="Calibri" w:cs="Calibri"/>
          <w:i w:val="1"/>
          <w:iCs w:val="1"/>
          <w:noProof w:val="0"/>
          <w:sz w:val="22"/>
          <w:szCs w:val="22"/>
          <w:lang w:val="en-GB"/>
        </w:rPr>
        <w:t>Horkos</w:t>
      </w:r>
      <w:bookmarkEnd w:id="632493170"/>
      <w:r w:rsidRPr="1AFB9926" w:rsidR="56F2E242">
        <w:rPr>
          <w:rFonts w:ascii="Calibri" w:hAnsi="Calibri" w:eastAsia="Calibri" w:cs="Calibri"/>
          <w:i w:val="1"/>
          <w:iCs w:val="1"/>
          <w:noProof w:val="0"/>
          <w:sz w:val="22"/>
          <w:szCs w:val="22"/>
          <w:lang w:val="en-GB"/>
        </w:rPr>
        <w:t>: The Oath in Greek Society</w:t>
      </w:r>
      <w:r w:rsidRPr="1AFB9926" w:rsidR="56F2E242">
        <w:rPr>
          <w:rFonts w:ascii="Calibri" w:hAnsi="Calibri" w:eastAsia="Calibri" w:cs="Calibri"/>
          <w:noProof w:val="0"/>
          <w:sz w:val="22"/>
          <w:szCs w:val="22"/>
          <w:lang w:val="en-GB"/>
        </w:rPr>
        <w:t xml:space="preserve">,1st ed., Liverpool University Press, 2007, pp. 113–24. </w:t>
      </w:r>
      <w:r w:rsidRPr="1AFB9926" w:rsidR="56F2E242">
        <w:rPr>
          <w:rFonts w:ascii="Calibri" w:hAnsi="Calibri" w:eastAsia="Calibri" w:cs="Calibri"/>
          <w:i w:val="1"/>
          <w:iCs w:val="1"/>
          <w:noProof w:val="0"/>
          <w:sz w:val="22"/>
          <w:szCs w:val="22"/>
          <w:lang w:val="en-GB"/>
        </w:rPr>
        <w:t>JSTOR</w:t>
      </w:r>
      <w:r w:rsidRPr="1AFB9926" w:rsidR="18F94228">
        <w:rPr>
          <w:rFonts w:ascii="Calibri" w:hAnsi="Calibri" w:eastAsia="Calibri" w:cs="Calibri"/>
          <w:i w:val="1"/>
          <w:iCs w:val="1"/>
          <w:noProof w:val="0"/>
          <w:sz w:val="22"/>
          <w:szCs w:val="22"/>
          <w:lang w:val="en-GB"/>
        </w:rPr>
        <w:t>.</w:t>
      </w:r>
    </w:p>
    <w:p xmlns:wp14="http://schemas.microsoft.com/office/word/2010/wordml" w:rsidP="62856EC7" wp14:paraId="7E448CE9" wp14:textId="26786EF2">
      <w:pPr>
        <w:pStyle w:val="Normal"/>
        <w:spacing w:before="0" w:beforeAutospacing="off" w:after="0" w:afterAutospacing="off"/>
        <w:ind w:left="-20" w:right="-20"/>
        <w:rPr>
          <w:rFonts w:ascii="Calibri" w:hAnsi="Calibri" w:eastAsia="Calibri" w:cs="Calibri"/>
          <w:noProof w:val="0"/>
          <w:sz w:val="22"/>
          <w:szCs w:val="22"/>
          <w:lang w:val="en-GB"/>
        </w:rPr>
      </w:pPr>
    </w:p>
    <w:p xmlns:wp14="http://schemas.microsoft.com/office/word/2010/wordml" w:rsidP="62856EC7" wp14:paraId="5533126B" wp14:textId="3437A55E">
      <w:pPr>
        <w:ind w:left="-20" w:right="-20"/>
        <w:rPr>
          <w:rFonts w:ascii="Calibri" w:hAnsi="Calibri" w:eastAsia="Calibri" w:cs="Calibri"/>
          <w:noProof w:val="0"/>
          <w:sz w:val="22"/>
          <w:szCs w:val="22"/>
          <w:lang w:val="en-GB"/>
        </w:rPr>
      </w:pPr>
      <w:r w:rsidRPr="62856EC7" w:rsidR="32DCF4A4">
        <w:rPr>
          <w:rFonts w:ascii="Calibri" w:hAnsi="Calibri" w:eastAsia="Calibri" w:cs="Calibri"/>
          <w:noProof w:val="0"/>
          <w:sz w:val="22"/>
          <w:szCs w:val="22"/>
          <w:lang w:val="en-GB"/>
        </w:rPr>
        <w:t>S</w:t>
      </w:r>
      <w:r w:rsidRPr="62856EC7" w:rsidR="39A6CF8F">
        <w:rPr>
          <w:rFonts w:ascii="Calibri" w:hAnsi="Calibri" w:eastAsia="Calibri" w:cs="Calibri"/>
          <w:noProof w:val="0"/>
          <w:sz w:val="22"/>
          <w:szCs w:val="22"/>
          <w:lang w:val="en-GB"/>
        </w:rPr>
        <w:t>egal</w:t>
      </w:r>
      <w:r w:rsidRPr="62856EC7" w:rsidR="32DCF4A4">
        <w:rPr>
          <w:rFonts w:ascii="Calibri" w:hAnsi="Calibri" w:eastAsia="Calibri" w:cs="Calibri"/>
          <w:noProof w:val="0"/>
          <w:sz w:val="22"/>
          <w:szCs w:val="22"/>
          <w:lang w:val="en-GB"/>
        </w:rPr>
        <w:t xml:space="preserve">, Charles. “Euripides’ ‘Medea’: Vengeance, Reversal and Closure.” </w:t>
      </w:r>
      <w:r w:rsidRPr="62856EC7" w:rsidR="32DCF4A4">
        <w:rPr>
          <w:rFonts w:ascii="Calibri" w:hAnsi="Calibri" w:eastAsia="Calibri" w:cs="Calibri"/>
          <w:i w:val="1"/>
          <w:iCs w:val="1"/>
          <w:noProof w:val="0"/>
          <w:sz w:val="22"/>
          <w:szCs w:val="22"/>
          <w:lang w:val="en-GB"/>
        </w:rPr>
        <w:t>Pallas</w:t>
      </w:r>
      <w:r w:rsidRPr="62856EC7" w:rsidR="32DCF4A4">
        <w:rPr>
          <w:rFonts w:ascii="Calibri" w:hAnsi="Calibri" w:eastAsia="Calibri" w:cs="Calibri"/>
          <w:noProof w:val="0"/>
          <w:sz w:val="22"/>
          <w:szCs w:val="22"/>
          <w:lang w:val="en-GB"/>
        </w:rPr>
        <w:t xml:space="preserve">, no. 45, 1996, pp. 15–44. </w:t>
      </w:r>
      <w:r w:rsidRPr="62856EC7" w:rsidR="32DCF4A4">
        <w:rPr>
          <w:rFonts w:ascii="Calibri" w:hAnsi="Calibri" w:eastAsia="Calibri" w:cs="Calibri"/>
          <w:i w:val="1"/>
          <w:iCs w:val="1"/>
          <w:noProof w:val="0"/>
          <w:sz w:val="22"/>
          <w:szCs w:val="22"/>
          <w:lang w:val="en-GB"/>
        </w:rPr>
        <w:t>JSTOR</w:t>
      </w:r>
      <w:r w:rsidRPr="62856EC7" w:rsidR="57428613">
        <w:rPr>
          <w:rFonts w:ascii="Calibri" w:hAnsi="Calibri" w:eastAsia="Calibri" w:cs="Calibri"/>
          <w:i w:val="1"/>
          <w:iCs w:val="1"/>
          <w:noProof w:val="0"/>
          <w:sz w:val="22"/>
          <w:szCs w:val="22"/>
          <w:lang w:val="en-GB"/>
        </w:rPr>
        <w:t>.</w:t>
      </w:r>
    </w:p>
    <w:p xmlns:wp14="http://schemas.microsoft.com/office/word/2010/wordml" w:rsidP="62856EC7" wp14:paraId="4A4404C9" wp14:textId="734C6C02">
      <w:pPr>
        <w:pStyle w:val="Normal"/>
        <w:ind w:left="-20" w:right="-20"/>
        <w:rPr>
          <w:rFonts w:ascii="Calibri" w:hAnsi="Calibri" w:eastAsia="Calibri" w:cs="Calibri"/>
          <w:noProof w:val="0"/>
          <w:sz w:val="22"/>
          <w:szCs w:val="22"/>
          <w:lang w:val="en-GB"/>
        </w:rPr>
      </w:pPr>
    </w:p>
    <w:p xmlns:wp14="http://schemas.microsoft.com/office/word/2010/wordml" w:rsidP="62856EC7" wp14:paraId="2832369E" wp14:textId="2D00B13B">
      <w:pPr>
        <w:rPr>
          <w:rFonts w:ascii="Calibri" w:hAnsi="Calibri" w:eastAsia="Calibri" w:cs="Calibri"/>
          <w:color w:val="auto"/>
          <w:sz w:val="22"/>
          <w:szCs w:val="22"/>
        </w:rPr>
      </w:pPr>
    </w:p>
    <w:p xmlns:wp14="http://schemas.microsoft.com/office/word/2010/wordml" w:rsidP="62856EC7" wp14:paraId="235F7FC2" wp14:textId="022802A0">
      <w:pPr>
        <w:rPr>
          <w:rFonts w:ascii="Calibri" w:hAnsi="Calibri" w:eastAsia="Calibri" w:cs="Calibri"/>
          <w:color w:val="auto"/>
          <w:sz w:val="22"/>
          <w:szCs w:val="22"/>
        </w:rPr>
      </w:pPr>
    </w:p>
    <w:p xmlns:wp14="http://schemas.microsoft.com/office/word/2010/wordml" w:rsidP="62856EC7" wp14:paraId="79C590C1" wp14:textId="32543AA2">
      <w:pPr>
        <w:rPr>
          <w:rFonts w:ascii="Calibri" w:hAnsi="Calibri" w:eastAsia="Calibri" w:cs="Calibri"/>
          <w:color w:val="auto"/>
          <w:sz w:val="22"/>
          <w:szCs w:val="22"/>
        </w:rPr>
      </w:pPr>
    </w:p>
    <w:p xmlns:wp14="http://schemas.microsoft.com/office/word/2010/wordml" w:rsidP="62856EC7" wp14:paraId="2C078E63" wp14:textId="258D26E1">
      <w:pPr>
        <w:pStyle w:val="Normal"/>
        <w:rPr>
          <w:rFonts w:ascii="Calibri" w:hAnsi="Calibri" w:eastAsia="Calibri" w:cs="Calibri"/>
          <w:color w:val="auto"/>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62856EC7" w:rsidRDefault="62856EC7" w14:paraId="152FE419" w14:textId="7973FF55">
      <w:pPr>
        <w:spacing w:after="0" w:line="240" w:lineRule="auto"/>
      </w:pPr>
      <w:r>
        <w:separator/>
      </w:r>
    </w:p>
  </w:footnote>
  <w:footnote w:type="continuationSeparator" w:id="0">
    <w:p w:rsidR="62856EC7" w:rsidRDefault="62856EC7" w14:paraId="45EDE0D3" w14:textId="026BCF27">
      <w:pPr>
        <w:spacing w:after="0" w:line="240" w:lineRule="auto"/>
      </w:pPr>
      <w:r>
        <w:continuationSeparator/>
      </w:r>
    </w:p>
  </w:footnote>
  <w:footnote w:id="9106">
    <w:p w:rsidR="62856EC7" w:rsidP="4E5BAE89" w:rsidRDefault="62856EC7" w14:paraId="2D52F6F2" w14:textId="7B031E39">
      <w:pPr>
        <w:pStyle w:val="Normal"/>
        <w:bidi w:val="0"/>
        <w:spacing w:before="0" w:beforeAutospacing="off" w:after="0" w:afterAutospacing="off"/>
        <w:ind w:left="-20" w:right="-20" w:firstLine="0"/>
        <w:rPr>
          <w:rFonts w:ascii="Calibri" w:hAnsi="Calibri" w:eastAsia="Calibri" w:cs="Calibri"/>
          <w:b w:val="0"/>
          <w:bCs w:val="0"/>
          <w:i w:val="0"/>
          <w:iCs w:val="0"/>
          <w:strike w:val="0"/>
          <w:dstrike w:val="0"/>
          <w:noProof w:val="0"/>
          <w:color w:val="auto"/>
          <w:sz w:val="22"/>
          <w:szCs w:val="22"/>
          <w:u w:val="none"/>
          <w:lang w:val="en-GB"/>
        </w:rPr>
      </w:pPr>
      <w:r w:rsidRPr="4E5BAE89">
        <w:rPr>
          <w:rStyle w:val="FootnoteReference"/>
          <w:rFonts w:ascii="Calibri Light" w:hAnsi="Calibri Light" w:eastAsia="Calibri Light" w:cs="Calibri Light"/>
          <w:sz w:val="22"/>
          <w:szCs w:val="22"/>
        </w:rPr>
        <w:footnoteRef/>
      </w:r>
      <w:r w:rsidRPr="4E5BAE89" w:rsidR="4E5BAE89">
        <w:rPr>
          <w:rFonts w:ascii="Calibri Light" w:hAnsi="Calibri Light" w:eastAsia="Calibri Light" w:cs="Calibri Light"/>
          <w:sz w:val="22"/>
          <w:szCs w:val="22"/>
        </w:rPr>
        <w:t xml:space="preserve"> </w:t>
      </w:r>
      <w:r w:rsidRPr="4E5BAE89" w:rsidR="4E5BAE89">
        <w:rPr>
          <w:rFonts w:ascii="Calibri Light" w:hAnsi="Calibri Light" w:eastAsia="Calibri Light" w:cs="Calibri Light"/>
          <w:b w:val="0"/>
          <w:bCs w:val="0"/>
          <w:i w:val="0"/>
          <w:iCs w:val="0"/>
          <w:strike w:val="0"/>
          <w:dstrike w:val="0"/>
          <w:noProof w:val="0"/>
          <w:color w:val="auto"/>
          <w:sz w:val="22"/>
          <w:szCs w:val="22"/>
          <w:u w:val="none"/>
          <w:lang w:val="en-GB"/>
        </w:rPr>
        <w:t xml:space="preserve">Wright, Matthew, ‘Making Medea Medea,’ in </w:t>
      </w:r>
      <w:r w:rsidRPr="4E5BAE89" w:rsidR="4E5BAE89">
        <w:rPr>
          <w:rFonts w:ascii="Calibri Light" w:hAnsi="Calibri Light" w:eastAsia="Calibri Light" w:cs="Calibri Light"/>
          <w:b w:val="0"/>
          <w:bCs w:val="0"/>
          <w:i w:val="1"/>
          <w:iCs w:val="1"/>
          <w:strike w:val="0"/>
          <w:dstrike w:val="0"/>
          <w:noProof w:val="0"/>
          <w:color w:val="auto"/>
          <w:sz w:val="22"/>
          <w:szCs w:val="22"/>
          <w:u w:val="none"/>
          <w:lang w:val="en-GB"/>
        </w:rPr>
        <w:t>Female Characters in Fragmentary Greek Tragedy</w:t>
      </w:r>
      <w:r w:rsidRPr="4E5BAE89" w:rsidR="4E5BAE89">
        <w:rPr>
          <w:rFonts w:ascii="Calibri Light" w:hAnsi="Calibri Light" w:eastAsia="Calibri Light" w:cs="Calibri Light"/>
          <w:b w:val="0"/>
          <w:bCs w:val="0"/>
          <w:i w:val="0"/>
          <w:iCs w:val="0"/>
          <w:strike w:val="0"/>
          <w:dstrike w:val="0"/>
          <w:noProof w:val="0"/>
          <w:color w:val="auto"/>
          <w:sz w:val="22"/>
          <w:szCs w:val="22"/>
          <w:u w:val="none"/>
          <w:lang w:val="en-GB"/>
        </w:rPr>
        <w:t>, ed. by P. J. Finglass and Lyndsay Coo (Cambridge: Cambridge University Press, 2020), pp. 216–43</w:t>
      </w:r>
    </w:p>
  </w:footnote>
  <w:footnote w:id="31991">
    <w:p w:rsidR="62856EC7" w:rsidP="4E5BAE89" w:rsidRDefault="62856EC7" w14:paraId="7075ADC8" w14:textId="0CABF51D">
      <w:pPr>
        <w:pStyle w:val="Normal"/>
        <w:bidi w:val="0"/>
        <w:spacing w:before="0" w:beforeAutospacing="off" w:after="0" w:afterAutospacing="off"/>
        <w:ind w:left="-20" w:right="-20" w:firstLine="0"/>
        <w:rPr>
          <w:rFonts w:ascii="Calibri" w:hAnsi="Calibri" w:eastAsia="Calibri" w:cs="Calibri"/>
          <w:b w:val="0"/>
          <w:bCs w:val="0"/>
          <w:i w:val="0"/>
          <w:iCs w:val="0"/>
          <w:strike w:val="0"/>
          <w:dstrike w:val="0"/>
          <w:noProof w:val="0"/>
          <w:color w:val="auto"/>
          <w:sz w:val="22"/>
          <w:szCs w:val="22"/>
          <w:u w:val="none"/>
          <w:lang w:val="en-GB"/>
        </w:rPr>
      </w:pPr>
      <w:r w:rsidRPr="4E5BAE89">
        <w:rPr>
          <w:rStyle w:val="FootnoteReference"/>
          <w:rFonts w:ascii="Calibri Light" w:hAnsi="Calibri Light" w:eastAsia="Calibri Light" w:cs="Calibri Light"/>
          <w:sz w:val="22"/>
          <w:szCs w:val="22"/>
        </w:rPr>
        <w:footnoteRef/>
      </w:r>
      <w:r w:rsidRPr="4E5BAE89" w:rsidR="4E5BAE89">
        <w:rPr>
          <w:rFonts w:ascii="Calibri Light" w:hAnsi="Calibri Light" w:eastAsia="Calibri Light" w:cs="Calibri Light"/>
          <w:sz w:val="22"/>
          <w:szCs w:val="22"/>
        </w:rPr>
        <w:t xml:space="preserve"> </w:t>
      </w:r>
      <w:r w:rsidRPr="4E5BAE89" w:rsidR="4E5BAE89">
        <w:rPr>
          <w:rFonts w:ascii="Calibri Light" w:hAnsi="Calibri Light" w:eastAsia="Calibri Light" w:cs="Calibri Light"/>
          <w:b w:val="0"/>
          <w:bCs w:val="0"/>
          <w:i w:val="0"/>
          <w:iCs w:val="0"/>
          <w:strike w:val="0"/>
          <w:dstrike w:val="0"/>
          <w:noProof w:val="0"/>
          <w:color w:val="auto"/>
          <w:sz w:val="22"/>
          <w:szCs w:val="22"/>
          <w:u w:val="none"/>
          <w:lang w:val="en-GB"/>
        </w:rPr>
        <w:t xml:space="preserve">Holland, Lora L. “Last Act in Corinth: The Burial of Medea’s Children (E. Med. 1378-83).” </w:t>
      </w:r>
      <w:r w:rsidRPr="4E5BAE89" w:rsidR="4E5BAE89">
        <w:rPr>
          <w:rFonts w:ascii="Calibri Light" w:hAnsi="Calibri Light" w:eastAsia="Calibri Light" w:cs="Calibri Light"/>
          <w:b w:val="0"/>
          <w:bCs w:val="0"/>
          <w:i w:val="1"/>
          <w:iCs w:val="1"/>
          <w:strike w:val="0"/>
          <w:dstrike w:val="0"/>
          <w:noProof w:val="0"/>
          <w:color w:val="auto"/>
          <w:sz w:val="22"/>
          <w:szCs w:val="22"/>
          <w:u w:val="none"/>
          <w:lang w:val="en-GB"/>
        </w:rPr>
        <w:t>The Classical Journal</w:t>
      </w:r>
      <w:r w:rsidRPr="4E5BAE89" w:rsidR="4E5BAE89">
        <w:rPr>
          <w:rFonts w:ascii="Calibri Light" w:hAnsi="Calibri Light" w:eastAsia="Calibri Light" w:cs="Calibri Light"/>
          <w:b w:val="0"/>
          <w:bCs w:val="0"/>
          <w:i w:val="0"/>
          <w:iCs w:val="0"/>
          <w:strike w:val="0"/>
          <w:dstrike w:val="0"/>
          <w:noProof w:val="0"/>
          <w:color w:val="auto"/>
          <w:sz w:val="22"/>
          <w:szCs w:val="22"/>
          <w:u w:val="none"/>
          <w:lang w:val="en-GB"/>
        </w:rPr>
        <w:t xml:space="preserve">, vol. 103, no. 4, 2008, pp. 407–30. </w:t>
      </w:r>
      <w:r w:rsidRPr="4E5BAE89" w:rsidR="4E5BAE89">
        <w:rPr>
          <w:rFonts w:ascii="Calibri Light" w:hAnsi="Calibri Light" w:eastAsia="Calibri Light" w:cs="Calibri Light"/>
          <w:b w:val="0"/>
          <w:bCs w:val="0"/>
          <w:i w:val="1"/>
          <w:iCs w:val="1"/>
          <w:strike w:val="0"/>
          <w:dstrike w:val="0"/>
          <w:noProof w:val="0"/>
          <w:color w:val="auto"/>
          <w:sz w:val="22"/>
          <w:szCs w:val="22"/>
          <w:u w:val="none"/>
          <w:lang w:val="en-GB"/>
        </w:rPr>
        <w:t>JSTOR</w:t>
      </w:r>
      <w:r w:rsidRPr="4E5BAE89" w:rsidR="4E5BAE89">
        <w:rPr>
          <w:rFonts w:ascii="Calibri Light" w:hAnsi="Calibri Light" w:eastAsia="Calibri Light" w:cs="Calibri Light"/>
          <w:b w:val="0"/>
          <w:bCs w:val="0"/>
          <w:i w:val="0"/>
          <w:iCs w:val="0"/>
          <w:strike w:val="0"/>
          <w:dstrike w:val="0"/>
          <w:noProof w:val="0"/>
          <w:color w:val="auto"/>
          <w:sz w:val="22"/>
          <w:szCs w:val="22"/>
          <w:u w:val="none"/>
          <w:lang w:val="en-GB"/>
        </w:rPr>
        <w:t>, Accessed 9 Mar. 2024.</w:t>
      </w:r>
    </w:p>
  </w:footnote>
  <w:footnote w:id="22168">
    <w:p w:rsidR="62856EC7" w:rsidP="4E5BAE89" w:rsidRDefault="62856EC7" w14:paraId="15595982" w14:textId="6B9CACAB">
      <w:pPr>
        <w:pStyle w:val="FootnoteText"/>
        <w:bidi w:val="0"/>
        <w:ind w:firstLine="0"/>
      </w:pPr>
      <w:r w:rsidRPr="4E5BAE89">
        <w:rPr>
          <w:rStyle w:val="FootnoteReference"/>
          <w:rFonts w:ascii="Calibri Light" w:hAnsi="Calibri Light" w:eastAsia="Calibri Light" w:cs="Calibri Light"/>
          <w:sz w:val="22"/>
          <w:szCs w:val="22"/>
        </w:rPr>
        <w:footnoteRef/>
      </w:r>
      <w:r w:rsidRPr="4E5BAE89" w:rsidR="4E5BAE89">
        <w:rPr>
          <w:rFonts w:ascii="Calibri Light" w:hAnsi="Calibri Light" w:eastAsia="Calibri Light" w:cs="Calibri Light"/>
          <w:sz w:val="22"/>
          <w:szCs w:val="22"/>
        </w:rPr>
        <w:t xml:space="preserve"> </w:t>
      </w:r>
      <w:r w:rsidRPr="4E5BAE89" w:rsidR="4E5BAE89">
        <w:rPr>
          <w:rFonts w:ascii="Calibri Light" w:hAnsi="Calibri Light" w:eastAsia="Calibri Light" w:cs="Calibri Light"/>
          <w:sz w:val="22"/>
          <w:szCs w:val="22"/>
        </w:rPr>
        <w:t>Pausanias</w:t>
      </w:r>
      <w:r w:rsidRPr="4E5BAE89" w:rsidR="4E5BAE89">
        <w:rPr>
          <w:rFonts w:ascii="Calibri Light" w:hAnsi="Calibri Light" w:eastAsia="Calibri Light" w:cs="Calibri Light"/>
          <w:sz w:val="22"/>
          <w:szCs w:val="22"/>
        </w:rPr>
        <w:t>, ‘Description of Greece</w:t>
      </w:r>
      <w:r w:rsidRPr="4E5BAE89" w:rsidR="4E5BAE89">
        <w:rPr>
          <w:rFonts w:ascii="Calibri Light" w:hAnsi="Calibri Light" w:eastAsia="Calibri Light" w:cs="Calibri Light"/>
          <w:sz w:val="22"/>
          <w:szCs w:val="22"/>
        </w:rPr>
        <w:t>’,</w:t>
      </w:r>
      <w:r w:rsidRPr="4E5BAE89" w:rsidR="4E5BAE89">
        <w:rPr>
          <w:rFonts w:ascii="Calibri Light" w:hAnsi="Calibri Light" w:eastAsia="Calibri Light" w:cs="Calibri Light"/>
          <w:sz w:val="22"/>
          <w:szCs w:val="22"/>
        </w:rPr>
        <w:t xml:space="preserve"> 2. 1. 1.</w:t>
      </w:r>
    </w:p>
  </w:footnote>
  <w:footnote w:id="25345">
    <w:p w:rsidR="62856EC7" w:rsidP="4E5BAE89" w:rsidRDefault="62856EC7" w14:paraId="692011EF" w14:textId="2CE17BBA">
      <w:pPr>
        <w:pStyle w:val="FootnoteText"/>
        <w:bidi w:val="0"/>
        <w:ind w:firstLine="0"/>
        <w:rPr>
          <w:rFonts w:ascii="Calibri Light" w:hAnsi="Calibri Light" w:eastAsia="Calibri Light" w:cs="Calibri Light"/>
          <w:sz w:val="22"/>
          <w:szCs w:val="22"/>
        </w:rPr>
      </w:pPr>
      <w:r w:rsidRPr="4E5BAE89">
        <w:rPr>
          <w:rStyle w:val="FootnoteReference"/>
          <w:rFonts w:ascii="Calibri Light" w:hAnsi="Calibri Light" w:eastAsia="Calibri Light" w:cs="Calibri Light"/>
          <w:sz w:val="22"/>
          <w:szCs w:val="22"/>
        </w:rPr>
        <w:footnoteRef/>
      </w:r>
      <w:r w:rsidRPr="4E5BAE89" w:rsidR="4E5BAE89">
        <w:rPr>
          <w:rFonts w:ascii="Calibri Light" w:hAnsi="Calibri Light" w:eastAsia="Calibri Light" w:cs="Calibri Light"/>
          <w:sz w:val="22"/>
          <w:szCs w:val="22"/>
        </w:rPr>
        <w:t xml:space="preserve"> Britannica, The Editors of Encyclopaedia. "Medea". </w:t>
      </w:r>
      <w:r w:rsidRPr="4E5BAE89" w:rsidR="4E5BAE89">
        <w:rPr>
          <w:rFonts w:ascii="Calibri Light" w:hAnsi="Calibri Light" w:eastAsia="Calibri Light" w:cs="Calibri Light"/>
          <w:sz w:val="22"/>
          <w:szCs w:val="22"/>
        </w:rPr>
        <w:t>Encyclopedia</w:t>
      </w:r>
      <w:r w:rsidRPr="4E5BAE89" w:rsidR="4E5BAE89">
        <w:rPr>
          <w:rFonts w:ascii="Calibri Light" w:hAnsi="Calibri Light" w:eastAsia="Calibri Light" w:cs="Calibri Light"/>
          <w:sz w:val="22"/>
          <w:szCs w:val="22"/>
        </w:rPr>
        <w:t xml:space="preserve"> Britannica, 1 Mar. 2024, Accessed 10 March 2024. </w:t>
      </w:r>
    </w:p>
  </w:footnote>
  <w:footnote w:id="26194">
    <w:p w:rsidR="62856EC7" w:rsidP="4E5BAE89" w:rsidRDefault="62856EC7" w14:paraId="1ABA4563" w14:textId="14395CE3">
      <w:pPr>
        <w:pStyle w:val="Normal"/>
        <w:bidi w:val="0"/>
        <w:ind w:left="-20" w:right="-20" w:firstLine="0"/>
      </w:pPr>
      <w:r w:rsidRPr="4E5BAE89">
        <w:rPr>
          <w:rStyle w:val="FootnoteReference"/>
          <w:rFonts w:ascii="Calibri Light" w:hAnsi="Calibri Light" w:eastAsia="Calibri Light" w:cs="Calibri Light"/>
          <w:sz w:val="22"/>
          <w:szCs w:val="22"/>
        </w:rPr>
        <w:footnoteRef/>
      </w:r>
      <w:r w:rsidRPr="4E5BAE89" w:rsidR="4E5BAE89">
        <w:rPr>
          <w:rFonts w:ascii="Calibri Light" w:hAnsi="Calibri Light" w:eastAsia="Calibri Light" w:cs="Calibri Light"/>
          <w:sz w:val="22"/>
          <w:szCs w:val="22"/>
        </w:rPr>
        <w:t xml:space="preserve"> Cleasby, Harold Loomis. “The Medea of Seneca.” </w:t>
      </w:r>
      <w:r w:rsidRPr="4E5BAE89" w:rsidR="4E5BAE89">
        <w:rPr>
          <w:rFonts w:ascii="Calibri Light" w:hAnsi="Calibri Light" w:eastAsia="Calibri Light" w:cs="Calibri Light"/>
          <w:i w:val="1"/>
          <w:iCs w:val="1"/>
          <w:noProof w:val="0"/>
          <w:sz w:val="22"/>
          <w:szCs w:val="22"/>
          <w:lang w:val="en-GB"/>
        </w:rPr>
        <w:t>Harvard Studies in Classical Philology</w:t>
      </w:r>
      <w:r w:rsidRPr="4E5BAE89" w:rsidR="4E5BAE89">
        <w:rPr>
          <w:rFonts w:ascii="Calibri Light" w:hAnsi="Calibri Light" w:eastAsia="Calibri Light" w:cs="Calibri Light"/>
          <w:noProof w:val="0"/>
          <w:sz w:val="22"/>
          <w:szCs w:val="22"/>
          <w:lang w:val="en-GB"/>
        </w:rPr>
        <w:t xml:space="preserve">, vol. 18, 1907, pp. 39–71. </w:t>
      </w:r>
      <w:r w:rsidRPr="4E5BAE89" w:rsidR="4E5BAE89">
        <w:rPr>
          <w:rFonts w:ascii="Calibri Light" w:hAnsi="Calibri Light" w:eastAsia="Calibri Light" w:cs="Calibri Light"/>
          <w:i w:val="1"/>
          <w:iCs w:val="1"/>
          <w:noProof w:val="0"/>
          <w:sz w:val="22"/>
          <w:szCs w:val="22"/>
          <w:lang w:val="en-GB"/>
        </w:rPr>
        <w:t>JSTOR</w:t>
      </w:r>
      <w:r w:rsidRPr="4E5BAE89" w:rsidR="4E5BAE89">
        <w:rPr>
          <w:rFonts w:ascii="Calibri Light" w:hAnsi="Calibri Light" w:eastAsia="Calibri Light" w:cs="Calibri Light"/>
          <w:noProof w:val="0"/>
          <w:sz w:val="22"/>
          <w:szCs w:val="22"/>
          <w:lang w:val="en-GB"/>
        </w:rPr>
        <w:t>, Accessed 10 Mar. 2024</w:t>
      </w:r>
    </w:p>
  </w:footnote>
  <w:footnote w:id="20995">
    <w:p w:rsidR="62856EC7" w:rsidP="4E5BAE89" w:rsidRDefault="62856EC7" w14:paraId="1DB22F2A" w14:textId="3F833B28">
      <w:pPr>
        <w:pStyle w:val="Normal"/>
        <w:bidi w:val="0"/>
        <w:ind w:left="-20" w:right="-20" w:firstLine="0"/>
      </w:pPr>
      <w:r w:rsidRPr="4E5BAE89">
        <w:rPr>
          <w:rStyle w:val="FootnoteReference"/>
          <w:rFonts w:ascii="Calibri Light" w:hAnsi="Calibri Light" w:eastAsia="Calibri Light" w:cs="Calibri Light"/>
          <w:sz w:val="22"/>
          <w:szCs w:val="22"/>
        </w:rPr>
        <w:footnoteRef/>
      </w:r>
      <w:r w:rsidRPr="4E5BAE89" w:rsidR="4E5BAE89">
        <w:rPr>
          <w:rFonts w:ascii="Calibri Light" w:hAnsi="Calibri Light" w:eastAsia="Calibri Light" w:cs="Calibri Light"/>
          <w:sz w:val="22"/>
          <w:szCs w:val="22"/>
        </w:rPr>
        <w:t xml:space="preserve"> Pavlou, Maria. “Reading Medea through Her Veil in the ‘Argonautica’ of Apollonius </w:t>
      </w:r>
      <w:r w:rsidRPr="4E5BAE89" w:rsidR="4E5BAE89">
        <w:rPr>
          <w:rFonts w:ascii="Calibri Light" w:hAnsi="Calibri Light" w:eastAsia="Calibri Light" w:cs="Calibri Light"/>
          <w:sz w:val="22"/>
          <w:szCs w:val="22"/>
        </w:rPr>
        <w:t>Rhodius</w:t>
      </w:r>
      <w:r w:rsidRPr="4E5BAE89" w:rsidR="4E5BAE89">
        <w:rPr>
          <w:rFonts w:ascii="Calibri Light" w:hAnsi="Calibri Light" w:eastAsia="Calibri Light" w:cs="Calibri Light"/>
          <w:sz w:val="22"/>
          <w:szCs w:val="22"/>
        </w:rPr>
        <w:t xml:space="preserve">.” </w:t>
      </w:r>
      <w:r w:rsidRPr="4E5BAE89" w:rsidR="4E5BAE89">
        <w:rPr>
          <w:rFonts w:ascii="Calibri Light" w:hAnsi="Calibri Light" w:eastAsia="Calibri Light" w:cs="Calibri Light"/>
          <w:i w:val="1"/>
          <w:iCs w:val="1"/>
          <w:noProof w:val="0"/>
          <w:sz w:val="22"/>
          <w:szCs w:val="22"/>
          <w:lang w:val="en-GB"/>
        </w:rPr>
        <w:t>Greece &amp; Rome</w:t>
      </w:r>
      <w:r w:rsidRPr="4E5BAE89" w:rsidR="4E5BAE89">
        <w:rPr>
          <w:rFonts w:ascii="Calibri Light" w:hAnsi="Calibri Light" w:eastAsia="Calibri Light" w:cs="Calibri Light"/>
          <w:noProof w:val="0"/>
          <w:sz w:val="22"/>
          <w:szCs w:val="22"/>
          <w:lang w:val="en-GB"/>
        </w:rPr>
        <w:t xml:space="preserve">, vol. 56, no. 2, 2009, pp. 183–202. </w:t>
      </w:r>
      <w:r w:rsidRPr="4E5BAE89" w:rsidR="4E5BAE89">
        <w:rPr>
          <w:rFonts w:ascii="Calibri Light" w:hAnsi="Calibri Light" w:eastAsia="Calibri Light" w:cs="Calibri Light"/>
          <w:i w:val="1"/>
          <w:iCs w:val="1"/>
          <w:noProof w:val="0"/>
          <w:sz w:val="22"/>
          <w:szCs w:val="22"/>
          <w:lang w:val="en-GB"/>
        </w:rPr>
        <w:t>JSTOR</w:t>
      </w:r>
      <w:r w:rsidRPr="4E5BAE89" w:rsidR="4E5BAE89">
        <w:rPr>
          <w:rFonts w:ascii="Calibri Light" w:hAnsi="Calibri Light" w:eastAsia="Calibri Light" w:cs="Calibri Light"/>
          <w:noProof w:val="0"/>
          <w:sz w:val="22"/>
          <w:szCs w:val="22"/>
          <w:lang w:val="en-GB"/>
        </w:rPr>
        <w:t>, Accessed 10 Mar. 2024.</w:t>
      </w:r>
    </w:p>
  </w:footnote>
  <w:footnote w:id="14594">
    <w:p w:rsidR="62856EC7" w:rsidP="4E5BAE89" w:rsidRDefault="62856EC7" w14:paraId="619A2CD1" w14:textId="26243E48">
      <w:pPr>
        <w:pStyle w:val="Normal"/>
        <w:bidi w:val="0"/>
        <w:ind w:left="-20" w:right="-20" w:firstLine="0"/>
      </w:pPr>
      <w:r w:rsidRPr="4E5BAE89">
        <w:rPr>
          <w:rStyle w:val="FootnoteReference"/>
          <w:rFonts w:ascii="Calibri Light" w:hAnsi="Calibri Light" w:eastAsia="Calibri Light" w:cs="Calibri Light"/>
          <w:sz w:val="22"/>
          <w:szCs w:val="22"/>
        </w:rPr>
        <w:footnoteRef/>
      </w:r>
      <w:r w:rsidRPr="4E5BAE89" w:rsidR="4E5BAE89">
        <w:rPr>
          <w:rFonts w:ascii="Calibri Light" w:hAnsi="Calibri Light" w:eastAsia="Calibri Light" w:cs="Calibri Light"/>
          <w:sz w:val="22"/>
          <w:szCs w:val="22"/>
        </w:rPr>
        <w:t xml:space="preserve"> Carter, David. “Could a Greek Oath Guarantee a Claim </w:t>
      </w:r>
      <w:r w:rsidRPr="4E5BAE89" w:rsidR="4E5BAE89">
        <w:rPr>
          <w:rFonts w:ascii="Calibri Light" w:hAnsi="Calibri Light" w:eastAsia="Calibri Light" w:cs="Calibri Light"/>
          <w:sz w:val="22"/>
          <w:szCs w:val="22"/>
        </w:rPr>
        <w:t>Right?:</w:t>
      </w:r>
      <w:r w:rsidRPr="4E5BAE89" w:rsidR="4E5BAE89">
        <w:rPr>
          <w:rFonts w:ascii="Calibri Light" w:hAnsi="Calibri Light" w:eastAsia="Calibri Light" w:cs="Calibri Light"/>
          <w:sz w:val="22"/>
          <w:szCs w:val="22"/>
        </w:rPr>
        <w:t xml:space="preserve"> Oaths, Contracts and the Structure of Obligation in Classical Athens.” </w:t>
      </w:r>
      <w:r w:rsidRPr="4E5BAE89" w:rsidR="4E5BAE89">
        <w:rPr>
          <w:rFonts w:ascii="Calibri Light" w:hAnsi="Calibri Light" w:eastAsia="Calibri Light" w:cs="Calibri Light"/>
          <w:i w:val="1"/>
          <w:iCs w:val="1"/>
          <w:noProof w:val="0"/>
          <w:sz w:val="22"/>
          <w:szCs w:val="22"/>
          <w:lang w:val="en-GB"/>
        </w:rPr>
        <w:t>Horkos</w:t>
      </w:r>
      <w:r w:rsidRPr="4E5BAE89" w:rsidR="4E5BAE89">
        <w:rPr>
          <w:rFonts w:ascii="Calibri Light" w:hAnsi="Calibri Light" w:eastAsia="Calibri Light" w:cs="Calibri Light"/>
          <w:i w:val="1"/>
          <w:iCs w:val="1"/>
          <w:noProof w:val="0"/>
          <w:sz w:val="22"/>
          <w:szCs w:val="22"/>
          <w:lang w:val="en-GB"/>
        </w:rPr>
        <w:t>: The Oath in Greek Society</w:t>
      </w:r>
      <w:r w:rsidRPr="4E5BAE89" w:rsidR="4E5BAE89">
        <w:rPr>
          <w:rFonts w:ascii="Calibri Light" w:hAnsi="Calibri Light" w:eastAsia="Calibri Light" w:cs="Calibri Light"/>
          <w:noProof w:val="0"/>
          <w:sz w:val="22"/>
          <w:szCs w:val="22"/>
          <w:lang w:val="en-GB"/>
        </w:rPr>
        <w:t xml:space="preserve">, edited by Alan H. </w:t>
      </w:r>
      <w:r w:rsidRPr="4E5BAE89" w:rsidR="4E5BAE89">
        <w:rPr>
          <w:rFonts w:ascii="Calibri Light" w:hAnsi="Calibri Light" w:eastAsia="Calibri Light" w:cs="Calibri Light"/>
          <w:noProof w:val="0"/>
          <w:sz w:val="22"/>
          <w:szCs w:val="22"/>
          <w:lang w:val="en-GB"/>
        </w:rPr>
        <w:t>Sommerstein</w:t>
      </w:r>
      <w:r w:rsidRPr="4E5BAE89" w:rsidR="4E5BAE89">
        <w:rPr>
          <w:rFonts w:ascii="Calibri Light" w:hAnsi="Calibri Light" w:eastAsia="Calibri Light" w:cs="Calibri Light"/>
          <w:noProof w:val="0"/>
          <w:sz w:val="22"/>
          <w:szCs w:val="22"/>
          <w:lang w:val="en-GB"/>
        </w:rPr>
        <w:t xml:space="preserve"> and Judith Fletcher, 1st ed., Liverpool University Press, 2007, pp. 60–72. </w:t>
      </w:r>
      <w:r w:rsidRPr="4E5BAE89" w:rsidR="4E5BAE89">
        <w:rPr>
          <w:rFonts w:ascii="Calibri Light" w:hAnsi="Calibri Light" w:eastAsia="Calibri Light" w:cs="Calibri Light"/>
          <w:i w:val="1"/>
          <w:iCs w:val="1"/>
          <w:noProof w:val="0"/>
          <w:sz w:val="22"/>
          <w:szCs w:val="22"/>
          <w:lang w:val="en-GB"/>
        </w:rPr>
        <w:t>JSTOR</w:t>
      </w:r>
      <w:r w:rsidRPr="4E5BAE89" w:rsidR="4E5BAE89">
        <w:rPr>
          <w:rFonts w:ascii="Calibri Light" w:hAnsi="Calibri Light" w:eastAsia="Calibri Light" w:cs="Calibri Light"/>
          <w:noProof w:val="0"/>
          <w:sz w:val="22"/>
          <w:szCs w:val="22"/>
          <w:lang w:val="en-GB"/>
        </w:rPr>
        <w:t>, Accessed 10 Mar. 2024.</w:t>
      </w:r>
    </w:p>
  </w:footnote>
  <w:footnote w:id="23737">
    <w:p w:rsidR="62856EC7" w:rsidP="4E5BAE89" w:rsidRDefault="62856EC7" w14:paraId="77A18388" w14:textId="32A6ACD1">
      <w:pPr>
        <w:pStyle w:val="Normal"/>
        <w:bidi w:val="0"/>
        <w:ind w:left="-20" w:right="-20" w:firstLine="0"/>
      </w:pPr>
      <w:r w:rsidRPr="4E5BAE89">
        <w:rPr>
          <w:rStyle w:val="FootnoteReference"/>
          <w:rFonts w:ascii="Calibri Light" w:hAnsi="Calibri Light" w:eastAsia="Calibri Light" w:cs="Calibri Light"/>
          <w:sz w:val="22"/>
          <w:szCs w:val="22"/>
        </w:rPr>
        <w:footnoteRef/>
      </w:r>
      <w:r w:rsidRPr="4E5BAE89" w:rsidR="4E5BAE89">
        <w:rPr>
          <w:rFonts w:ascii="Calibri Light" w:hAnsi="Calibri Light" w:eastAsia="Calibri Light" w:cs="Calibri Light"/>
          <w:sz w:val="22"/>
          <w:szCs w:val="22"/>
        </w:rPr>
        <w:t xml:space="preserve"> Charles Lloyd. “The Polis in Medea: Urban Attitudes and Euripides’ Characterization in ‘Medea’ 214-224.” </w:t>
      </w:r>
      <w:r w:rsidRPr="4E5BAE89" w:rsidR="4E5BAE89">
        <w:rPr>
          <w:rFonts w:ascii="Calibri Light" w:hAnsi="Calibri Light" w:eastAsia="Calibri Light" w:cs="Calibri Light"/>
          <w:i w:val="1"/>
          <w:iCs w:val="1"/>
          <w:noProof w:val="0"/>
          <w:sz w:val="22"/>
          <w:szCs w:val="22"/>
          <w:lang w:val="en-GB"/>
        </w:rPr>
        <w:t>The Classical World</w:t>
      </w:r>
      <w:r w:rsidRPr="4E5BAE89" w:rsidR="4E5BAE89">
        <w:rPr>
          <w:rFonts w:ascii="Calibri Light" w:hAnsi="Calibri Light" w:eastAsia="Calibri Light" w:cs="Calibri Light"/>
          <w:noProof w:val="0"/>
          <w:sz w:val="22"/>
          <w:szCs w:val="22"/>
          <w:lang w:val="en-GB"/>
        </w:rPr>
        <w:t xml:space="preserve">, vol. 99, no. 2, 2006, pp. 115–30. </w:t>
      </w:r>
      <w:r w:rsidRPr="4E5BAE89" w:rsidR="4E5BAE89">
        <w:rPr>
          <w:rFonts w:ascii="Calibri Light" w:hAnsi="Calibri Light" w:eastAsia="Calibri Light" w:cs="Calibri Light"/>
          <w:i w:val="1"/>
          <w:iCs w:val="1"/>
          <w:noProof w:val="0"/>
          <w:sz w:val="22"/>
          <w:szCs w:val="22"/>
          <w:lang w:val="en-GB"/>
        </w:rPr>
        <w:t>JSTOR</w:t>
      </w:r>
      <w:r w:rsidRPr="4E5BAE89" w:rsidR="4E5BAE89">
        <w:rPr>
          <w:rFonts w:ascii="Calibri Light" w:hAnsi="Calibri Light" w:eastAsia="Calibri Light" w:cs="Calibri Light"/>
          <w:noProof w:val="0"/>
          <w:sz w:val="22"/>
          <w:szCs w:val="22"/>
          <w:lang w:val="en-GB"/>
        </w:rPr>
        <w:t>, Accessed 10 Mar. 2024.</w:t>
      </w:r>
    </w:p>
  </w:footnote>
  <w:footnote w:id="20741">
    <w:p w:rsidR="62856EC7" w:rsidP="4E5BAE89" w:rsidRDefault="62856EC7" w14:paraId="36FC85B2" w14:textId="26DCDDB4">
      <w:pPr>
        <w:pStyle w:val="Normal"/>
        <w:bidi w:val="0"/>
        <w:ind w:left="-20" w:right="-20" w:firstLine="0"/>
      </w:pPr>
      <w:r w:rsidRPr="4E5BAE89">
        <w:rPr>
          <w:rStyle w:val="FootnoteReference"/>
          <w:rFonts w:ascii="Calibri Light" w:hAnsi="Calibri Light" w:eastAsia="Calibri Light" w:cs="Calibri Light"/>
          <w:sz w:val="22"/>
          <w:szCs w:val="22"/>
        </w:rPr>
        <w:footnoteRef/>
      </w:r>
      <w:r w:rsidRPr="4E5BAE89" w:rsidR="4E5BAE89">
        <w:rPr>
          <w:rFonts w:ascii="Calibri Light" w:hAnsi="Calibri Light" w:eastAsia="Calibri Light" w:cs="Calibri Light"/>
          <w:sz w:val="22"/>
          <w:szCs w:val="22"/>
        </w:rPr>
        <w:t xml:space="preserve"> Morgan, T. J. “Literate Education in Classical Athens.” </w:t>
      </w:r>
      <w:r w:rsidRPr="4E5BAE89" w:rsidR="4E5BAE89">
        <w:rPr>
          <w:rFonts w:ascii="Calibri Light" w:hAnsi="Calibri Light" w:eastAsia="Calibri Light" w:cs="Calibri Light"/>
          <w:i w:val="1"/>
          <w:iCs w:val="1"/>
          <w:noProof w:val="0"/>
          <w:sz w:val="22"/>
          <w:szCs w:val="22"/>
          <w:lang w:val="en-GB"/>
        </w:rPr>
        <w:t>The Classical Quarterly</w:t>
      </w:r>
      <w:r w:rsidRPr="4E5BAE89" w:rsidR="4E5BAE89">
        <w:rPr>
          <w:rFonts w:ascii="Calibri Light" w:hAnsi="Calibri Light" w:eastAsia="Calibri Light" w:cs="Calibri Light"/>
          <w:noProof w:val="0"/>
          <w:sz w:val="22"/>
          <w:szCs w:val="22"/>
          <w:lang w:val="en-GB"/>
        </w:rPr>
        <w:t xml:space="preserve">, vol. 49, no. 1, 1999, pp. 46–61. </w:t>
      </w:r>
      <w:r w:rsidRPr="4E5BAE89" w:rsidR="4E5BAE89">
        <w:rPr>
          <w:rFonts w:ascii="Calibri Light" w:hAnsi="Calibri Light" w:eastAsia="Calibri Light" w:cs="Calibri Light"/>
          <w:i w:val="1"/>
          <w:iCs w:val="1"/>
          <w:noProof w:val="0"/>
          <w:sz w:val="22"/>
          <w:szCs w:val="22"/>
          <w:lang w:val="en-GB"/>
        </w:rPr>
        <w:t>JSTOR</w:t>
      </w:r>
      <w:r w:rsidRPr="4E5BAE89" w:rsidR="4E5BAE89">
        <w:rPr>
          <w:rFonts w:ascii="Calibri Light" w:hAnsi="Calibri Light" w:eastAsia="Calibri Light" w:cs="Calibri Light"/>
          <w:noProof w:val="0"/>
          <w:sz w:val="22"/>
          <w:szCs w:val="22"/>
          <w:lang w:val="en-GB"/>
        </w:rPr>
        <w:t>, Accessed 10 Mar. 2024.</w:t>
      </w:r>
    </w:p>
  </w:footnote>
</w:footnotes>
</file>

<file path=word/intelligence2.xml><?xml version="1.0" encoding="utf-8"?>
<int2:intelligence xmlns:int2="http://schemas.microsoft.com/office/intelligence/2020/intelligence">
  <int2:observations>
    <int2:bookmark int2:bookmarkName="_Int_21zrUw42" int2:invalidationBookmarkName="" int2:hashCode="VPQ7B6GMg7RX2j" int2:id="iXCDY9ZM">
      <int2:state int2:type="AugLoop_Text_Critique" int2:value="Rejected"/>
    </int2:bookmark>
    <int2:bookmark int2:bookmarkName="_Int_pAaxR4jd" int2:invalidationBookmarkName="" int2:hashCode="aRb2U4uqA6mJZc" int2:id="Bi60KK9r">
      <int2:state int2:type="AugLoop_Text_Critique" int2:value="Rejected"/>
    </int2:bookmark>
    <int2:bookmark int2:bookmarkName="_Int_i8t03Xtf" int2:invalidationBookmarkName="" int2:hashCode="p4Omzg1XvwloMI" int2:id="vxxK3GXI">
      <int2:state int2:type="AugLoop_Text_Critique" int2:value="Rejected"/>
    </int2:bookmark>
    <int2:bookmark int2:bookmarkName="_Int_Mn1PHKhz" int2:invalidationBookmarkName="" int2:hashCode="qJjIMiC3otGvUN" int2:id="Nuv6seVJ">
      <int2:state int2:type="AugLoop_Text_Critique" int2:value="Rejected"/>
    </int2:bookmark>
    <int2:bookmark int2:bookmarkName="_Int_Gb4zkUI0" int2:invalidationBookmarkName="" int2:hashCode="LwrUfEcC5Gfgdk" int2:id="VBM0Spao">
      <int2:state int2:type="AugLoop_Text_Critique" int2:value="Rejected"/>
    </int2:bookmark>
    <int2:bookmark int2:bookmarkName="_Int_RweJC7Hk" int2:invalidationBookmarkName="" int2:hashCode="kkwgjrR/3pPytW" int2:id="49whobTQ">
      <int2:state int2:type="AugLoop_Text_Critique" int2:value="Rejected"/>
    </int2:bookmark>
    <int2:bookmark int2:bookmarkName="_Int_miejgPeE" int2:invalidationBookmarkName="" int2:hashCode="rc0xEZehFeN4er" int2:id="cX6xA2tb">
      <int2:state int2:type="AugLoop_Text_Critique" int2:value="Rejected"/>
    </int2:bookmark>
    <int2:bookmark int2:bookmarkName="_Int_G2XlQpO6" int2:invalidationBookmarkName="" int2:hashCode="MdbQNeDZQG4YiT" int2:id="EVOb0y3q">
      <int2:state int2:type="AugLoop_Text_Critique" int2:value="Rejected"/>
    </int2:bookmark>
    <int2:bookmark int2:bookmarkName="_Int_Gmk0HAHA" int2:invalidationBookmarkName="" int2:hashCode="PJgd+6i5eIw1co" int2:id="83JX8lW9">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A25FA3"/>
    <w:rsid w:val="03384B36"/>
    <w:rsid w:val="040761D9"/>
    <w:rsid w:val="04A25FA3"/>
    <w:rsid w:val="0517B0C5"/>
    <w:rsid w:val="0651BB0D"/>
    <w:rsid w:val="0867AF9B"/>
    <w:rsid w:val="0DDFA257"/>
    <w:rsid w:val="11C08433"/>
    <w:rsid w:val="15782D0F"/>
    <w:rsid w:val="18F94228"/>
    <w:rsid w:val="1AFB9926"/>
    <w:rsid w:val="1C4DAC51"/>
    <w:rsid w:val="1ED2BE97"/>
    <w:rsid w:val="2167F4C1"/>
    <w:rsid w:val="21F96974"/>
    <w:rsid w:val="24663B51"/>
    <w:rsid w:val="2784B3B6"/>
    <w:rsid w:val="2CD9A2C7"/>
    <w:rsid w:val="3195FDCD"/>
    <w:rsid w:val="32DCF4A4"/>
    <w:rsid w:val="33C27AA2"/>
    <w:rsid w:val="398CA315"/>
    <w:rsid w:val="39A6CF8F"/>
    <w:rsid w:val="41252750"/>
    <w:rsid w:val="48648CAB"/>
    <w:rsid w:val="4ABC537D"/>
    <w:rsid w:val="4C5B6C35"/>
    <w:rsid w:val="4D9CA423"/>
    <w:rsid w:val="4E0F01F7"/>
    <w:rsid w:val="4E5BAE89"/>
    <w:rsid w:val="50ECA2F9"/>
    <w:rsid w:val="51C0CEB3"/>
    <w:rsid w:val="5314640E"/>
    <w:rsid w:val="542443BB"/>
    <w:rsid w:val="543E409E"/>
    <w:rsid w:val="547E3EBF"/>
    <w:rsid w:val="564C04D0"/>
    <w:rsid w:val="56F2E242"/>
    <w:rsid w:val="570DD6CF"/>
    <w:rsid w:val="57428613"/>
    <w:rsid w:val="5EB91D42"/>
    <w:rsid w:val="5FE8099A"/>
    <w:rsid w:val="60E99E66"/>
    <w:rsid w:val="611C6723"/>
    <w:rsid w:val="61B12E20"/>
    <w:rsid w:val="62856EC7"/>
    <w:rsid w:val="640BE890"/>
    <w:rsid w:val="65EC9DC2"/>
    <w:rsid w:val="67185C40"/>
    <w:rsid w:val="69A1B6E2"/>
    <w:rsid w:val="7701D59B"/>
    <w:rsid w:val="789C2ECC"/>
    <w:rsid w:val="7A60844E"/>
    <w:rsid w:val="7C063A1F"/>
    <w:rsid w:val="7D46D4E6"/>
    <w:rsid w:val="7D704CD6"/>
    <w:rsid w:val="7DCA1604"/>
    <w:rsid w:val="7F65E6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25FA3"/>
  <w15:chartTrackingRefBased/>
  <w15:docId w15:val="{77574E82-B530-4912-BD15-356EDCA581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2856EC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2856EC7"/>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62856EC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62856EC7"/>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62856EC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62856EC7"/>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62856EC7"/>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62856EC7"/>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62856EC7"/>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62856EC7"/>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62856EC7"/>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62856EC7"/>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62856EC7"/>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62856EC7"/>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62856EC7"/>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62856EC7"/>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62856EC7"/>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62856EC7"/>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62856EC7"/>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62856EC7"/>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62856EC7"/>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62856EC7"/>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62856EC7"/>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62856EC7"/>
    <w:rPr>
      <w:i w:val="1"/>
      <w:iCs w:val="1"/>
      <w:noProof w:val="0"/>
      <w:color w:val="404040" w:themeColor="text1" w:themeTint="BF" w:themeShade="FF"/>
      <w:lang w:val="en-GB"/>
    </w:rPr>
  </w:style>
  <w:style w:type="paragraph" w:styleId="Quote">
    <w:uiPriority w:val="29"/>
    <w:name w:val="Quote"/>
    <w:basedOn w:val="Normal"/>
    <w:next w:val="Normal"/>
    <w:link w:val="QuoteChar"/>
    <w:qFormat/>
    <w:rsid w:val="62856EC7"/>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62856EC7"/>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62856EC7"/>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2856EC7"/>
    <w:pPr>
      <w:spacing/>
      <w:ind w:left="720"/>
      <w:contextualSpacing/>
    </w:pPr>
  </w:style>
  <w:style w:type="paragraph" w:styleId="TOC1">
    <w:uiPriority w:val="39"/>
    <w:name w:val="toc 1"/>
    <w:basedOn w:val="Normal"/>
    <w:next w:val="Normal"/>
    <w:unhideWhenUsed/>
    <w:rsid w:val="62856EC7"/>
    <w:pPr>
      <w:spacing w:after="100"/>
    </w:pPr>
  </w:style>
  <w:style w:type="paragraph" w:styleId="TOC2">
    <w:uiPriority w:val="39"/>
    <w:name w:val="toc 2"/>
    <w:basedOn w:val="Normal"/>
    <w:next w:val="Normal"/>
    <w:unhideWhenUsed/>
    <w:rsid w:val="62856EC7"/>
    <w:pPr>
      <w:spacing w:after="100"/>
      <w:ind w:left="220"/>
    </w:pPr>
  </w:style>
  <w:style w:type="paragraph" w:styleId="TOC3">
    <w:uiPriority w:val="39"/>
    <w:name w:val="toc 3"/>
    <w:basedOn w:val="Normal"/>
    <w:next w:val="Normal"/>
    <w:unhideWhenUsed/>
    <w:rsid w:val="62856EC7"/>
    <w:pPr>
      <w:spacing w:after="100"/>
      <w:ind w:left="440"/>
    </w:pPr>
  </w:style>
  <w:style w:type="paragraph" w:styleId="TOC4">
    <w:uiPriority w:val="39"/>
    <w:name w:val="toc 4"/>
    <w:basedOn w:val="Normal"/>
    <w:next w:val="Normal"/>
    <w:unhideWhenUsed/>
    <w:rsid w:val="62856EC7"/>
    <w:pPr>
      <w:spacing w:after="100"/>
      <w:ind w:left="660"/>
    </w:pPr>
  </w:style>
  <w:style w:type="paragraph" w:styleId="TOC5">
    <w:uiPriority w:val="39"/>
    <w:name w:val="toc 5"/>
    <w:basedOn w:val="Normal"/>
    <w:next w:val="Normal"/>
    <w:unhideWhenUsed/>
    <w:rsid w:val="62856EC7"/>
    <w:pPr>
      <w:spacing w:after="100"/>
      <w:ind w:left="880"/>
    </w:pPr>
  </w:style>
  <w:style w:type="paragraph" w:styleId="TOC6">
    <w:uiPriority w:val="39"/>
    <w:name w:val="toc 6"/>
    <w:basedOn w:val="Normal"/>
    <w:next w:val="Normal"/>
    <w:unhideWhenUsed/>
    <w:rsid w:val="62856EC7"/>
    <w:pPr>
      <w:spacing w:after="100"/>
      <w:ind w:left="1100"/>
    </w:pPr>
  </w:style>
  <w:style w:type="paragraph" w:styleId="TOC7">
    <w:uiPriority w:val="39"/>
    <w:name w:val="toc 7"/>
    <w:basedOn w:val="Normal"/>
    <w:next w:val="Normal"/>
    <w:unhideWhenUsed/>
    <w:rsid w:val="62856EC7"/>
    <w:pPr>
      <w:spacing w:after="100"/>
      <w:ind w:left="1320"/>
    </w:pPr>
  </w:style>
  <w:style w:type="paragraph" w:styleId="TOC8">
    <w:uiPriority w:val="39"/>
    <w:name w:val="toc 8"/>
    <w:basedOn w:val="Normal"/>
    <w:next w:val="Normal"/>
    <w:unhideWhenUsed/>
    <w:rsid w:val="62856EC7"/>
    <w:pPr>
      <w:spacing w:after="100"/>
      <w:ind w:left="1540"/>
    </w:pPr>
  </w:style>
  <w:style w:type="paragraph" w:styleId="TOC9">
    <w:uiPriority w:val="39"/>
    <w:name w:val="toc 9"/>
    <w:basedOn w:val="Normal"/>
    <w:next w:val="Normal"/>
    <w:unhideWhenUsed/>
    <w:rsid w:val="62856EC7"/>
    <w:pPr>
      <w:spacing w:after="100"/>
      <w:ind w:left="1760"/>
    </w:pPr>
  </w:style>
  <w:style w:type="paragraph" w:styleId="EndnoteText">
    <w:uiPriority w:val="99"/>
    <w:name w:val="endnote text"/>
    <w:basedOn w:val="Normal"/>
    <w:semiHidden/>
    <w:unhideWhenUsed/>
    <w:link w:val="EndnoteTextChar"/>
    <w:rsid w:val="62856EC7"/>
    <w:rPr>
      <w:sz w:val="20"/>
      <w:szCs w:val="20"/>
    </w:rPr>
    <w:pPr>
      <w:spacing w:after="0"/>
    </w:pPr>
  </w:style>
  <w:style w:type="character" w:styleId="EndnoteTextChar" w:customStyle="true">
    <w:uiPriority w:val="99"/>
    <w:name w:val="Endnote Text Char"/>
    <w:basedOn w:val="DefaultParagraphFont"/>
    <w:semiHidden/>
    <w:link w:val="EndnoteText"/>
    <w:rsid w:val="62856EC7"/>
    <w:rPr>
      <w:noProof w:val="0"/>
      <w:sz w:val="20"/>
      <w:szCs w:val="20"/>
      <w:lang w:val="en-GB"/>
    </w:rPr>
  </w:style>
  <w:style w:type="paragraph" w:styleId="Footer">
    <w:uiPriority w:val="99"/>
    <w:name w:val="footer"/>
    <w:basedOn w:val="Normal"/>
    <w:unhideWhenUsed/>
    <w:link w:val="FooterChar"/>
    <w:rsid w:val="62856EC7"/>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2856EC7"/>
    <w:rPr>
      <w:noProof w:val="0"/>
      <w:lang w:val="en-GB"/>
    </w:rPr>
  </w:style>
  <w:style w:type="paragraph" w:styleId="FootnoteText">
    <w:uiPriority w:val="99"/>
    <w:name w:val="footnote text"/>
    <w:basedOn w:val="Normal"/>
    <w:semiHidden/>
    <w:unhideWhenUsed/>
    <w:link w:val="FootnoteTextChar"/>
    <w:rsid w:val="62856EC7"/>
    <w:rPr>
      <w:sz w:val="20"/>
      <w:szCs w:val="20"/>
    </w:rPr>
    <w:pPr>
      <w:spacing w:after="0"/>
    </w:pPr>
  </w:style>
  <w:style w:type="character" w:styleId="FootnoteTextChar" w:customStyle="true">
    <w:uiPriority w:val="99"/>
    <w:name w:val="Footnote Text Char"/>
    <w:basedOn w:val="DefaultParagraphFont"/>
    <w:semiHidden/>
    <w:link w:val="FootnoteText"/>
    <w:rsid w:val="62856EC7"/>
    <w:rPr>
      <w:noProof w:val="0"/>
      <w:sz w:val="20"/>
      <w:szCs w:val="20"/>
      <w:lang w:val="en-GB"/>
    </w:rPr>
  </w:style>
  <w:style w:type="paragraph" w:styleId="Header">
    <w:uiPriority w:val="99"/>
    <w:name w:val="header"/>
    <w:basedOn w:val="Normal"/>
    <w:unhideWhenUsed/>
    <w:link w:val="HeaderChar"/>
    <w:rsid w:val="62856EC7"/>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2856EC7"/>
    <w:rPr>
      <w:noProof w:val="0"/>
      <w:lang w:val="en-GB"/>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fcee7ceaeb4c48a0" /><Relationship Type="http://schemas.microsoft.com/office/2020/10/relationships/intelligence" Target="intelligence2.xml" Id="Rf1a715f451294c0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2024-03-14T21:15:38.1969350Z</dcterms:created>
  <dcterms:modified xsi:type="dcterms:W3CDTF">2024-03-15T13:30:26.1050776Z</dcterms:modified>
  <dc:creator>Caitlin Clyne (2304935)</dc:creator>
  <lastModifiedBy>Caitlin Clyne (2304935)</lastModifiedBy>
</coreProperties>
</file>