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68CDBEDA"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5558C7">
        <w:rPr>
          <w:rFonts w:ascii="Arial" w:hAnsi="Arial" w:cs="Arial"/>
          <w:sz w:val="28"/>
          <w:szCs w:val="28"/>
        </w:rPr>
        <w:t xml:space="preserve"> Sana Sahir</w:t>
      </w:r>
    </w:p>
    <w:p w14:paraId="39AA4413" w14:textId="0708D09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5558C7">
        <w:rPr>
          <w:rFonts w:ascii="Arial" w:hAnsi="Arial" w:cs="Arial"/>
          <w:sz w:val="28"/>
          <w:szCs w:val="28"/>
        </w:rPr>
        <w:t xml:space="preserve"> 2113495</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174625B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5558C7">
        <w:rPr>
          <w:rFonts w:ascii="Arial" w:hAnsi="Arial" w:cs="Arial"/>
          <w:sz w:val="28"/>
          <w:szCs w:val="28"/>
        </w:rPr>
        <w:t>Introduction to Research</w:t>
      </w:r>
    </w:p>
    <w:p w14:paraId="4E5B279A" w14:textId="3B534B8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5558C7">
        <w:rPr>
          <w:rFonts w:ascii="Arial" w:hAnsi="Arial" w:cs="Arial"/>
          <w:sz w:val="28"/>
          <w:szCs w:val="28"/>
        </w:rPr>
        <w:t xml:space="preserve"> BMHP5005</w:t>
      </w:r>
    </w:p>
    <w:p w14:paraId="1A0B2D2B" w14:textId="7FD0ECA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5558C7">
        <w:rPr>
          <w:rFonts w:ascii="Arial" w:hAnsi="Arial" w:cs="Arial"/>
          <w:sz w:val="28"/>
          <w:szCs w:val="28"/>
        </w:rPr>
        <w:t xml:space="preserve"> Eleni Koutsogeorgou</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43266D">
      <w:pPr>
        <w:pStyle w:val="Heading1"/>
        <w:spacing w:line="360" w:lineRule="auto"/>
        <w:jc w:val="both"/>
      </w:pPr>
      <w:r w:rsidRPr="00B87E75">
        <w:lastRenderedPageBreak/>
        <w:t>Table of contents</w:t>
      </w:r>
    </w:p>
    <w:p w14:paraId="68D59CF3" w14:textId="77777777" w:rsidR="000947DC" w:rsidRDefault="000947DC" w:rsidP="0043266D">
      <w:pPr>
        <w:spacing w:line="360" w:lineRule="auto"/>
        <w:jc w:val="both"/>
        <w:rPr>
          <w:rFonts w:ascii="Arial" w:hAnsi="Arial" w:cs="Arial"/>
        </w:rPr>
      </w:pPr>
    </w:p>
    <w:p w14:paraId="5D5DFC7B" w14:textId="0780875D" w:rsidR="000947DC" w:rsidRPr="0043266D" w:rsidRDefault="000947DC" w:rsidP="00A47800">
      <w:pPr>
        <w:spacing w:line="360" w:lineRule="auto"/>
        <w:jc w:val="both"/>
        <w:rPr>
          <w:rFonts w:ascii="Arial" w:hAnsi="Arial" w:cs="Arial"/>
          <w:b/>
          <w:bCs/>
        </w:rPr>
      </w:pPr>
      <w:r w:rsidRPr="0043266D">
        <w:rPr>
          <w:rFonts w:ascii="Arial" w:hAnsi="Arial" w:cs="Arial"/>
          <w:b/>
          <w:bCs/>
        </w:rPr>
        <w:t xml:space="preserve"> Introduction</w:t>
      </w:r>
    </w:p>
    <w:p w14:paraId="38B549BD" w14:textId="76180797" w:rsidR="000947DC" w:rsidRPr="0043266D" w:rsidRDefault="009146D1" w:rsidP="00A47800">
      <w:pPr>
        <w:spacing w:line="360" w:lineRule="auto"/>
        <w:jc w:val="both"/>
        <w:rPr>
          <w:rFonts w:ascii="Arial" w:hAnsi="Arial" w:cs="Arial"/>
          <w:b/>
          <w:bCs/>
        </w:rPr>
      </w:pPr>
      <w:r w:rsidRPr="0043266D">
        <w:rPr>
          <w:rFonts w:ascii="Arial" w:hAnsi="Arial" w:cs="Arial"/>
          <w:b/>
          <w:bCs/>
        </w:rPr>
        <w:t>Background</w:t>
      </w:r>
    </w:p>
    <w:p w14:paraId="06B306FB" w14:textId="49CD0C08" w:rsidR="009146D1" w:rsidRPr="0043266D" w:rsidRDefault="009146D1" w:rsidP="00A47800">
      <w:pPr>
        <w:spacing w:line="360" w:lineRule="auto"/>
        <w:jc w:val="both"/>
        <w:rPr>
          <w:rFonts w:ascii="Arial" w:hAnsi="Arial" w:cs="Arial"/>
          <w:b/>
          <w:bCs/>
        </w:rPr>
      </w:pPr>
      <w:r w:rsidRPr="0043266D">
        <w:rPr>
          <w:rFonts w:ascii="Arial" w:hAnsi="Arial" w:cs="Arial"/>
          <w:b/>
          <w:bCs/>
        </w:rPr>
        <w:t>Method</w:t>
      </w:r>
    </w:p>
    <w:p w14:paraId="6CC471AA" w14:textId="4E2CABCB" w:rsidR="009146D1" w:rsidRPr="0043266D" w:rsidRDefault="009146D1" w:rsidP="00A47800">
      <w:pPr>
        <w:spacing w:line="360" w:lineRule="auto"/>
        <w:jc w:val="both"/>
        <w:rPr>
          <w:rFonts w:ascii="Arial" w:hAnsi="Arial" w:cs="Arial"/>
          <w:b/>
          <w:bCs/>
        </w:rPr>
      </w:pPr>
      <w:r w:rsidRPr="0043266D">
        <w:rPr>
          <w:rFonts w:ascii="Arial" w:hAnsi="Arial" w:cs="Arial"/>
          <w:b/>
          <w:bCs/>
        </w:rPr>
        <w:t>Results</w:t>
      </w:r>
    </w:p>
    <w:p w14:paraId="56E35ABB" w14:textId="633F5033" w:rsidR="009146D1" w:rsidRPr="0043266D" w:rsidRDefault="009146D1" w:rsidP="00A47800">
      <w:pPr>
        <w:spacing w:line="360" w:lineRule="auto"/>
        <w:jc w:val="both"/>
        <w:rPr>
          <w:rFonts w:ascii="Arial" w:hAnsi="Arial" w:cs="Arial"/>
          <w:b/>
          <w:bCs/>
        </w:rPr>
      </w:pPr>
      <w:r w:rsidRPr="0043266D">
        <w:rPr>
          <w:rFonts w:ascii="Arial" w:hAnsi="Arial" w:cs="Arial"/>
          <w:b/>
          <w:bCs/>
        </w:rPr>
        <w:t>Discussion</w:t>
      </w:r>
    </w:p>
    <w:p w14:paraId="5AE35155" w14:textId="52624BE4" w:rsidR="009146D1" w:rsidRPr="0043266D" w:rsidRDefault="009146D1" w:rsidP="00A47800">
      <w:pPr>
        <w:spacing w:line="360" w:lineRule="auto"/>
        <w:jc w:val="both"/>
        <w:rPr>
          <w:rFonts w:ascii="Arial" w:hAnsi="Arial" w:cs="Arial"/>
          <w:b/>
          <w:bCs/>
        </w:rPr>
      </w:pPr>
      <w:r w:rsidRPr="0043266D">
        <w:rPr>
          <w:rFonts w:ascii="Arial" w:hAnsi="Arial" w:cs="Arial"/>
          <w:b/>
          <w:bCs/>
        </w:rPr>
        <w:t>Conclusion</w:t>
      </w:r>
    </w:p>
    <w:p w14:paraId="2A2E1681" w14:textId="7521FA4E" w:rsidR="009146D1" w:rsidRDefault="009146D1" w:rsidP="00A47800">
      <w:pPr>
        <w:spacing w:line="360" w:lineRule="auto"/>
        <w:jc w:val="both"/>
        <w:rPr>
          <w:rFonts w:ascii="Arial" w:hAnsi="Arial" w:cs="Arial"/>
          <w:b/>
          <w:bCs/>
        </w:rPr>
      </w:pPr>
      <w:r w:rsidRPr="0043266D">
        <w:rPr>
          <w:rFonts w:ascii="Arial" w:hAnsi="Arial" w:cs="Arial"/>
          <w:b/>
          <w:bCs/>
        </w:rPr>
        <w:t>References</w:t>
      </w:r>
    </w:p>
    <w:p w14:paraId="2347537E" w14:textId="77777777" w:rsidR="000460D9" w:rsidRDefault="000460D9" w:rsidP="00A47800">
      <w:pPr>
        <w:spacing w:line="360" w:lineRule="auto"/>
        <w:jc w:val="both"/>
        <w:rPr>
          <w:rFonts w:ascii="Arial" w:hAnsi="Arial" w:cs="Arial"/>
          <w:b/>
          <w:bCs/>
        </w:rPr>
      </w:pPr>
    </w:p>
    <w:p w14:paraId="71CEA88F" w14:textId="47ACB497" w:rsidR="000460D9" w:rsidRPr="000947DC" w:rsidRDefault="000460D9" w:rsidP="00A47800">
      <w:pPr>
        <w:spacing w:line="360" w:lineRule="auto"/>
        <w:jc w:val="both"/>
        <w:rPr>
          <w:rFonts w:ascii="Arial" w:hAnsi="Arial" w:cs="Arial"/>
        </w:rPr>
      </w:pPr>
      <w:r>
        <w:rPr>
          <w:rFonts w:ascii="Arial" w:hAnsi="Arial" w:cs="Arial"/>
          <w:b/>
          <w:bCs/>
        </w:rPr>
        <w:t>Topic: Anorexia Nervosa</w:t>
      </w:r>
      <w:r w:rsidR="004A681D">
        <w:rPr>
          <w:rFonts w:ascii="Arial" w:hAnsi="Arial" w:cs="Arial"/>
          <w:b/>
          <w:bCs/>
        </w:rPr>
        <w:t>/ Eating Disorder</w:t>
      </w:r>
    </w:p>
    <w:p w14:paraId="13E00080" w14:textId="137FF22A" w:rsidR="00B87E75" w:rsidRPr="001D7C03" w:rsidRDefault="00B87E75" w:rsidP="009146D1">
      <w:pPr>
        <w:spacing w:line="360" w:lineRule="auto"/>
        <w:jc w:val="both"/>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2ED51256" w:rsidR="00B87E75" w:rsidRPr="00B87E75" w:rsidRDefault="00B87E75" w:rsidP="009D052C">
      <w:pPr>
        <w:pStyle w:val="Heading1"/>
        <w:spacing w:line="360" w:lineRule="auto"/>
      </w:pPr>
      <w:r w:rsidRPr="00B87E75">
        <w:lastRenderedPageBreak/>
        <w:t>1. Introduction</w:t>
      </w:r>
    </w:p>
    <w:p w14:paraId="1362822B" w14:textId="64B0D085" w:rsidR="00577C67" w:rsidRDefault="0057531A" w:rsidP="002D6D88">
      <w:pPr>
        <w:tabs>
          <w:tab w:val="left" w:pos="6540"/>
        </w:tabs>
        <w:spacing w:line="360" w:lineRule="auto"/>
        <w:rPr>
          <w:rFonts w:ascii="Arial" w:hAnsi="Arial" w:cs="Arial"/>
          <w:szCs w:val="24"/>
        </w:rPr>
      </w:pPr>
      <w:r w:rsidRPr="0057531A">
        <w:rPr>
          <w:rFonts w:ascii="Arial" w:hAnsi="Arial" w:cs="Arial"/>
          <w:szCs w:val="24"/>
        </w:rPr>
        <w:t>There has been a recent</w:t>
      </w:r>
      <w:r w:rsidR="00BA3002" w:rsidRPr="00BA3002">
        <w:t xml:space="preserve"> </w:t>
      </w:r>
      <w:r w:rsidR="00BA3002" w:rsidRPr="00BA3002">
        <w:rPr>
          <w:rFonts w:ascii="Arial" w:hAnsi="Arial" w:cs="Arial"/>
          <w:szCs w:val="24"/>
        </w:rPr>
        <w:t>significant rise</w:t>
      </w:r>
      <w:r w:rsidRPr="0057531A">
        <w:rPr>
          <w:rFonts w:ascii="Arial" w:hAnsi="Arial" w:cs="Arial"/>
          <w:szCs w:val="24"/>
        </w:rPr>
        <w:t xml:space="preserve"> in the incidence of significant mental illnesses, such as eating disorders, among young people. Historically, outpatient treatment in the United Kingdom was provided by either generalised child and adolescent mental health services (CAMHS) or highly specialised eating disorder programmes, with wide variance in availability between </w:t>
      </w:r>
      <w:r w:rsidR="003C66B4" w:rsidRPr="0057531A">
        <w:rPr>
          <w:rFonts w:ascii="Arial" w:hAnsi="Arial" w:cs="Arial"/>
          <w:szCs w:val="24"/>
        </w:rPr>
        <w:t>regions. There</w:t>
      </w:r>
      <w:r w:rsidRPr="0057531A">
        <w:rPr>
          <w:rFonts w:ascii="Arial" w:hAnsi="Arial" w:cs="Arial"/>
          <w:szCs w:val="24"/>
        </w:rPr>
        <w:t xml:space="preserve"> is increasing proof of the effectiveness of many therapies, but less is known about how various clinical environments affect patients' recoveries. Evidence for the claims that specialised service delivery improves case recognition, medical continuity, and efficiency is scant. Specialist community eating disorder services for young people have recently been invested in throughout all areas of England</w:t>
      </w:r>
      <w:r w:rsidR="002D6D88" w:rsidRPr="0057531A">
        <w:rPr>
          <w:rFonts w:ascii="Arial" w:hAnsi="Arial" w:cs="Arial"/>
          <w:szCs w:val="24"/>
        </w:rPr>
        <w:t>,</w:t>
      </w:r>
      <w:r w:rsidR="002D6D88" w:rsidRPr="002D6D88">
        <w:rPr>
          <w:rFonts w:ascii="Arial" w:hAnsi="Arial" w:cs="Arial"/>
          <w:szCs w:val="24"/>
        </w:rPr>
        <w:t xml:space="preserve"> but</w:t>
      </w:r>
      <w:r w:rsidR="002D6D88" w:rsidRPr="002D6D88">
        <w:rPr>
          <w:rFonts w:ascii="Arial" w:hAnsi="Arial" w:cs="Arial"/>
          <w:szCs w:val="24"/>
        </w:rPr>
        <w:t xml:space="preserve"> the results of these efforts are </w:t>
      </w:r>
      <w:r w:rsidR="005C760E" w:rsidRPr="002D6D88">
        <w:rPr>
          <w:rFonts w:ascii="Arial" w:hAnsi="Arial" w:cs="Arial"/>
          <w:szCs w:val="24"/>
        </w:rPr>
        <w:t>yet</w:t>
      </w:r>
      <w:r w:rsidR="002D6D88" w:rsidRPr="002D6D88">
        <w:rPr>
          <w:rFonts w:ascii="Arial" w:hAnsi="Arial" w:cs="Arial"/>
          <w:szCs w:val="24"/>
        </w:rPr>
        <w:t xml:space="preserve"> undetermined.</w:t>
      </w:r>
      <w:r w:rsidR="0088284C">
        <w:rPr>
          <w:rFonts w:ascii="Arial" w:hAnsi="Arial" w:cs="Arial"/>
          <w:szCs w:val="24"/>
        </w:rPr>
        <w:t xml:space="preserve"> </w:t>
      </w:r>
      <w:r w:rsidR="002D6D88" w:rsidRPr="002D6D88">
        <w:rPr>
          <w:rFonts w:ascii="Arial" w:hAnsi="Arial" w:cs="Arial"/>
          <w:szCs w:val="24"/>
        </w:rPr>
        <w:t>Along with these shifts is an increased focus on patient-led recovery approaches to eating disorders and the inclusion of patients and carers in the design of services.</w:t>
      </w:r>
      <w:r w:rsidR="005761FC" w:rsidRPr="005761FC">
        <w:t xml:space="preserve"> </w:t>
      </w:r>
      <w:r w:rsidR="005761FC" w:rsidRPr="005761FC">
        <w:rPr>
          <w:rFonts w:ascii="Arial" w:hAnsi="Arial" w:cs="Arial"/>
          <w:szCs w:val="24"/>
        </w:rPr>
        <w:t>As a result of this study, we came up with three major takeaways: first, there is a pressing requirement to move away from an emphasis on weight towards a care approach that is more comprehensive, individualised, and consistent; second, there is an urgent need to strike a better balance between the early treatment of psychological and physical issues; and third, there is an urgent requirement to improve the knowledge and attitude of medical professionals towards patients and their families at all levels of care, from primary to truly specialised.</w:t>
      </w:r>
    </w:p>
    <w:p w14:paraId="49426F93" w14:textId="0B2D99AA" w:rsidR="0026393A" w:rsidRDefault="009A1E74" w:rsidP="00A47800">
      <w:pPr>
        <w:tabs>
          <w:tab w:val="left" w:pos="6540"/>
        </w:tabs>
        <w:spacing w:line="360" w:lineRule="auto"/>
        <w:rPr>
          <w:rFonts w:ascii="Arial" w:hAnsi="Arial" w:cs="Arial"/>
          <w:szCs w:val="24"/>
        </w:rPr>
      </w:pPr>
      <w:r>
        <w:rPr>
          <w:rFonts w:ascii="Arial" w:hAnsi="Arial" w:cs="Arial"/>
          <w:szCs w:val="24"/>
        </w:rPr>
        <w:t>Aim:</w:t>
      </w:r>
      <w:r w:rsidRPr="009A1E74">
        <w:t xml:space="preserve"> </w:t>
      </w:r>
      <w:r w:rsidRPr="009A1E74">
        <w:rPr>
          <w:rFonts w:ascii="Arial" w:hAnsi="Arial" w:cs="Arial"/>
          <w:szCs w:val="24"/>
        </w:rPr>
        <w:t xml:space="preserve">Exploring the experiences of young people with eating disorders and their families in order to learn about the benefits and drawbacks of current treatment </w:t>
      </w:r>
      <w:r w:rsidRPr="009A1E74">
        <w:rPr>
          <w:rFonts w:ascii="Arial" w:hAnsi="Arial" w:cs="Arial"/>
          <w:szCs w:val="24"/>
        </w:rPr>
        <w:t>options.</w:t>
      </w:r>
    </w:p>
    <w:p w14:paraId="14BF3272" w14:textId="399A1581" w:rsidR="0026393A" w:rsidRDefault="0026393A" w:rsidP="00A47800">
      <w:pPr>
        <w:tabs>
          <w:tab w:val="left" w:pos="6540"/>
        </w:tabs>
        <w:spacing w:line="360" w:lineRule="auto"/>
        <w:rPr>
          <w:rFonts w:ascii="Arial" w:hAnsi="Arial" w:cs="Arial"/>
          <w:szCs w:val="24"/>
        </w:rPr>
      </w:pPr>
      <w:r>
        <w:rPr>
          <w:rFonts w:ascii="Arial" w:hAnsi="Arial" w:cs="Arial"/>
          <w:szCs w:val="24"/>
        </w:rPr>
        <w:t>Objectives</w:t>
      </w:r>
      <w:r w:rsidR="00E83C64">
        <w:rPr>
          <w:rFonts w:ascii="Arial" w:hAnsi="Arial" w:cs="Arial"/>
          <w:szCs w:val="24"/>
        </w:rPr>
        <w:t>:</w:t>
      </w:r>
    </w:p>
    <w:p w14:paraId="09299EB4" w14:textId="77777777" w:rsidR="0057531A" w:rsidRDefault="0057531A" w:rsidP="00A47800">
      <w:pPr>
        <w:tabs>
          <w:tab w:val="left" w:pos="6540"/>
        </w:tabs>
        <w:spacing w:line="360" w:lineRule="auto"/>
        <w:rPr>
          <w:rFonts w:ascii="Arial" w:hAnsi="Arial" w:cs="Arial"/>
          <w:szCs w:val="24"/>
        </w:rPr>
      </w:pPr>
    </w:p>
    <w:p w14:paraId="52010A5E" w14:textId="77777777" w:rsidR="0026393A" w:rsidRDefault="0026393A" w:rsidP="00A47800">
      <w:pPr>
        <w:tabs>
          <w:tab w:val="left" w:pos="6540"/>
        </w:tabs>
        <w:spacing w:line="360" w:lineRule="auto"/>
        <w:rPr>
          <w:rFonts w:ascii="Arial" w:hAnsi="Arial" w:cs="Arial"/>
          <w:szCs w:val="24"/>
        </w:rPr>
      </w:pPr>
    </w:p>
    <w:p w14:paraId="232E6A2E" w14:textId="7FA38635" w:rsidR="0026393A" w:rsidRPr="005413EA" w:rsidRDefault="0026393A" w:rsidP="00A47800">
      <w:pPr>
        <w:pStyle w:val="Heading1"/>
        <w:spacing w:line="360" w:lineRule="auto"/>
      </w:pPr>
      <w:r w:rsidRPr="0026393A">
        <w:t>2. Background</w:t>
      </w:r>
    </w:p>
    <w:p w14:paraId="37D9F562" w14:textId="49980B7B" w:rsidR="00265D27" w:rsidRDefault="005413EA" w:rsidP="00A47800">
      <w:pPr>
        <w:tabs>
          <w:tab w:val="left" w:pos="6540"/>
        </w:tabs>
        <w:spacing w:line="360" w:lineRule="auto"/>
        <w:rPr>
          <w:rFonts w:ascii="Arial" w:hAnsi="Arial" w:cs="Arial"/>
          <w:szCs w:val="24"/>
        </w:rPr>
      </w:pPr>
      <w:r w:rsidRPr="005413EA">
        <w:rPr>
          <w:rFonts w:ascii="Arial" w:hAnsi="Arial" w:cs="Arial"/>
          <w:szCs w:val="24"/>
        </w:rPr>
        <w:t>The precise aetiology of anorexia and other eating disorders is unknown. Having an eating issue may be more probable for you if</w:t>
      </w:r>
      <w:r>
        <w:rPr>
          <w:rFonts w:ascii="Arial" w:hAnsi="Arial" w:cs="Arial"/>
          <w:szCs w:val="24"/>
        </w:rPr>
        <w:t xml:space="preserve"> </w:t>
      </w:r>
      <w:r w:rsidRPr="005413EA">
        <w:rPr>
          <w:rFonts w:ascii="Arial" w:hAnsi="Arial" w:cs="Arial"/>
          <w:szCs w:val="24"/>
        </w:rPr>
        <w:t xml:space="preserve">You or a family member has a history of depression, alcoholism, or drug abuse. You have received criticism for your eating </w:t>
      </w:r>
      <w:r w:rsidRPr="005413EA">
        <w:rPr>
          <w:rFonts w:ascii="Arial" w:hAnsi="Arial" w:cs="Arial"/>
          <w:szCs w:val="24"/>
        </w:rPr>
        <w:lastRenderedPageBreak/>
        <w:t>habits, body type, or weight.</w:t>
      </w:r>
      <w:r>
        <w:rPr>
          <w:rFonts w:ascii="Arial" w:hAnsi="Arial" w:cs="Arial"/>
          <w:szCs w:val="24"/>
        </w:rPr>
        <w:t xml:space="preserve"> </w:t>
      </w:r>
      <w:r w:rsidRPr="005413EA">
        <w:rPr>
          <w:rFonts w:ascii="Arial" w:hAnsi="Arial" w:cs="Arial"/>
          <w:szCs w:val="24"/>
        </w:rPr>
        <w:t>ballet dancers, jockeys, models, or sports are examples of people who tend to obsessively worry about their weight. Other examples are those who feel pressure from society or their jobs, and people who are too preoccupied with their appearance</w:t>
      </w:r>
      <w:r w:rsidRPr="00265D27">
        <w:rPr>
          <w:rFonts w:ascii="Arial" w:hAnsi="Arial" w:cs="Arial"/>
          <w:szCs w:val="24"/>
        </w:rPr>
        <w:t>.</w:t>
      </w:r>
      <w:r w:rsidR="00265D27" w:rsidRPr="00265D27">
        <w:rPr>
          <w:rFonts w:ascii="Arial" w:hAnsi="Arial" w:cs="Arial"/>
          <w:sz w:val="23"/>
          <w:szCs w:val="23"/>
          <w:shd w:val="clear" w:color="auto" w:fill="FFFFFF"/>
        </w:rPr>
        <w:t xml:space="preserve"> (National Health Service, 2021</w:t>
      </w:r>
      <w:r w:rsidR="00826582" w:rsidRPr="00265D27">
        <w:rPr>
          <w:rFonts w:ascii="Arial" w:hAnsi="Arial" w:cs="Arial"/>
          <w:sz w:val="23"/>
          <w:szCs w:val="23"/>
          <w:shd w:val="clear" w:color="auto" w:fill="FFFFFF"/>
        </w:rPr>
        <w:t>).</w:t>
      </w:r>
      <w:r w:rsidR="00826582" w:rsidRPr="00265D27">
        <w:rPr>
          <w:rFonts w:ascii="Arial" w:hAnsi="Arial" w:cs="Arial"/>
          <w:szCs w:val="24"/>
        </w:rPr>
        <w:t xml:space="preserve"> NICE</w:t>
      </w:r>
      <w:r w:rsidR="00265D27" w:rsidRPr="00265D27">
        <w:rPr>
          <w:rFonts w:ascii="Arial" w:hAnsi="Arial" w:cs="Arial"/>
          <w:szCs w:val="24"/>
        </w:rPr>
        <w:t xml:space="preserve"> estimates that there are 266,300 cases of anorexia nervosa, 443,800 cases of bulimia nervosa, 1,398,000 cases of binge eating disorder, and 1,309,000 cases of other defined feeding and eating disorders in the UK among adults 16 and older. According to this, 0.6% of people have anorexia nervosa, 1% have bulimia nervosa, 3.2% have binge eating disorder, and 3% have another kind of eating or feeding condition that has been specifically identified.</w:t>
      </w:r>
      <w:r w:rsidR="00265D27" w:rsidRPr="00265D27">
        <w:t xml:space="preserve"> </w:t>
      </w:r>
      <w:bookmarkStart w:id="0" w:name="_Hlk129704596"/>
      <w:r w:rsidR="00265D27" w:rsidRPr="00265D27">
        <w:rPr>
          <w:rFonts w:ascii="Arial" w:hAnsi="Arial" w:cs="Arial"/>
          <w:szCs w:val="24"/>
        </w:rPr>
        <w:t>(MacKey, 2021)</w:t>
      </w:r>
      <w:r w:rsidR="00265D27">
        <w:rPr>
          <w:rFonts w:ascii="Arial" w:hAnsi="Arial" w:cs="Arial"/>
          <w:szCs w:val="24"/>
        </w:rPr>
        <w:t xml:space="preserve">. </w:t>
      </w:r>
      <w:bookmarkEnd w:id="0"/>
      <w:r w:rsidR="00265D27" w:rsidRPr="00265D27">
        <w:rPr>
          <w:rFonts w:ascii="Arial" w:hAnsi="Arial" w:cs="Arial"/>
          <w:szCs w:val="24"/>
        </w:rPr>
        <w:t>Another NICE study estimated that there were 700,000 eating disorder sufferers, however it is noted that "many instances do not present to health care," thus "this is certainly an underestimate. “According to the same NICE statistics, 90% of people with eating problems are women. Teenagers and young adults are particularly at risk for developing eating disorders. (MacKey, 2021)</w:t>
      </w:r>
      <w:r w:rsidR="00265D27">
        <w:rPr>
          <w:rFonts w:ascii="Arial" w:hAnsi="Arial" w:cs="Arial"/>
          <w:szCs w:val="24"/>
        </w:rPr>
        <w:t>.</w:t>
      </w:r>
    </w:p>
    <w:p w14:paraId="3EE04136" w14:textId="03BD9484" w:rsidR="00826582" w:rsidRDefault="00826582" w:rsidP="00A47800">
      <w:pPr>
        <w:tabs>
          <w:tab w:val="left" w:pos="6540"/>
        </w:tabs>
        <w:spacing w:line="360" w:lineRule="auto"/>
        <w:rPr>
          <w:rFonts w:ascii="Arial" w:hAnsi="Arial" w:cs="Arial"/>
          <w:szCs w:val="24"/>
        </w:rPr>
      </w:pPr>
      <w:r w:rsidRPr="00826582">
        <w:rPr>
          <w:rFonts w:ascii="Arial" w:hAnsi="Arial" w:cs="Arial"/>
          <w:szCs w:val="24"/>
        </w:rPr>
        <w:t>Many young individuals with anorexia arrive at hospitals in gravely deteriorated physical state because anorexia may have potentially fatal medical and psychological repercussions. Although immediate medical attention is needed for their bodily symptoms, it is as crucial to attend to their emotional and psychological needs if they are to make progress towards recovery. Yet, the condition is especially difficult to treat since young people sometimes have strong ambivalence about receiving therapy because to the contradictory feelings that are typical in anorexia.</w:t>
      </w:r>
      <w:r w:rsidRPr="00826582">
        <w:t xml:space="preserve"> </w:t>
      </w:r>
      <w:r w:rsidRPr="00826582">
        <w:rPr>
          <w:rFonts w:ascii="Arial" w:hAnsi="Arial" w:cs="Arial"/>
          <w:szCs w:val="24"/>
        </w:rPr>
        <w:t>(Williams, Smith and Wright, 2020)</w:t>
      </w:r>
      <w:r>
        <w:rPr>
          <w:rFonts w:ascii="Arial" w:hAnsi="Arial" w:cs="Arial"/>
          <w:szCs w:val="24"/>
        </w:rPr>
        <w:t>.</w:t>
      </w:r>
      <w:r w:rsidR="0062709E" w:rsidRPr="0062709E">
        <w:t xml:space="preserve"> </w:t>
      </w:r>
      <w:r w:rsidR="0062709E" w:rsidRPr="0062709E">
        <w:rPr>
          <w:rFonts w:ascii="Arial" w:hAnsi="Arial" w:cs="Arial"/>
          <w:szCs w:val="24"/>
        </w:rPr>
        <w:t>Limited data prevent evidence-based practise and service design from fully incorporating young people and their parents' perspectives on what makes a difference in the treatment of eating disorders.</w:t>
      </w:r>
      <w:r w:rsidR="0029685A" w:rsidRPr="0029685A">
        <w:rPr>
          <w:rFonts w:ascii="Arial" w:hAnsi="Arial" w:cs="Arial"/>
          <w:szCs w:val="24"/>
        </w:rPr>
        <w:t xml:space="preserve"> </w:t>
      </w:r>
      <w:r w:rsidR="0029685A" w:rsidRPr="00F731C8">
        <w:rPr>
          <w:rFonts w:ascii="Arial" w:hAnsi="Arial" w:cs="Arial"/>
          <w:szCs w:val="24"/>
        </w:rPr>
        <w:t>(Mitrofan et al., 2019)</w:t>
      </w:r>
      <w:r w:rsidR="0029685A">
        <w:rPr>
          <w:rFonts w:ascii="Arial" w:hAnsi="Arial" w:cs="Arial"/>
          <w:szCs w:val="24"/>
        </w:rPr>
        <w:t>.</w:t>
      </w:r>
    </w:p>
    <w:p w14:paraId="69FEBEAB" w14:textId="77777777" w:rsidR="00826582" w:rsidRDefault="00826582" w:rsidP="00A47800">
      <w:pPr>
        <w:tabs>
          <w:tab w:val="left" w:pos="6540"/>
        </w:tabs>
        <w:spacing w:line="360" w:lineRule="auto"/>
        <w:rPr>
          <w:rFonts w:ascii="Arial" w:hAnsi="Arial" w:cs="Arial"/>
          <w:szCs w:val="24"/>
        </w:rPr>
      </w:pPr>
    </w:p>
    <w:p w14:paraId="0537CEF5" w14:textId="77777777" w:rsidR="003E4ECF" w:rsidRPr="00B87E75" w:rsidRDefault="003E4ECF" w:rsidP="00A47800">
      <w:pPr>
        <w:tabs>
          <w:tab w:val="left" w:pos="6540"/>
        </w:tabs>
        <w:spacing w:line="360" w:lineRule="auto"/>
        <w:rPr>
          <w:rFonts w:ascii="Arial" w:hAnsi="Arial" w:cs="Arial"/>
          <w:szCs w:val="24"/>
        </w:rPr>
      </w:pPr>
    </w:p>
    <w:p w14:paraId="5DC3AF92" w14:textId="71B17782" w:rsidR="00B87E75" w:rsidRPr="00B21F98" w:rsidRDefault="0026393A" w:rsidP="00A47800">
      <w:pPr>
        <w:pStyle w:val="Heading1"/>
        <w:spacing w:line="360" w:lineRule="auto"/>
      </w:pPr>
      <w:r>
        <w:t>3</w:t>
      </w:r>
      <w:r w:rsidR="00B87E75" w:rsidRPr="00B87E75">
        <w:t>. Method</w:t>
      </w:r>
      <w:r w:rsidR="003E4ECF">
        <w:t>s</w:t>
      </w:r>
    </w:p>
    <w:p w14:paraId="49E08F02" w14:textId="06123CD7" w:rsidR="003B7A25" w:rsidRDefault="003B7A25" w:rsidP="00A47800">
      <w:pPr>
        <w:tabs>
          <w:tab w:val="left" w:pos="6540"/>
        </w:tabs>
        <w:spacing w:line="360" w:lineRule="auto"/>
        <w:rPr>
          <w:rFonts w:ascii="Arial" w:hAnsi="Arial" w:cs="Arial"/>
          <w:szCs w:val="24"/>
        </w:rPr>
      </w:pPr>
      <w:r w:rsidRPr="003B7A25">
        <w:rPr>
          <w:rFonts w:ascii="Arial" w:hAnsi="Arial" w:cs="Arial"/>
          <w:szCs w:val="24"/>
        </w:rPr>
        <w:t xml:space="preserve">Through searches in different databases, a selection of articles and journals based on the first sources published in literature where studies have been done will be </w:t>
      </w:r>
      <w:r w:rsidRPr="003B7A25">
        <w:rPr>
          <w:rFonts w:ascii="Arial" w:hAnsi="Arial" w:cs="Arial"/>
          <w:szCs w:val="24"/>
        </w:rPr>
        <w:lastRenderedPageBreak/>
        <w:t>made. This method was used to find people who were likely to have used a variety of eating disorder services. People between the ages of 16 and 25 who have or have had an eating disorder and have been in touch with health services because of it, as well as the parents of those young people</w:t>
      </w:r>
      <w:r w:rsidR="00C92752">
        <w:rPr>
          <w:rFonts w:ascii="Arial" w:hAnsi="Arial" w:cs="Arial"/>
          <w:szCs w:val="24"/>
        </w:rPr>
        <w:t xml:space="preserve"> </w:t>
      </w:r>
      <w:r w:rsidR="00F731C8" w:rsidRPr="00F731C8">
        <w:rPr>
          <w:rFonts w:ascii="Arial" w:hAnsi="Arial" w:cs="Arial"/>
          <w:szCs w:val="24"/>
        </w:rPr>
        <w:t>(Mitrofan et al., 2019)</w:t>
      </w:r>
      <w:r w:rsidR="00C92752">
        <w:rPr>
          <w:rFonts w:ascii="Arial" w:hAnsi="Arial" w:cs="Arial"/>
          <w:szCs w:val="24"/>
        </w:rPr>
        <w:t>.</w:t>
      </w:r>
    </w:p>
    <w:p w14:paraId="39F89E65" w14:textId="5D2E0772" w:rsidR="00B87E75" w:rsidRDefault="00B37DC3" w:rsidP="00A47800">
      <w:pPr>
        <w:tabs>
          <w:tab w:val="left" w:pos="6540"/>
        </w:tabs>
        <w:spacing w:line="360" w:lineRule="auto"/>
        <w:rPr>
          <w:rFonts w:ascii="Arial" w:hAnsi="Arial" w:cs="Arial"/>
          <w:szCs w:val="24"/>
        </w:rPr>
      </w:pPr>
      <w:r>
        <w:rPr>
          <w:rFonts w:ascii="Arial" w:hAnsi="Arial" w:cs="Arial"/>
          <w:szCs w:val="24"/>
        </w:rPr>
        <w:t xml:space="preserve">Database: UWTSD </w:t>
      </w:r>
      <w:r w:rsidR="00AC7EFD">
        <w:rPr>
          <w:rFonts w:ascii="Arial" w:hAnsi="Arial" w:cs="Arial"/>
          <w:szCs w:val="24"/>
        </w:rPr>
        <w:t xml:space="preserve">Library/ </w:t>
      </w:r>
      <w:r w:rsidR="009C5777">
        <w:rPr>
          <w:rFonts w:ascii="Arial" w:hAnsi="Arial" w:cs="Arial"/>
          <w:szCs w:val="24"/>
        </w:rPr>
        <w:t>PubMed/ProQuest</w:t>
      </w:r>
    </w:p>
    <w:p w14:paraId="29B735E9" w14:textId="73D471BE" w:rsidR="00224837" w:rsidRDefault="00224837" w:rsidP="00A47800">
      <w:pPr>
        <w:tabs>
          <w:tab w:val="left" w:pos="6540"/>
        </w:tabs>
        <w:spacing w:line="360" w:lineRule="auto"/>
        <w:rPr>
          <w:rFonts w:ascii="Arial" w:hAnsi="Arial" w:cs="Arial"/>
          <w:szCs w:val="24"/>
        </w:rPr>
      </w:pPr>
      <w:r>
        <w:rPr>
          <w:rFonts w:ascii="Arial" w:hAnsi="Arial" w:cs="Arial"/>
          <w:szCs w:val="24"/>
        </w:rPr>
        <w:t xml:space="preserve">Date of </w:t>
      </w:r>
      <w:r w:rsidR="0030155D">
        <w:rPr>
          <w:rFonts w:ascii="Arial" w:hAnsi="Arial" w:cs="Arial"/>
          <w:szCs w:val="24"/>
        </w:rPr>
        <w:t>publication: 1-01-2013/</w:t>
      </w:r>
      <w:r w:rsidR="00F43B53">
        <w:rPr>
          <w:rFonts w:ascii="Arial" w:hAnsi="Arial" w:cs="Arial"/>
          <w:szCs w:val="24"/>
        </w:rPr>
        <w:t>01-03-2023</w:t>
      </w:r>
    </w:p>
    <w:p w14:paraId="705A7057" w14:textId="750D0B28" w:rsidR="009C5777" w:rsidRDefault="00E623DB" w:rsidP="00A47800">
      <w:pPr>
        <w:tabs>
          <w:tab w:val="left" w:pos="6540"/>
        </w:tabs>
        <w:spacing w:line="360" w:lineRule="auto"/>
        <w:rPr>
          <w:rFonts w:ascii="Arial" w:hAnsi="Arial" w:cs="Arial"/>
          <w:szCs w:val="24"/>
        </w:rPr>
      </w:pPr>
      <w:r>
        <w:rPr>
          <w:rFonts w:ascii="Arial" w:hAnsi="Arial" w:cs="Arial"/>
          <w:szCs w:val="24"/>
        </w:rPr>
        <w:t>Language: English</w:t>
      </w:r>
    </w:p>
    <w:p w14:paraId="7C938FE8" w14:textId="691FD923" w:rsidR="00E623DB" w:rsidRDefault="00E623DB" w:rsidP="00A47800">
      <w:pPr>
        <w:tabs>
          <w:tab w:val="left" w:pos="6540"/>
        </w:tabs>
        <w:spacing w:line="360" w:lineRule="auto"/>
        <w:rPr>
          <w:rFonts w:ascii="Arial" w:hAnsi="Arial" w:cs="Arial"/>
          <w:szCs w:val="24"/>
        </w:rPr>
      </w:pPr>
      <w:r>
        <w:rPr>
          <w:rFonts w:ascii="Arial" w:hAnsi="Arial" w:cs="Arial"/>
          <w:szCs w:val="24"/>
        </w:rPr>
        <w:t>Type of source</w:t>
      </w:r>
      <w:r w:rsidR="00814282">
        <w:rPr>
          <w:rFonts w:ascii="Arial" w:hAnsi="Arial" w:cs="Arial"/>
          <w:szCs w:val="24"/>
        </w:rPr>
        <w:t xml:space="preserve">: Primary </w:t>
      </w:r>
      <w:r w:rsidR="006C183D">
        <w:rPr>
          <w:rFonts w:ascii="Arial" w:hAnsi="Arial" w:cs="Arial"/>
          <w:szCs w:val="24"/>
        </w:rPr>
        <w:t>Res</w:t>
      </w:r>
      <w:r w:rsidR="00814282">
        <w:rPr>
          <w:rFonts w:ascii="Arial" w:hAnsi="Arial" w:cs="Arial"/>
          <w:szCs w:val="24"/>
        </w:rPr>
        <w:t xml:space="preserve">earch/ </w:t>
      </w:r>
      <w:r w:rsidR="00A17EE6">
        <w:rPr>
          <w:rFonts w:ascii="Arial" w:hAnsi="Arial" w:cs="Arial"/>
          <w:szCs w:val="24"/>
        </w:rPr>
        <w:t>Academic</w:t>
      </w:r>
      <w:r w:rsidR="00F43B53">
        <w:rPr>
          <w:rFonts w:ascii="Arial" w:hAnsi="Arial" w:cs="Arial"/>
          <w:szCs w:val="24"/>
        </w:rPr>
        <w:t xml:space="preserve"> Articles</w:t>
      </w:r>
    </w:p>
    <w:p w14:paraId="7FCCAB70" w14:textId="31B2A875" w:rsidR="00A17EE6" w:rsidRDefault="00A17EE6" w:rsidP="00A47800">
      <w:pPr>
        <w:tabs>
          <w:tab w:val="left" w:pos="6540"/>
        </w:tabs>
        <w:spacing w:line="360" w:lineRule="auto"/>
        <w:rPr>
          <w:rFonts w:ascii="Arial" w:hAnsi="Arial" w:cs="Arial"/>
          <w:szCs w:val="24"/>
        </w:rPr>
      </w:pPr>
      <w:r>
        <w:rPr>
          <w:rFonts w:ascii="Arial" w:hAnsi="Arial" w:cs="Arial"/>
          <w:szCs w:val="24"/>
        </w:rPr>
        <w:t>Geogr</w:t>
      </w:r>
      <w:r w:rsidR="00907883">
        <w:rPr>
          <w:rFonts w:ascii="Arial" w:hAnsi="Arial" w:cs="Arial"/>
          <w:szCs w:val="24"/>
        </w:rPr>
        <w:t>aphy/</w:t>
      </w:r>
      <w:r w:rsidR="00864EAE">
        <w:rPr>
          <w:rFonts w:ascii="Arial" w:hAnsi="Arial" w:cs="Arial"/>
          <w:szCs w:val="24"/>
        </w:rPr>
        <w:t xml:space="preserve">Location: </w:t>
      </w:r>
      <w:r w:rsidR="00D45F4D">
        <w:rPr>
          <w:rFonts w:ascii="Arial" w:hAnsi="Arial" w:cs="Arial"/>
          <w:szCs w:val="24"/>
        </w:rPr>
        <w:t>United Kingdom</w:t>
      </w:r>
    </w:p>
    <w:p w14:paraId="4657A893" w14:textId="75EAD70F" w:rsidR="00BE55A0" w:rsidRDefault="00BE55A0" w:rsidP="00A47800">
      <w:pPr>
        <w:tabs>
          <w:tab w:val="left" w:pos="6540"/>
        </w:tabs>
        <w:spacing w:line="360" w:lineRule="auto"/>
        <w:rPr>
          <w:rFonts w:ascii="Arial" w:hAnsi="Arial" w:cs="Arial"/>
        </w:rPr>
      </w:pPr>
      <w:r>
        <w:rPr>
          <w:rFonts w:ascii="Arial" w:hAnsi="Arial" w:cs="Arial"/>
          <w:szCs w:val="24"/>
        </w:rPr>
        <w:t>Keywords:</w:t>
      </w:r>
      <w:r w:rsidR="00FC5F33" w:rsidRPr="00FC5F33">
        <w:t xml:space="preserve"> </w:t>
      </w:r>
      <w:r w:rsidR="005F29AB">
        <w:rPr>
          <w:rFonts w:ascii="Arial" w:hAnsi="Arial" w:cs="Arial"/>
        </w:rPr>
        <w:t>A</w:t>
      </w:r>
      <w:r w:rsidR="005F29AB" w:rsidRPr="00FC5F33">
        <w:rPr>
          <w:rFonts w:ascii="Arial" w:hAnsi="Arial" w:cs="Arial"/>
        </w:rPr>
        <w:t>dolescents,</w:t>
      </w:r>
      <w:r w:rsidR="005F29AB">
        <w:rPr>
          <w:rFonts w:ascii="Arial" w:hAnsi="Arial" w:cs="Arial"/>
        </w:rPr>
        <w:t xml:space="preserve"> young adults,</w:t>
      </w:r>
      <w:r w:rsidR="005F29AB" w:rsidRPr="00FC5F33">
        <w:rPr>
          <w:rFonts w:ascii="Arial" w:hAnsi="Arial" w:cs="Arial"/>
        </w:rPr>
        <w:t xml:space="preserve"> AN</w:t>
      </w:r>
      <w:r w:rsidR="00FC5F33" w:rsidRPr="00FC5F33">
        <w:rPr>
          <w:rFonts w:ascii="Arial" w:hAnsi="Arial" w:cs="Arial"/>
        </w:rPr>
        <w:t>, anorexia nervosa, BMI, body mass index, eating disorders, purging</w:t>
      </w:r>
      <w:r w:rsidR="00035449">
        <w:rPr>
          <w:rFonts w:ascii="Arial" w:hAnsi="Arial" w:cs="Arial"/>
        </w:rPr>
        <w:t>.</w:t>
      </w:r>
      <w:r w:rsidR="00E73A30">
        <w:rPr>
          <w:rFonts w:ascii="Arial" w:hAnsi="Arial" w:cs="Arial"/>
        </w:rPr>
        <w:t xml:space="preserve"> Parent support</w:t>
      </w:r>
    </w:p>
    <w:p w14:paraId="453F7579" w14:textId="77777777" w:rsidR="005F29AB" w:rsidRDefault="005F29AB" w:rsidP="005F29AB">
      <w:pPr>
        <w:tabs>
          <w:tab w:val="left" w:pos="6540"/>
        </w:tabs>
        <w:spacing w:line="360" w:lineRule="auto"/>
        <w:rPr>
          <w:rFonts w:ascii="Arial" w:hAnsi="Arial" w:cs="Arial"/>
          <w:szCs w:val="24"/>
        </w:rPr>
      </w:pPr>
      <w:r>
        <w:rPr>
          <w:rFonts w:ascii="Arial" w:hAnsi="Arial" w:cs="Arial"/>
          <w:szCs w:val="24"/>
        </w:rPr>
        <w:t>Age: 16 to 25</w:t>
      </w:r>
    </w:p>
    <w:p w14:paraId="6B204389" w14:textId="77777777" w:rsidR="005F29AB" w:rsidRPr="00FC5F33" w:rsidRDefault="005F29AB" w:rsidP="00A47800">
      <w:pPr>
        <w:tabs>
          <w:tab w:val="left" w:pos="6540"/>
        </w:tabs>
        <w:spacing w:line="360" w:lineRule="auto"/>
        <w:rPr>
          <w:rFonts w:ascii="Arial" w:hAnsi="Arial" w:cs="Arial"/>
          <w:szCs w:val="24"/>
        </w:rPr>
      </w:pPr>
    </w:p>
    <w:p w14:paraId="35548355" w14:textId="77777777" w:rsidR="009C5777" w:rsidRPr="00B87E75" w:rsidRDefault="009C5777" w:rsidP="00A47800">
      <w:pPr>
        <w:tabs>
          <w:tab w:val="left" w:pos="6540"/>
        </w:tabs>
        <w:spacing w:line="360" w:lineRule="auto"/>
        <w:rPr>
          <w:rFonts w:ascii="Arial" w:hAnsi="Arial" w:cs="Arial"/>
          <w:szCs w:val="24"/>
        </w:rPr>
      </w:pPr>
    </w:p>
    <w:p w14:paraId="4FC14C6B" w14:textId="77777777" w:rsidR="00B87E75" w:rsidRPr="00B87E75" w:rsidRDefault="00B87E75" w:rsidP="00A47800">
      <w:pPr>
        <w:tabs>
          <w:tab w:val="left" w:pos="6540"/>
        </w:tabs>
        <w:spacing w:line="360" w:lineRule="auto"/>
        <w:rPr>
          <w:rFonts w:ascii="Arial" w:hAnsi="Arial" w:cs="Arial"/>
          <w:szCs w:val="24"/>
        </w:rPr>
      </w:pPr>
    </w:p>
    <w:p w14:paraId="581C99BF" w14:textId="794A5B0B" w:rsidR="00B87E75" w:rsidRPr="00B87E75" w:rsidRDefault="004A736E" w:rsidP="0043266D">
      <w:pPr>
        <w:pStyle w:val="Heading1"/>
        <w:spacing w:line="360" w:lineRule="auto"/>
        <w:jc w:val="both"/>
      </w:pPr>
      <w:r>
        <w:t>4</w:t>
      </w:r>
      <w:r w:rsidR="00B87E75" w:rsidRPr="00B87E75">
        <w:t>. Results</w:t>
      </w:r>
    </w:p>
    <w:p w14:paraId="0AF767A1" w14:textId="63C1F589" w:rsidR="00B87E75" w:rsidRDefault="003E4ECF" w:rsidP="0043266D">
      <w:pPr>
        <w:tabs>
          <w:tab w:val="left" w:pos="6540"/>
        </w:tabs>
        <w:spacing w:line="360" w:lineRule="auto"/>
        <w:jc w:val="both"/>
        <w:rPr>
          <w:rFonts w:ascii="Arial" w:hAnsi="Arial" w:cs="Arial"/>
          <w:szCs w:val="24"/>
        </w:rPr>
      </w:pPr>
      <w:r>
        <w:rPr>
          <w:rFonts w:ascii="Arial" w:hAnsi="Arial" w:cs="Arial"/>
          <w:szCs w:val="24"/>
        </w:rPr>
        <w:t xml:space="preserve">Presentation of </w:t>
      </w:r>
      <w:r w:rsidR="001D7C03">
        <w:rPr>
          <w:rFonts w:ascii="Arial" w:hAnsi="Arial" w:cs="Arial"/>
          <w:szCs w:val="24"/>
        </w:rPr>
        <w:t xml:space="preserve">the </w:t>
      </w:r>
      <w:r>
        <w:rPr>
          <w:rFonts w:ascii="Arial" w:hAnsi="Arial" w:cs="Arial"/>
          <w:szCs w:val="24"/>
        </w:rPr>
        <w:t xml:space="preserve">main characteristics of </w:t>
      </w:r>
      <w:r w:rsidR="001D7C03">
        <w:rPr>
          <w:rFonts w:ascii="Arial" w:hAnsi="Arial" w:cs="Arial"/>
          <w:szCs w:val="24"/>
        </w:rPr>
        <w:t xml:space="preserve">the </w:t>
      </w:r>
      <w:r>
        <w:rPr>
          <w:rFonts w:ascii="Arial" w:hAnsi="Arial" w:cs="Arial"/>
          <w:szCs w:val="24"/>
        </w:rPr>
        <w:t>studies selected</w:t>
      </w:r>
      <w:r w:rsidR="001D7C03">
        <w:rPr>
          <w:rFonts w:ascii="Arial" w:hAnsi="Arial" w:cs="Arial"/>
          <w:szCs w:val="24"/>
        </w:rPr>
        <w:t xml:space="preserve"> (</w:t>
      </w:r>
      <w:proofErr w:type="gramStart"/>
      <w:r w:rsidR="001D7C03">
        <w:rPr>
          <w:rFonts w:ascii="Arial" w:hAnsi="Arial" w:cs="Arial"/>
          <w:szCs w:val="24"/>
        </w:rPr>
        <w:t>e.g.</w:t>
      </w:r>
      <w:proofErr w:type="gramEnd"/>
      <w:r w:rsidR="001D7C03">
        <w:rPr>
          <w:rFonts w:ascii="Arial" w:hAnsi="Arial" w:cs="Arial"/>
          <w:szCs w:val="24"/>
        </w:rPr>
        <w:t xml:space="preserve"> aim, methods, location, etc.)</w:t>
      </w:r>
    </w:p>
    <w:p w14:paraId="7A29FCB1" w14:textId="5B92721B" w:rsidR="003E4ECF" w:rsidRDefault="003E4ECF" w:rsidP="0043266D">
      <w:pPr>
        <w:tabs>
          <w:tab w:val="left" w:pos="6540"/>
        </w:tabs>
        <w:spacing w:line="360" w:lineRule="auto"/>
        <w:jc w:val="both"/>
        <w:rPr>
          <w:rFonts w:ascii="Arial" w:hAnsi="Arial" w:cs="Arial"/>
          <w:szCs w:val="24"/>
        </w:rPr>
      </w:pPr>
      <w:r w:rsidRPr="003E4ECF">
        <w:rPr>
          <w:rFonts w:ascii="Arial" w:hAnsi="Arial" w:cs="Arial"/>
          <w:szCs w:val="24"/>
        </w:rPr>
        <w:t>Synthesis</w:t>
      </w:r>
      <w:r>
        <w:rPr>
          <w:rFonts w:ascii="Arial" w:hAnsi="Arial" w:cs="Arial"/>
          <w:szCs w:val="24"/>
        </w:rPr>
        <w:t>/analysis</w:t>
      </w:r>
      <w:r w:rsidRPr="003E4ECF">
        <w:rPr>
          <w:rFonts w:ascii="Arial" w:hAnsi="Arial" w:cs="Arial"/>
          <w:szCs w:val="24"/>
        </w:rPr>
        <w:t xml:space="preserve"> of </w:t>
      </w:r>
      <w:r w:rsidR="001D7C03">
        <w:rPr>
          <w:rFonts w:ascii="Arial" w:hAnsi="Arial" w:cs="Arial"/>
          <w:szCs w:val="24"/>
        </w:rPr>
        <w:t>the data collected from the selected studies for review.</w:t>
      </w:r>
    </w:p>
    <w:p w14:paraId="0B299BAA" w14:textId="77777777" w:rsidR="00B87E75" w:rsidRPr="00B87E75" w:rsidRDefault="00B87E75" w:rsidP="0043266D">
      <w:pPr>
        <w:tabs>
          <w:tab w:val="left" w:pos="6540"/>
        </w:tabs>
        <w:spacing w:line="360" w:lineRule="auto"/>
        <w:jc w:val="both"/>
        <w:rPr>
          <w:rFonts w:ascii="Arial" w:hAnsi="Arial" w:cs="Arial"/>
          <w:szCs w:val="24"/>
        </w:rPr>
      </w:pPr>
    </w:p>
    <w:p w14:paraId="5C43254D" w14:textId="209882EA" w:rsidR="00B87E75" w:rsidRPr="00B87E75" w:rsidRDefault="004A736E" w:rsidP="0043266D">
      <w:pPr>
        <w:pStyle w:val="Heading1"/>
        <w:spacing w:line="360" w:lineRule="auto"/>
        <w:jc w:val="both"/>
      </w:pPr>
      <w:r>
        <w:t>5</w:t>
      </w:r>
      <w:r w:rsidR="00B87E75" w:rsidRPr="00B87E75">
        <w:t>. Discussion</w:t>
      </w:r>
    </w:p>
    <w:p w14:paraId="6F537F1B" w14:textId="55B2CB08" w:rsidR="001D7C03" w:rsidRDefault="003E4ECF" w:rsidP="0043266D">
      <w:pPr>
        <w:tabs>
          <w:tab w:val="left" w:pos="6540"/>
        </w:tabs>
        <w:spacing w:line="360" w:lineRule="auto"/>
        <w:jc w:val="both"/>
        <w:rPr>
          <w:rFonts w:ascii="Arial" w:hAnsi="Arial" w:cs="Arial"/>
          <w:szCs w:val="24"/>
        </w:rPr>
      </w:pPr>
      <w:r>
        <w:rPr>
          <w:rFonts w:ascii="Arial" w:hAnsi="Arial" w:cs="Arial"/>
          <w:szCs w:val="24"/>
        </w:rPr>
        <w:t>Discussion of the findings in relation to the aim of your research</w:t>
      </w:r>
      <w:r w:rsidR="001D7C03">
        <w:rPr>
          <w:rFonts w:ascii="Arial" w:hAnsi="Arial" w:cs="Arial"/>
          <w:szCs w:val="24"/>
        </w:rPr>
        <w:t xml:space="preserve"> (use previous studies to support your arguments). </w:t>
      </w:r>
    </w:p>
    <w:p w14:paraId="4723C334" w14:textId="3C5295AF" w:rsidR="00F66E1B" w:rsidRDefault="00F66E1B" w:rsidP="009D052C">
      <w:pPr>
        <w:tabs>
          <w:tab w:val="left" w:pos="6540"/>
        </w:tabs>
        <w:spacing w:line="360" w:lineRule="auto"/>
        <w:rPr>
          <w:rFonts w:ascii="Arial" w:hAnsi="Arial" w:cs="Arial"/>
          <w:szCs w:val="24"/>
        </w:rPr>
      </w:pPr>
      <w:r>
        <w:rPr>
          <w:rFonts w:ascii="Arial" w:hAnsi="Arial" w:cs="Arial"/>
          <w:szCs w:val="24"/>
        </w:rPr>
        <w:t>Recommendations for future policy and health and social care practice</w:t>
      </w:r>
    </w:p>
    <w:p w14:paraId="07474FD3" w14:textId="16A1DEBD" w:rsidR="00B87E75" w:rsidRDefault="001D7C03" w:rsidP="009D052C">
      <w:pPr>
        <w:tabs>
          <w:tab w:val="left" w:pos="6540"/>
        </w:tabs>
        <w:spacing w:line="360" w:lineRule="auto"/>
        <w:rPr>
          <w:rFonts w:ascii="Arial" w:hAnsi="Arial" w:cs="Arial"/>
          <w:szCs w:val="24"/>
        </w:rPr>
      </w:pPr>
      <w:r>
        <w:rPr>
          <w:rFonts w:ascii="Arial" w:hAnsi="Arial" w:cs="Arial"/>
          <w:szCs w:val="24"/>
        </w:rPr>
        <w:t>Importance of the findings</w:t>
      </w:r>
      <w:r w:rsidR="003E4ECF">
        <w:rPr>
          <w:rFonts w:ascii="Arial" w:hAnsi="Arial" w:cs="Arial"/>
          <w:szCs w:val="24"/>
        </w:rPr>
        <w:t xml:space="preserve"> for health and social care </w:t>
      </w:r>
    </w:p>
    <w:p w14:paraId="596135D9" w14:textId="322C671E" w:rsidR="001D7C03" w:rsidRDefault="003E4ECF" w:rsidP="009D052C">
      <w:pPr>
        <w:tabs>
          <w:tab w:val="left" w:pos="6540"/>
        </w:tabs>
        <w:spacing w:line="360" w:lineRule="auto"/>
        <w:rPr>
          <w:rFonts w:ascii="Arial" w:hAnsi="Arial" w:cs="Arial"/>
          <w:szCs w:val="24"/>
        </w:rPr>
      </w:pPr>
      <w:r>
        <w:rPr>
          <w:rFonts w:ascii="Arial" w:hAnsi="Arial" w:cs="Arial"/>
          <w:szCs w:val="24"/>
        </w:rPr>
        <w:t xml:space="preserve">Limitations of </w:t>
      </w:r>
      <w:r w:rsidR="001D7C03">
        <w:rPr>
          <w:rFonts w:ascii="Arial" w:hAnsi="Arial" w:cs="Arial"/>
          <w:szCs w:val="24"/>
        </w:rPr>
        <w:t>your</w:t>
      </w:r>
      <w:r>
        <w:rPr>
          <w:rFonts w:ascii="Arial" w:hAnsi="Arial" w:cs="Arial"/>
          <w:szCs w:val="24"/>
        </w:rPr>
        <w:t xml:space="preserve"> research</w:t>
      </w:r>
      <w:r w:rsidR="001D7C03">
        <w:rPr>
          <w:rFonts w:ascii="Arial" w:hAnsi="Arial" w:cs="Arial"/>
          <w:szCs w:val="24"/>
        </w:rPr>
        <w:t>.</w:t>
      </w:r>
    </w:p>
    <w:p w14:paraId="682D1769" w14:textId="77777777" w:rsidR="003E4ECF" w:rsidRDefault="003E4ECF" w:rsidP="009D052C">
      <w:pPr>
        <w:tabs>
          <w:tab w:val="left" w:pos="6540"/>
        </w:tabs>
        <w:spacing w:line="360" w:lineRule="auto"/>
        <w:rPr>
          <w:rFonts w:ascii="Arial" w:hAnsi="Arial" w:cs="Arial"/>
          <w:szCs w:val="24"/>
        </w:rPr>
      </w:pPr>
    </w:p>
    <w:p w14:paraId="16FAF0EA" w14:textId="451AD53D" w:rsidR="00B87E75" w:rsidRDefault="004A736E" w:rsidP="009D052C">
      <w:pPr>
        <w:pStyle w:val="Heading1"/>
        <w:spacing w:line="360" w:lineRule="auto"/>
      </w:pPr>
      <w:r>
        <w:t>6</w:t>
      </w:r>
      <w:r w:rsidR="00B87E75" w:rsidRPr="00B87E75">
        <w:t>. Conclusion</w:t>
      </w:r>
    </w:p>
    <w:p w14:paraId="6884EA92" w14:textId="77777777" w:rsidR="0090040D" w:rsidRDefault="003E4ECF" w:rsidP="009D052C">
      <w:pPr>
        <w:tabs>
          <w:tab w:val="left" w:pos="6540"/>
        </w:tabs>
        <w:spacing w:line="360" w:lineRule="auto"/>
        <w:rPr>
          <w:rFonts w:ascii="Arial" w:hAnsi="Arial" w:cs="Arial"/>
          <w:szCs w:val="24"/>
        </w:rPr>
      </w:pPr>
      <w:r>
        <w:rPr>
          <w:rFonts w:ascii="Arial" w:hAnsi="Arial" w:cs="Arial"/>
          <w:szCs w:val="24"/>
        </w:rPr>
        <w:t>Summary of the main points of the research</w:t>
      </w:r>
      <w:r w:rsidR="001D7C03">
        <w:rPr>
          <w:rFonts w:ascii="Arial" w:hAnsi="Arial" w:cs="Arial"/>
          <w:szCs w:val="24"/>
        </w:rPr>
        <w:t>.</w:t>
      </w:r>
    </w:p>
    <w:p w14:paraId="6812580D" w14:textId="47452A39" w:rsidR="0090040D" w:rsidRDefault="0090040D" w:rsidP="009D052C">
      <w:pPr>
        <w:tabs>
          <w:tab w:val="left" w:pos="6540"/>
        </w:tabs>
        <w:spacing w:line="360" w:lineRule="auto"/>
        <w:rPr>
          <w:rFonts w:ascii="Arial" w:hAnsi="Arial" w:cs="Arial"/>
          <w:szCs w:val="24"/>
        </w:rPr>
      </w:pPr>
    </w:p>
    <w:p w14:paraId="4371A9C5" w14:textId="7A8AB4F8" w:rsidR="00F66E1B" w:rsidRDefault="00F66E1B" w:rsidP="009D052C">
      <w:pPr>
        <w:tabs>
          <w:tab w:val="left" w:pos="6540"/>
        </w:tabs>
        <w:spacing w:line="360" w:lineRule="auto"/>
        <w:rPr>
          <w:rFonts w:ascii="Arial" w:hAnsi="Arial" w:cs="Arial"/>
          <w:szCs w:val="24"/>
        </w:rPr>
      </w:pPr>
    </w:p>
    <w:p w14:paraId="364D7618" w14:textId="54B8550D" w:rsidR="00F66E1B" w:rsidRDefault="00F66E1B" w:rsidP="009D052C">
      <w:pPr>
        <w:tabs>
          <w:tab w:val="left" w:pos="6540"/>
        </w:tabs>
        <w:spacing w:line="360" w:lineRule="auto"/>
        <w:rPr>
          <w:rFonts w:ascii="Arial" w:hAnsi="Arial" w:cs="Arial"/>
          <w:szCs w:val="24"/>
        </w:rPr>
      </w:pPr>
    </w:p>
    <w:p w14:paraId="3EA3C7DD" w14:textId="2C373198" w:rsidR="00F66E1B" w:rsidRDefault="00F66E1B" w:rsidP="009D052C">
      <w:pPr>
        <w:tabs>
          <w:tab w:val="left" w:pos="6540"/>
        </w:tabs>
        <w:spacing w:line="360" w:lineRule="auto"/>
        <w:rPr>
          <w:rFonts w:ascii="Arial" w:hAnsi="Arial" w:cs="Arial"/>
          <w:szCs w:val="24"/>
        </w:rPr>
      </w:pPr>
    </w:p>
    <w:p w14:paraId="5C76528F" w14:textId="77777777" w:rsidR="00F66E1B" w:rsidRDefault="00F66E1B" w:rsidP="009D052C">
      <w:pPr>
        <w:tabs>
          <w:tab w:val="left" w:pos="6540"/>
        </w:tabs>
        <w:spacing w:line="360" w:lineRule="auto"/>
        <w:rPr>
          <w:rFonts w:ascii="Arial" w:hAnsi="Arial" w:cs="Arial"/>
          <w:szCs w:val="24"/>
        </w:rPr>
      </w:pPr>
    </w:p>
    <w:p w14:paraId="33F8F0BD" w14:textId="6737B9D2" w:rsidR="00B87E75" w:rsidRDefault="00B87E75" w:rsidP="009D052C">
      <w:pPr>
        <w:pStyle w:val="Heading1"/>
        <w:spacing w:line="360" w:lineRule="auto"/>
      </w:pPr>
      <w:r w:rsidRPr="00B87E75">
        <w:t>References</w:t>
      </w:r>
    </w:p>
    <w:p w14:paraId="5FE0A3D3" w14:textId="203BD7ED" w:rsidR="00E83C64" w:rsidRPr="00E83C64" w:rsidRDefault="00E83C64" w:rsidP="00E83C64"/>
    <w:p w14:paraId="546B2BF3" w14:textId="2BF2FE2C" w:rsidR="00E83C64" w:rsidRDefault="00E83C64" w:rsidP="00CB1CF3">
      <w:pPr>
        <w:pStyle w:val="NormalWeb"/>
        <w:spacing w:before="0" w:beforeAutospacing="0" w:after="240" w:afterAutospacing="0" w:line="360" w:lineRule="auto"/>
        <w:ind w:left="720"/>
      </w:pPr>
      <w:r>
        <w:t xml:space="preserve">National Health Service (2021). </w:t>
      </w:r>
      <w:r>
        <w:rPr>
          <w:i/>
          <w:iCs/>
        </w:rPr>
        <w:t>Overview - Anorexia</w:t>
      </w:r>
      <w:r>
        <w:t>. [online] nhs.uk. Available at: https://www.nhs.uk/mental-health/conditions/anorexia/overview/ [Accessed 14 Mar. 2023].</w:t>
      </w:r>
    </w:p>
    <w:p w14:paraId="60A26E70" w14:textId="465ED8F1" w:rsidR="00265D27" w:rsidRDefault="00265D27" w:rsidP="00CB1CF3">
      <w:pPr>
        <w:pStyle w:val="NormalWeb"/>
        <w:spacing w:before="0" w:beforeAutospacing="0" w:after="240" w:afterAutospacing="0" w:line="360" w:lineRule="auto"/>
        <w:ind w:left="720"/>
      </w:pPr>
      <w:r>
        <w:t xml:space="preserve">MacKey, B. (2021). </w:t>
      </w:r>
      <w:r>
        <w:rPr>
          <w:i/>
          <w:iCs/>
        </w:rPr>
        <w:t>Eating disorder statistics UK - Rehab 4 Addiction</w:t>
      </w:r>
      <w:r>
        <w:t>. [online] www.rehab4addiction.co.uk. Available at: https://www.rehab4addiction.co.uk/blog/eating-disorder-statistics-uk# [Accessed 14 Mar. 2023].</w:t>
      </w:r>
    </w:p>
    <w:p w14:paraId="159F91D1" w14:textId="60B39F03" w:rsidR="00826582" w:rsidRDefault="00826582" w:rsidP="00CB1CF3">
      <w:pPr>
        <w:pStyle w:val="NormalWeb"/>
        <w:spacing w:before="0" w:beforeAutospacing="0" w:after="240" w:afterAutospacing="0" w:line="360" w:lineRule="auto"/>
        <w:ind w:left="720"/>
      </w:pPr>
      <w:r>
        <w:t xml:space="preserve">Williams, R., Smith, M. and Wright, D. (2020). Anorexia: a literature review of young people’s experiences of hospital treatment. </w:t>
      </w:r>
      <w:r>
        <w:rPr>
          <w:i/>
          <w:iCs/>
        </w:rPr>
        <w:t>Nursing Children and Young People</w:t>
      </w:r>
      <w:r>
        <w:t xml:space="preserve">. Doi: </w:t>
      </w:r>
      <w:hyperlink r:id="rId9" w:history="1">
        <w:r w:rsidR="00CB1CF3" w:rsidRPr="00BF08C0">
          <w:rPr>
            <w:rStyle w:val="Hyperlink"/>
          </w:rPr>
          <w:t>HTTPs://doi.org/10.7748/ncyp.2020.e1313</w:t>
        </w:r>
      </w:hyperlink>
      <w:r>
        <w:t>.</w:t>
      </w:r>
    </w:p>
    <w:p w14:paraId="20941844" w14:textId="77777777" w:rsidR="00CB1CF3" w:rsidRDefault="00CB1CF3" w:rsidP="00CB1CF3">
      <w:pPr>
        <w:pStyle w:val="NormalWeb"/>
        <w:spacing w:before="0" w:beforeAutospacing="0" w:after="240" w:afterAutospacing="0" w:line="360" w:lineRule="auto"/>
        <w:ind w:left="720"/>
      </w:pPr>
      <w:r>
        <w:t xml:space="preserve">Mitrofan, O., Petkova, H., Janssens, A., Kelly, J., Edwards, E., Nicholls, D., McNicholas, F., Simic, M., Eisler, I., Ford, T. and Byford, S. (2019). Care experiences of young people with eating disorders and their parents: qualitative study. </w:t>
      </w:r>
      <w:r>
        <w:rPr>
          <w:i/>
          <w:iCs/>
        </w:rPr>
        <w:t>BJPsych Open</w:t>
      </w:r>
      <w:r>
        <w:t>, [online] 5(1). Available at: https://www.ncbi.nlm.nih.gov/pmc/articles/PMC6343117/.</w:t>
      </w:r>
    </w:p>
    <w:p w14:paraId="4D57BB77" w14:textId="77777777" w:rsidR="00CB1CF3" w:rsidRDefault="00CB1CF3" w:rsidP="00CB1CF3">
      <w:pPr>
        <w:pStyle w:val="NormalWeb"/>
        <w:spacing w:before="0" w:beforeAutospacing="0" w:after="240" w:afterAutospacing="0" w:line="360" w:lineRule="auto"/>
        <w:ind w:left="720"/>
      </w:pPr>
    </w:p>
    <w:p w14:paraId="3FB56DF7" w14:textId="77777777" w:rsidR="00826582" w:rsidRDefault="00826582" w:rsidP="00265D27">
      <w:pPr>
        <w:pStyle w:val="NormalWeb"/>
        <w:spacing w:before="0" w:beforeAutospacing="0" w:after="240" w:afterAutospacing="0" w:line="360" w:lineRule="auto"/>
      </w:pPr>
    </w:p>
    <w:p w14:paraId="240DB401" w14:textId="77777777" w:rsidR="00265D27" w:rsidRDefault="00265D27" w:rsidP="00E83C64">
      <w:pPr>
        <w:pStyle w:val="NormalWeb"/>
        <w:spacing w:before="0" w:beforeAutospacing="0" w:after="240" w:afterAutospacing="0" w:line="360" w:lineRule="auto"/>
      </w:pPr>
    </w:p>
    <w:p w14:paraId="1425F4AC" w14:textId="6695D929" w:rsidR="001D7C03" w:rsidRPr="001D7C03" w:rsidRDefault="001D7C03" w:rsidP="009D052C">
      <w:pPr>
        <w:tabs>
          <w:tab w:val="left" w:pos="6540"/>
        </w:tabs>
        <w:spacing w:line="360" w:lineRule="auto"/>
        <w:rPr>
          <w:rFonts w:ascii="Arial" w:hAnsi="Arial" w:cs="Arial"/>
          <w:szCs w:val="24"/>
        </w:rPr>
      </w:pPr>
    </w:p>
    <w:sectPr w:rsidR="001D7C03" w:rsidRPr="001D7C0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90916" w14:textId="77777777" w:rsidR="00F875A1" w:rsidRDefault="00F875A1" w:rsidP="003E4ECF">
      <w:pPr>
        <w:spacing w:after="0" w:line="240" w:lineRule="auto"/>
      </w:pPr>
      <w:r>
        <w:separator/>
      </w:r>
    </w:p>
  </w:endnote>
  <w:endnote w:type="continuationSeparator" w:id="0">
    <w:p w14:paraId="2B1EEE21" w14:textId="77777777" w:rsidR="00F875A1" w:rsidRDefault="00F875A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F5710" w14:textId="77777777" w:rsidR="00F875A1" w:rsidRDefault="00F875A1" w:rsidP="003E4ECF">
      <w:pPr>
        <w:spacing w:after="0" w:line="240" w:lineRule="auto"/>
      </w:pPr>
      <w:r>
        <w:separator/>
      </w:r>
    </w:p>
  </w:footnote>
  <w:footnote w:type="continuationSeparator" w:id="0">
    <w:p w14:paraId="6075FFFE" w14:textId="77777777" w:rsidR="00F875A1" w:rsidRDefault="00F875A1"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72CF9"/>
    <w:multiLevelType w:val="hybridMultilevel"/>
    <w:tmpl w:val="F5626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1909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5449"/>
    <w:rsid w:val="000460D9"/>
    <w:rsid w:val="00074402"/>
    <w:rsid w:val="000947DC"/>
    <w:rsid w:val="000F6BD5"/>
    <w:rsid w:val="00125A0B"/>
    <w:rsid w:val="001D7C03"/>
    <w:rsid w:val="00216C85"/>
    <w:rsid w:val="00224837"/>
    <w:rsid w:val="0026393A"/>
    <w:rsid w:val="00265D27"/>
    <w:rsid w:val="00273EDD"/>
    <w:rsid w:val="0029685A"/>
    <w:rsid w:val="002C3965"/>
    <w:rsid w:val="002D6D88"/>
    <w:rsid w:val="0030155D"/>
    <w:rsid w:val="00321C4C"/>
    <w:rsid w:val="00392BBC"/>
    <w:rsid w:val="003B7A25"/>
    <w:rsid w:val="003C66B4"/>
    <w:rsid w:val="003E3155"/>
    <w:rsid w:val="003E4ECF"/>
    <w:rsid w:val="0043266D"/>
    <w:rsid w:val="00433D26"/>
    <w:rsid w:val="004A681D"/>
    <w:rsid w:val="004A736E"/>
    <w:rsid w:val="00533D5D"/>
    <w:rsid w:val="005413EA"/>
    <w:rsid w:val="005558C7"/>
    <w:rsid w:val="0057531A"/>
    <w:rsid w:val="005761FC"/>
    <w:rsid w:val="00577C67"/>
    <w:rsid w:val="00592A2C"/>
    <w:rsid w:val="00597157"/>
    <w:rsid w:val="005C760E"/>
    <w:rsid w:val="005F29AB"/>
    <w:rsid w:val="0062709E"/>
    <w:rsid w:val="00686EDE"/>
    <w:rsid w:val="006925AA"/>
    <w:rsid w:val="006C183D"/>
    <w:rsid w:val="007937A4"/>
    <w:rsid w:val="00814282"/>
    <w:rsid w:val="00825777"/>
    <w:rsid w:val="00826582"/>
    <w:rsid w:val="00864EAE"/>
    <w:rsid w:val="0088284C"/>
    <w:rsid w:val="008C3171"/>
    <w:rsid w:val="0090040D"/>
    <w:rsid w:val="00907883"/>
    <w:rsid w:val="009146D1"/>
    <w:rsid w:val="00983A6B"/>
    <w:rsid w:val="009A1E74"/>
    <w:rsid w:val="009C5777"/>
    <w:rsid w:val="009D052C"/>
    <w:rsid w:val="009D1D1E"/>
    <w:rsid w:val="009F6505"/>
    <w:rsid w:val="00A035FD"/>
    <w:rsid w:val="00A17EE6"/>
    <w:rsid w:val="00A35E2D"/>
    <w:rsid w:val="00A47800"/>
    <w:rsid w:val="00AC7EFD"/>
    <w:rsid w:val="00B21F98"/>
    <w:rsid w:val="00B37DC3"/>
    <w:rsid w:val="00B87E75"/>
    <w:rsid w:val="00BA3002"/>
    <w:rsid w:val="00BE55A0"/>
    <w:rsid w:val="00C92752"/>
    <w:rsid w:val="00CB1CF3"/>
    <w:rsid w:val="00D45F4D"/>
    <w:rsid w:val="00E267C9"/>
    <w:rsid w:val="00E623DB"/>
    <w:rsid w:val="00E73A30"/>
    <w:rsid w:val="00E83C64"/>
    <w:rsid w:val="00E85FC9"/>
    <w:rsid w:val="00EE0BD6"/>
    <w:rsid w:val="00EE177D"/>
    <w:rsid w:val="00F43B53"/>
    <w:rsid w:val="00F66E1B"/>
    <w:rsid w:val="00F731C8"/>
    <w:rsid w:val="00F875A1"/>
    <w:rsid w:val="00FC5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E83C64"/>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CB1CF3"/>
    <w:rPr>
      <w:color w:val="0563C1" w:themeColor="hyperlink"/>
      <w:u w:val="single"/>
    </w:rPr>
  </w:style>
  <w:style w:type="character" w:styleId="UnresolvedMention">
    <w:name w:val="Unresolved Mention"/>
    <w:basedOn w:val="DefaultParagraphFont"/>
    <w:uiPriority w:val="99"/>
    <w:semiHidden/>
    <w:unhideWhenUsed/>
    <w:rsid w:val="00CB1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657370">
      <w:bodyDiv w:val="1"/>
      <w:marLeft w:val="0"/>
      <w:marRight w:val="0"/>
      <w:marTop w:val="0"/>
      <w:marBottom w:val="0"/>
      <w:divBdr>
        <w:top w:val="none" w:sz="0" w:space="0" w:color="auto"/>
        <w:left w:val="none" w:sz="0" w:space="0" w:color="auto"/>
        <w:bottom w:val="none" w:sz="0" w:space="0" w:color="auto"/>
        <w:right w:val="none" w:sz="0" w:space="0" w:color="auto"/>
      </w:divBdr>
      <w:divsChild>
        <w:div w:id="68424643">
          <w:marLeft w:val="0"/>
          <w:marRight w:val="0"/>
          <w:marTop w:val="0"/>
          <w:marBottom w:val="0"/>
          <w:divBdr>
            <w:top w:val="none" w:sz="0" w:space="0" w:color="auto"/>
            <w:left w:val="none" w:sz="0" w:space="0" w:color="auto"/>
            <w:bottom w:val="none" w:sz="0" w:space="0" w:color="auto"/>
            <w:right w:val="none" w:sz="0" w:space="0" w:color="auto"/>
          </w:divBdr>
        </w:div>
      </w:divsChild>
    </w:div>
    <w:div w:id="1219248565">
      <w:bodyDiv w:val="1"/>
      <w:marLeft w:val="0"/>
      <w:marRight w:val="0"/>
      <w:marTop w:val="0"/>
      <w:marBottom w:val="0"/>
      <w:divBdr>
        <w:top w:val="none" w:sz="0" w:space="0" w:color="auto"/>
        <w:left w:val="none" w:sz="0" w:space="0" w:color="auto"/>
        <w:bottom w:val="none" w:sz="0" w:space="0" w:color="auto"/>
        <w:right w:val="none" w:sz="0" w:space="0" w:color="auto"/>
      </w:divBdr>
      <w:divsChild>
        <w:div w:id="1809400378">
          <w:marLeft w:val="0"/>
          <w:marRight w:val="0"/>
          <w:marTop w:val="0"/>
          <w:marBottom w:val="0"/>
          <w:divBdr>
            <w:top w:val="none" w:sz="0" w:space="0" w:color="auto"/>
            <w:left w:val="none" w:sz="0" w:space="0" w:color="auto"/>
            <w:bottom w:val="none" w:sz="0" w:space="0" w:color="auto"/>
            <w:right w:val="none" w:sz="0" w:space="0" w:color="auto"/>
          </w:divBdr>
        </w:div>
      </w:divsChild>
    </w:div>
    <w:div w:id="1639264155">
      <w:bodyDiv w:val="1"/>
      <w:marLeft w:val="0"/>
      <w:marRight w:val="0"/>
      <w:marTop w:val="0"/>
      <w:marBottom w:val="0"/>
      <w:divBdr>
        <w:top w:val="none" w:sz="0" w:space="0" w:color="auto"/>
        <w:left w:val="none" w:sz="0" w:space="0" w:color="auto"/>
        <w:bottom w:val="none" w:sz="0" w:space="0" w:color="auto"/>
        <w:right w:val="none" w:sz="0" w:space="0" w:color="auto"/>
      </w:divBdr>
      <w:divsChild>
        <w:div w:id="197016489">
          <w:marLeft w:val="0"/>
          <w:marRight w:val="0"/>
          <w:marTop w:val="0"/>
          <w:marBottom w:val="0"/>
          <w:divBdr>
            <w:top w:val="none" w:sz="0" w:space="0" w:color="auto"/>
            <w:left w:val="none" w:sz="0" w:space="0" w:color="auto"/>
            <w:bottom w:val="none" w:sz="0" w:space="0" w:color="auto"/>
            <w:right w:val="none" w:sz="0" w:space="0" w:color="auto"/>
          </w:divBdr>
        </w:div>
      </w:divsChild>
    </w:div>
    <w:div w:id="1740251854">
      <w:bodyDiv w:val="1"/>
      <w:marLeft w:val="0"/>
      <w:marRight w:val="0"/>
      <w:marTop w:val="0"/>
      <w:marBottom w:val="0"/>
      <w:divBdr>
        <w:top w:val="none" w:sz="0" w:space="0" w:color="auto"/>
        <w:left w:val="none" w:sz="0" w:space="0" w:color="auto"/>
        <w:bottom w:val="none" w:sz="0" w:space="0" w:color="auto"/>
        <w:right w:val="none" w:sz="0" w:space="0" w:color="auto"/>
      </w:divBdr>
      <w:divsChild>
        <w:div w:id="1808545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7748/ncyp.2020.e13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7</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sana mushtaq</cp:lastModifiedBy>
  <cp:revision>54</cp:revision>
  <dcterms:created xsi:type="dcterms:W3CDTF">2023-03-14T17:01:00Z</dcterms:created>
  <dcterms:modified xsi:type="dcterms:W3CDTF">2023-03-21T22:08:00Z</dcterms:modified>
</cp:coreProperties>
</file>