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ackground w:color="DEA9FF"/>
  <w:body>
    <w:p w14:paraId="6BB2721A" w14:textId="61EDE8AC" w:rsidR="00D95609" w:rsidRPr="00C75B46" w:rsidRDefault="002B3DB8" w:rsidP="00D95609">
      <w:pPr>
        <w:rPr>
          <w:rFonts w:ascii="Times New Roman" w:hAnsi="Times New Roman" w:cs="Times New Roman"/>
          <w:sz w:val="28"/>
          <w:szCs w:val="28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93056" behindDoc="1" locked="0" layoutInCell="1" allowOverlap="1" wp14:anchorId="5CBC1AA3" wp14:editId="57220539">
            <wp:simplePos x="0" y="0"/>
            <wp:positionH relativeFrom="column">
              <wp:posOffset>2159000</wp:posOffset>
            </wp:positionH>
            <wp:positionV relativeFrom="page">
              <wp:posOffset>774700</wp:posOffset>
            </wp:positionV>
            <wp:extent cx="1958340" cy="990600"/>
            <wp:effectExtent l="0" t="0" r="3810" b="0"/>
            <wp:wrapTight wrapText="bothSides">
              <wp:wrapPolygon edited="0">
                <wp:start x="0" y="0"/>
                <wp:lineTo x="0" y="21185"/>
                <wp:lineTo x="21432" y="21185"/>
                <wp:lineTo x="21432" y="0"/>
                <wp:lineTo x="0" y="0"/>
              </wp:wrapPolygon>
            </wp:wrapTight>
            <wp:docPr id="920563659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58340" cy="990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92032" behindDoc="1" locked="0" layoutInCell="1" allowOverlap="1" wp14:anchorId="63CFA1AF" wp14:editId="7797EA73">
            <wp:simplePos x="0" y="0"/>
            <wp:positionH relativeFrom="margin">
              <wp:posOffset>501650</wp:posOffset>
            </wp:positionH>
            <wp:positionV relativeFrom="page">
              <wp:posOffset>774700</wp:posOffset>
            </wp:positionV>
            <wp:extent cx="1654810" cy="984250"/>
            <wp:effectExtent l="0" t="0" r="2540" b="6350"/>
            <wp:wrapTight wrapText="bothSides">
              <wp:wrapPolygon edited="0">
                <wp:start x="0" y="0"/>
                <wp:lineTo x="0" y="21321"/>
                <wp:lineTo x="21384" y="21321"/>
                <wp:lineTo x="21384" y="0"/>
                <wp:lineTo x="0" y="0"/>
              </wp:wrapPolygon>
            </wp:wrapTight>
            <wp:docPr id="1017231593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54810" cy="9842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  <w:sz w:val="20"/>
          <w:szCs w:val="20"/>
        </w:rPr>
        <w:drawing>
          <wp:anchor distT="0" distB="0" distL="114300" distR="114300" simplePos="0" relativeHeight="251691008" behindDoc="1" locked="0" layoutInCell="1" allowOverlap="1" wp14:anchorId="5B87397B" wp14:editId="34A33B88">
            <wp:simplePos x="0" y="0"/>
            <wp:positionH relativeFrom="column">
              <wp:posOffset>-901700</wp:posOffset>
            </wp:positionH>
            <wp:positionV relativeFrom="page">
              <wp:posOffset>774700</wp:posOffset>
            </wp:positionV>
            <wp:extent cx="1400810" cy="990600"/>
            <wp:effectExtent l="0" t="0" r="8890" b="0"/>
            <wp:wrapTight wrapText="bothSides">
              <wp:wrapPolygon edited="0">
                <wp:start x="0" y="0"/>
                <wp:lineTo x="0" y="21185"/>
                <wp:lineTo x="21443" y="21185"/>
                <wp:lineTo x="21443" y="0"/>
                <wp:lineTo x="0" y="0"/>
              </wp:wrapPolygon>
            </wp:wrapTight>
            <wp:docPr id="164188475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00810" cy="9906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DC270E">
        <w:rPr>
          <w:noProof/>
        </w:rPr>
        <mc:AlternateContent>
          <mc:Choice Requires="wps">
            <w:drawing>
              <wp:anchor distT="0" distB="0" distL="114300" distR="114300" simplePos="0" relativeHeight="251674624" behindDoc="1" locked="0" layoutInCell="1" allowOverlap="1" wp14:anchorId="43E66833" wp14:editId="348B472A">
                <wp:simplePos x="0" y="0"/>
                <wp:positionH relativeFrom="margin">
                  <wp:posOffset>-787400</wp:posOffset>
                </wp:positionH>
                <wp:positionV relativeFrom="page">
                  <wp:posOffset>234950</wp:posOffset>
                </wp:positionV>
                <wp:extent cx="4032250" cy="533400"/>
                <wp:effectExtent l="0" t="0" r="25400" b="19050"/>
                <wp:wrapTight wrapText="bothSides">
                  <wp:wrapPolygon edited="0">
                    <wp:start x="0" y="0"/>
                    <wp:lineTo x="0" y="21600"/>
                    <wp:lineTo x="21634" y="21600"/>
                    <wp:lineTo x="21634" y="0"/>
                    <wp:lineTo x="0" y="0"/>
                  </wp:wrapPolygon>
                </wp:wrapTight>
                <wp:docPr id="1770901572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32250" cy="533400"/>
                        </a:xfrm>
                        <a:prstGeom prst="rect">
                          <a:avLst/>
                        </a:prstGeom>
                        <a:noFill/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A7FE919" w14:textId="07A7043C" w:rsidR="006E66AE" w:rsidRPr="00BF31DF" w:rsidRDefault="00BF31DF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noProof/>
                                <w:color w:val="BF4E14" w:themeColor="accent2" w:themeShade="BF"/>
                                <w:sz w:val="40"/>
                                <w:szCs w:val="40"/>
                              </w:rPr>
                            </w:pP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noProof/>
                                <w:color w:val="BF4E14" w:themeColor="accent2" w:themeShade="BF"/>
                                <w:sz w:val="40"/>
                                <w:szCs w:val="40"/>
                              </w:rPr>
                              <w:t>SWANSEA ARTS COMMUNITY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3E66833" id="_x0000_t202" coordsize="21600,21600" o:spt="202" path="m,l,21600r21600,l21600,xe">
                <v:stroke joinstyle="miter"/>
                <v:path gradientshapeok="t" o:connecttype="rect"/>
              </v:shapetype>
              <v:shape id="Text Box 1" o:spid="_x0000_s1026" type="#_x0000_t202" style="position:absolute;margin-left:-62pt;margin-top:18.5pt;width:317.5pt;height:42pt;z-index:-2516418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" filled="f" strokeweight=".5pt">
                <v:fill o:detectmouseclick="t"/>
                <v:textbox>
                  <w:txbxContent>
                    <w:p w14:paraId="4A7FE919" w14:textId="07A7043C" w:rsidR="006E66AE" w:rsidRPr="00BF31DF" w:rsidRDefault="00BF31DF">
                      <w:pPr>
                        <w:rPr>
                          <w:rFonts w:ascii="Times New Roman" w:hAnsi="Times New Roman" w:cs="Times New Roman"/>
                          <w:b/>
                          <w:bCs/>
                          <w:noProof/>
                          <w:color w:val="BF4E14" w:themeColor="accent2" w:themeShade="BF"/>
                          <w:sz w:val="40"/>
                          <w:szCs w:val="40"/>
                        </w:rPr>
                      </w:pP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noProof/>
                          <w:color w:val="BF4E14" w:themeColor="accent2" w:themeShade="BF"/>
                          <w:sz w:val="40"/>
                          <w:szCs w:val="40"/>
                        </w:rPr>
                        <w:t>SWANSEA ARTS COMMUNITY</w:t>
                      </w:r>
                    </w:p>
                  </w:txbxContent>
                </v:textbox>
                <w10:wrap type="tight" anchorx="margin" anchory="page"/>
              </v:shape>
            </w:pict>
          </mc:Fallback>
        </mc:AlternateContent>
      </w:r>
      <w:r w:rsidR="00C75B46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6D1FA53" wp14:editId="443E255A">
                <wp:simplePos x="0" y="0"/>
                <wp:positionH relativeFrom="page">
                  <wp:align>right</wp:align>
                </wp:positionH>
                <wp:positionV relativeFrom="paragraph">
                  <wp:posOffset>-825500</wp:posOffset>
                </wp:positionV>
                <wp:extent cx="2520950" cy="4152900"/>
                <wp:effectExtent l="0" t="0" r="12700" b="19050"/>
                <wp:wrapNone/>
                <wp:docPr id="1406748706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20950" cy="4152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DC9AEEB" w14:textId="77777777" w:rsidR="00C75B46" w:rsidRPr="006E66AE" w:rsidRDefault="00C75B46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E66A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DEVELOPMENT STRATEGIES</w:t>
                            </w:r>
                          </w:p>
                          <w:p w14:paraId="5D482FD5" w14:textId="0362EAAA" w:rsidR="00C75B46" w:rsidRPr="006E66AE" w:rsidRDefault="00C75B46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E66A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Behavioural</w:t>
                            </w:r>
                            <w:r w:rsidRPr="006E66A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 xml:space="preserve"> Change</w:t>
                            </w:r>
                          </w:p>
                          <w:p w14:paraId="355FF3A5" w14:textId="77777777" w:rsidR="00C75B46" w:rsidRPr="006E66AE" w:rsidRDefault="00C75B46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E66A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Workshops: Promote sustainable practices.</w:t>
                            </w:r>
                          </w:p>
                          <w:p w14:paraId="3D12BEAF" w14:textId="77777777" w:rsidR="00C75B46" w:rsidRPr="006E66AE" w:rsidRDefault="00C75B46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E66A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Incentives: Encourage active participation.</w:t>
                            </w:r>
                          </w:p>
                          <w:p w14:paraId="132A0CD4" w14:textId="77777777" w:rsidR="00C75B46" w:rsidRPr="006E66AE" w:rsidRDefault="00C75B46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E66A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Measurement: Track engagement and adoption of eco-friendly habits.</w:t>
                            </w:r>
                          </w:p>
                          <w:p w14:paraId="4F3ADEE8" w14:textId="77777777" w:rsidR="00C75B46" w:rsidRPr="006E66AE" w:rsidRDefault="00C75B46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E66A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Effective Communication</w:t>
                            </w:r>
                          </w:p>
                          <w:p w14:paraId="20864579" w14:textId="77777777" w:rsidR="00C75B46" w:rsidRPr="006E66AE" w:rsidRDefault="00C75B46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E66A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Use of social media, newsletters, and events to engage members.</w:t>
                            </w:r>
                          </w:p>
                          <w:p w14:paraId="5A23E89B" w14:textId="77777777" w:rsidR="00C75B46" w:rsidRPr="006E66AE" w:rsidRDefault="00C75B46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E66A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Branding strategies build a sense of identity (Stone, 2012).</w:t>
                            </w:r>
                          </w:p>
                          <w:p w14:paraId="2E9F5E3F" w14:textId="77777777" w:rsidR="00C75B46" w:rsidRPr="006E66AE" w:rsidRDefault="00C75B46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E66A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Governance and Leadership</w:t>
                            </w:r>
                          </w:p>
                          <w:p w14:paraId="32EF6BDB" w14:textId="77777777" w:rsidR="00C75B46" w:rsidRPr="006E66AE" w:rsidRDefault="00C75B46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E66A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Democratic decision-making ensures inclusivity.</w:t>
                            </w:r>
                          </w:p>
                          <w:p w14:paraId="0ED3E8F2" w14:textId="260989A6" w:rsidR="00C75B46" w:rsidRPr="006E66AE" w:rsidRDefault="00C75B46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</w:pPr>
                            <w:r w:rsidRPr="006E66AE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F6C5AC" w:themeColor="accent2" w:themeTint="66"/>
                                <w:sz w:val="20"/>
                                <w:szCs w:val="20"/>
                                <w14:textOutline w14:w="11112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</w:rPr>
                              <w:t>Leadership training builds resilience for future challenges (Olukotun, 2008).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6D1FA53" id="_x0000_s1027" type="#_x0000_t202" style="position:absolute;margin-left:147.3pt;margin-top:-65pt;width:198.5pt;height:327pt;z-index:251659264;visibility:visible;mso-wrap-style:square;mso-width-percent:0;mso-height-percent:0;mso-wrap-distance-left:9pt;mso-wrap-distance-top:0;mso-wrap-distance-right:9pt;mso-wrap-distance-bottom:0;mso-position-horizontal:righ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" fillcolor="white [3201]" strokeweight=".5pt">
                <v:textbox>
                  <w:txbxContent>
                    <w:p w14:paraId="1DC9AEEB" w14:textId="77777777" w:rsidR="00C75B46" w:rsidRPr="006E66AE" w:rsidRDefault="00C75B46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E66AE"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DEVELOPMENT STRATEGIES</w:t>
                      </w:r>
                    </w:p>
                    <w:p w14:paraId="5D482FD5" w14:textId="0362EAAA" w:rsidR="00C75B46" w:rsidRPr="006E66AE" w:rsidRDefault="00C75B46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E66AE"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Behavioural</w:t>
                      </w:r>
                      <w:r w:rsidRPr="006E66AE"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 xml:space="preserve"> Change</w:t>
                      </w:r>
                    </w:p>
                    <w:p w14:paraId="355FF3A5" w14:textId="77777777" w:rsidR="00C75B46" w:rsidRPr="006E66AE" w:rsidRDefault="00C75B46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E66AE"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Workshops: Promote sustainable practices.</w:t>
                      </w:r>
                    </w:p>
                    <w:p w14:paraId="3D12BEAF" w14:textId="77777777" w:rsidR="00C75B46" w:rsidRPr="006E66AE" w:rsidRDefault="00C75B46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E66AE"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Incentives: Encourage active participation.</w:t>
                      </w:r>
                    </w:p>
                    <w:p w14:paraId="132A0CD4" w14:textId="77777777" w:rsidR="00C75B46" w:rsidRPr="006E66AE" w:rsidRDefault="00C75B46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E66AE"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Measurement: Track engagement and adoption of eco-friendly habits.</w:t>
                      </w:r>
                    </w:p>
                    <w:p w14:paraId="4F3ADEE8" w14:textId="77777777" w:rsidR="00C75B46" w:rsidRPr="006E66AE" w:rsidRDefault="00C75B46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E66AE"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Effective Communication</w:t>
                      </w:r>
                    </w:p>
                    <w:p w14:paraId="20864579" w14:textId="77777777" w:rsidR="00C75B46" w:rsidRPr="006E66AE" w:rsidRDefault="00C75B46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E66AE"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Use of social media, newsletters, and events to engage members.</w:t>
                      </w:r>
                    </w:p>
                    <w:p w14:paraId="5A23E89B" w14:textId="77777777" w:rsidR="00C75B46" w:rsidRPr="006E66AE" w:rsidRDefault="00C75B46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E66AE"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Branding strategies build a sense of identity (Stone, 2012).</w:t>
                      </w:r>
                    </w:p>
                    <w:p w14:paraId="2E9F5E3F" w14:textId="77777777" w:rsidR="00C75B46" w:rsidRPr="006E66AE" w:rsidRDefault="00C75B46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E66AE"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Governance and Leadership</w:t>
                      </w:r>
                    </w:p>
                    <w:p w14:paraId="32EF6BDB" w14:textId="77777777" w:rsidR="00C75B46" w:rsidRPr="006E66AE" w:rsidRDefault="00C75B46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E66AE"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Democratic decision-making ensures inclusivity.</w:t>
                      </w:r>
                    </w:p>
                    <w:p w14:paraId="0ED3E8F2" w14:textId="260989A6" w:rsidR="00C75B46" w:rsidRPr="006E66AE" w:rsidRDefault="00C75B46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</w:pPr>
                      <w:r w:rsidRPr="006E66AE">
                        <w:rPr>
                          <w:rFonts w:ascii="Times New Roman" w:hAnsi="Times New Roman" w:cs="Times New Roman"/>
                          <w:b/>
                          <w:bCs/>
                          <w:color w:val="F6C5AC" w:themeColor="accent2" w:themeTint="66"/>
                          <w:sz w:val="20"/>
                          <w:szCs w:val="20"/>
                          <w14:textOutline w14:w="11112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</w:rPr>
                        <w:t>Leadership training builds resilience for future challenges (Olukotun, 2008).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tbl>
      <w:tblPr>
        <w:tblStyle w:val="TableGrid"/>
        <w:tblpPr w:leftFromText="180" w:rightFromText="180" w:vertAnchor="text" w:horzAnchor="page" w:tblpX="-79" w:tblpY="815"/>
        <w:tblW w:w="8081" w:type="dxa"/>
        <w:tblLook w:val="04A0" w:firstRow="1" w:lastRow="0" w:firstColumn="1" w:lastColumn="0" w:noHBand="0" w:noVBand="1"/>
      </w:tblPr>
      <w:tblGrid>
        <w:gridCol w:w="2543"/>
        <w:gridCol w:w="3567"/>
        <w:gridCol w:w="1971"/>
      </w:tblGrid>
      <w:tr w:rsidR="002B3DB8" w:rsidRPr="00C75B46" w14:paraId="581B7446" w14:textId="77777777" w:rsidTr="002B3DB8">
        <w:trPr>
          <w:trHeight w:val="983"/>
        </w:trPr>
        <w:tc>
          <w:tcPr>
            <w:tcW w:w="2543" w:type="dxa"/>
            <w:shd w:val="clear" w:color="auto" w:fill="00B050"/>
          </w:tcPr>
          <w:p w14:paraId="42A86FA9" w14:textId="491D7A88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  <w:t>ABOUT THE COMMUNITY</w:t>
            </w:r>
          </w:p>
          <w:p w14:paraId="52D07691" w14:textId="64D9DA66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  <w:t>Members: 500+ participants aged 18–65, diverse ethnic and socioeconomic backgrounds.</w:t>
            </w:r>
          </w:p>
          <w:p w14:paraId="22618027" w14:textId="2AD3DCBB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  <w:t>Mission: Enrich Swansea’s cultural scene, foster inclusivity, and support local arts.</w:t>
            </w:r>
          </w:p>
          <w:p w14:paraId="117E2C17" w14:textId="0A3AFD6B" w:rsidR="00C75B46" w:rsidRPr="00C75B46" w:rsidRDefault="00C75B46" w:rsidP="002B3DB8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  <w:t>Activities:</w:t>
            </w:r>
          </w:p>
          <w:p w14:paraId="306E329E" w14:textId="7BD51103" w:rsidR="00C75B46" w:rsidRPr="00C75B46" w:rsidRDefault="00C75B46" w:rsidP="002B3DB8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  <w:t>Art exhibitions</w:t>
            </w:r>
          </w:p>
          <w:p w14:paraId="0E989D16" w14:textId="308B0640" w:rsidR="00C75B46" w:rsidRPr="00C75B46" w:rsidRDefault="00C75B46" w:rsidP="002B3DB8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  <w:t>Music festivals</w:t>
            </w:r>
          </w:p>
          <w:p w14:paraId="0FCF05A0" w14:textId="334CC5E2" w:rsidR="00C75B46" w:rsidRPr="00C75B46" w:rsidRDefault="00C75B46" w:rsidP="002B3DB8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  <w:t>Theatre performances</w:t>
            </w:r>
          </w:p>
          <w:p w14:paraId="14177A2F" w14:textId="672D7F73" w:rsidR="00C75B46" w:rsidRPr="00C75B46" w:rsidRDefault="00C75B46" w:rsidP="002B3DB8">
            <w:pPr>
              <w:pStyle w:val="ListParagraph"/>
              <w:numPr>
                <w:ilvl w:val="0"/>
                <w:numId w:val="1"/>
              </w:numPr>
              <w:rPr>
                <w:rFonts w:ascii="Times New Roman" w:hAnsi="Times New Roman" w:cs="Times New Roman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262626" w:themeColor="text1" w:themeTint="D9"/>
                <w:sz w:val="16"/>
                <w:szCs w:val="16"/>
              </w:rPr>
              <w:t>Educational workshops</w:t>
            </w:r>
          </w:p>
        </w:tc>
        <w:tc>
          <w:tcPr>
            <w:tcW w:w="3567" w:type="dxa"/>
            <w:shd w:val="clear" w:color="auto" w:fill="0B769F" w:themeFill="accent4" w:themeFillShade="BF"/>
          </w:tcPr>
          <w:p w14:paraId="63B7133F" w14:textId="66C3FCA8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KEY FINDINGS</w:t>
            </w:r>
          </w:p>
          <w:p w14:paraId="016A3E3E" w14:textId="73D1F4D4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Cultural Impact</w:t>
            </w:r>
          </w:p>
          <w:p w14:paraId="63E288A5" w14:textId="54D558F0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Promotes local traditions and intercultural understanding (Head, 2007).</w:t>
            </w:r>
          </w:p>
          <w:p w14:paraId="04A0FDA9" w14:textId="550B35BE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Effective branding through logos and visuals (Stone, 2012).</w:t>
            </w:r>
          </w:p>
          <w:p w14:paraId="2F2FE18F" w14:textId="67453EB2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Celebrates diverse artistic styles and multiculturalism.</w:t>
            </w:r>
          </w:p>
          <w:p w14:paraId="5AED0862" w14:textId="27A038A6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Social Impact</w:t>
            </w:r>
          </w:p>
          <w:p w14:paraId="526784D9" w14:textId="61C8C35A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Builds trust through regular gatherings and collaborative projects (</w:t>
            </w:r>
            <w:proofErr w:type="spellStart"/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Dongier</w:t>
            </w:r>
            <w:proofErr w:type="spellEnd"/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 xml:space="preserve"> et al., 2003).</w:t>
            </w:r>
          </w:p>
          <w:p w14:paraId="68604C3A" w14:textId="43AE39D5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Offers mentorship and skills development through educational programs (Olukotun, 2008).</w:t>
            </w:r>
          </w:p>
          <w:p w14:paraId="51592D47" w14:textId="065F2E05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Economic Impact</w:t>
            </w:r>
          </w:p>
          <w:p w14:paraId="652ADF52" w14:textId="77777777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Boosts local businesses through art events and tourism.</w:t>
            </w:r>
          </w:p>
          <w:p w14:paraId="38C64786" w14:textId="5ABC43EB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Provides employment opportunities in the creative sector.</w:t>
            </w:r>
          </w:p>
          <w:p w14:paraId="29B2A763" w14:textId="0347E0ED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Secures funding through grants, sponsorships, and fundraising (</w:t>
            </w:r>
            <w:proofErr w:type="spellStart"/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Dongier</w:t>
            </w:r>
            <w:proofErr w:type="spellEnd"/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 xml:space="preserve"> et al., 2003).</w:t>
            </w:r>
          </w:p>
          <w:p w14:paraId="45CC5449" w14:textId="77777777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Environmental Impact</w:t>
            </w:r>
          </w:p>
          <w:p w14:paraId="4ACA4DC2" w14:textId="77777777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Implements eco-friendly creative practices (</w:t>
            </w:r>
            <w:proofErr w:type="spellStart"/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Hes</w:t>
            </w:r>
            <w:proofErr w:type="spellEnd"/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, 2017).</w:t>
            </w:r>
          </w:p>
          <w:p w14:paraId="4E15F221" w14:textId="405245DA" w:rsidR="00C75B46" w:rsidRPr="00C75B46" w:rsidRDefault="00C75B46" w:rsidP="002B3DB8">
            <w:pPr>
              <w:rPr>
                <w:rFonts w:ascii="Times New Roman" w:hAnsi="Times New Roman" w:cs="Times New Roman"/>
                <w:sz w:val="16"/>
                <w:szCs w:val="16"/>
              </w:rPr>
            </w:pPr>
            <w:r w:rsidRPr="00C75B46">
              <w:rPr>
                <w:rFonts w:ascii="Times New Roman" w:hAnsi="Times New Roman" w:cs="Times New Roman"/>
                <w:b/>
                <w:bCs/>
                <w:color w:val="FF0000"/>
                <w:sz w:val="16"/>
                <w:szCs w:val="16"/>
              </w:rPr>
              <w:t>Advocates for recycling, green spaces, and sustainable resource use.</w:t>
            </w:r>
          </w:p>
        </w:tc>
        <w:tc>
          <w:tcPr>
            <w:tcW w:w="1971" w:type="dxa"/>
            <w:shd w:val="clear" w:color="auto" w:fill="F1A983" w:themeFill="accent2" w:themeFillTint="99"/>
          </w:tcPr>
          <w:p w14:paraId="3AF6AFFC" w14:textId="7B89A99D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</w:pPr>
            <w:r w:rsidRPr="00C75B46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CHALLENGES</w:t>
            </w:r>
          </w:p>
          <w:p w14:paraId="24CA21C7" w14:textId="219773F5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</w:pPr>
            <w:r w:rsidRPr="00C75B46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Resistance to Change:</w:t>
            </w:r>
          </w:p>
          <w:p w14:paraId="797E90DA" w14:textId="776EEF11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</w:pPr>
            <w:r w:rsidRPr="00C75B46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Hesitation in adopting eco-friendly methods (Khwaja, 2004).</w:t>
            </w:r>
          </w:p>
          <w:p w14:paraId="0787F8EE" w14:textId="6A012E26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</w:pPr>
            <w:r w:rsidRPr="00C75B46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Limited Resources:</w:t>
            </w:r>
          </w:p>
          <w:p w14:paraId="06656E26" w14:textId="5BE81FB2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</w:pPr>
            <w:r w:rsidRPr="00C75B46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Difficulty securing consistent funding.</w:t>
            </w:r>
          </w:p>
          <w:p w14:paraId="7C3F574E" w14:textId="76D42620" w:rsidR="00C75B46" w:rsidRPr="00C75B46" w:rsidRDefault="00C75B46" w:rsidP="002B3DB8">
            <w:pPr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</w:pPr>
            <w:r w:rsidRPr="00C75B46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Conflicting Interests:</w:t>
            </w:r>
          </w:p>
          <w:p w14:paraId="250551AF" w14:textId="1EED1EC2" w:rsidR="00C75B46" w:rsidRPr="00C75B46" w:rsidRDefault="00C75B46" w:rsidP="002B3DB8">
            <w:pPr>
              <w:rPr>
                <w:rFonts w:ascii="Times New Roman" w:hAnsi="Times New Roman" w:cs="Times New Roman"/>
                <w:sz w:val="20"/>
                <w:szCs w:val="20"/>
              </w:rPr>
            </w:pPr>
            <w:r w:rsidRPr="00C75B46">
              <w:rPr>
                <w:rFonts w:ascii="Times New Roman" w:hAnsi="Times New Roman" w:cs="Times New Roman"/>
                <w:b/>
                <w:bCs/>
                <w:sz w:val="20"/>
                <w:szCs w:val="20"/>
              </w:rPr>
              <w:t>Balancing diverse artistic and cultural priorities (Head, 2007).</w:t>
            </w:r>
          </w:p>
        </w:tc>
      </w:tr>
    </w:tbl>
    <w:p w14:paraId="5CB9818C" w14:textId="4487251D" w:rsidR="00D95609" w:rsidRPr="00C75B46" w:rsidRDefault="00D95609" w:rsidP="00D95609">
      <w:pPr>
        <w:rPr>
          <w:rFonts w:ascii="Times New Roman" w:hAnsi="Times New Roman" w:cs="Times New Roman"/>
          <w:sz w:val="20"/>
          <w:szCs w:val="20"/>
        </w:rPr>
      </w:pPr>
    </w:p>
    <w:p w14:paraId="0B7F5C0B" w14:textId="6F72F99C" w:rsidR="00D95609" w:rsidRPr="00C75B46" w:rsidRDefault="00D95609" w:rsidP="00D95609">
      <w:pPr>
        <w:rPr>
          <w:sz w:val="20"/>
          <w:szCs w:val="20"/>
        </w:rPr>
      </w:pPr>
    </w:p>
    <w:p w14:paraId="451CE61C" w14:textId="0380E05A" w:rsidR="00D95609" w:rsidRPr="00C75B46" w:rsidRDefault="001A11F8" w:rsidP="00D95609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95104" behindDoc="1" locked="0" layoutInCell="1" allowOverlap="1" wp14:anchorId="395AD5FF" wp14:editId="24624C5F">
            <wp:simplePos x="0" y="0"/>
            <wp:positionH relativeFrom="page">
              <wp:posOffset>3854450</wp:posOffset>
            </wp:positionH>
            <wp:positionV relativeFrom="page">
              <wp:align>bottom</wp:align>
            </wp:positionV>
            <wp:extent cx="3708400" cy="1377950"/>
            <wp:effectExtent l="0" t="0" r="6350" b="0"/>
            <wp:wrapTight wrapText="bothSides">
              <wp:wrapPolygon edited="0">
                <wp:start x="0" y="0"/>
                <wp:lineTo x="0" y="21202"/>
                <wp:lineTo x="21526" y="21202"/>
                <wp:lineTo x="21526" y="0"/>
                <wp:lineTo x="0" y="0"/>
              </wp:wrapPolygon>
            </wp:wrapTight>
            <wp:docPr id="27488479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08400" cy="1377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B3DB8">
        <w:rPr>
          <w:noProof/>
          <w:sz w:val="20"/>
          <w:szCs w:val="20"/>
        </w:rPr>
        <w:drawing>
          <wp:anchor distT="0" distB="0" distL="114300" distR="114300" simplePos="0" relativeHeight="251694080" behindDoc="1" locked="0" layoutInCell="1" allowOverlap="1" wp14:anchorId="150A22BC" wp14:editId="752F812D">
            <wp:simplePos x="0" y="0"/>
            <wp:positionH relativeFrom="column">
              <wp:posOffset>2946400</wp:posOffset>
            </wp:positionH>
            <wp:positionV relativeFrom="page">
              <wp:posOffset>4711700</wp:posOffset>
            </wp:positionV>
            <wp:extent cx="1181100" cy="1155700"/>
            <wp:effectExtent l="0" t="0" r="0" b="6350"/>
            <wp:wrapTight wrapText="bothSides">
              <wp:wrapPolygon edited="0">
                <wp:start x="0" y="0"/>
                <wp:lineTo x="0" y="21363"/>
                <wp:lineTo x="21252" y="21363"/>
                <wp:lineTo x="21252" y="0"/>
                <wp:lineTo x="0" y="0"/>
              </wp:wrapPolygon>
            </wp:wrapTight>
            <wp:docPr id="1548619783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1557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31FB7" w:rsidRPr="00331FB7">
        <w:rPr>
          <w:noProof/>
          <w:sz w:val="20"/>
          <w:szCs w:val="20"/>
        </w:rPr>
        <mc:AlternateContent>
          <mc:Choice Requires="wps">
            <w:drawing>
              <wp:anchor distT="228600" distB="228600" distL="228600" distR="228600" simplePos="0" relativeHeight="251688960" behindDoc="1" locked="0" layoutInCell="1" allowOverlap="1" wp14:anchorId="3036DBFC" wp14:editId="3C6933F8">
                <wp:simplePos x="0" y="0"/>
                <wp:positionH relativeFrom="page">
                  <wp:posOffset>3835400</wp:posOffset>
                </wp:positionH>
                <wp:positionV relativeFrom="margin">
                  <wp:posOffset>6489700</wp:posOffset>
                </wp:positionV>
                <wp:extent cx="3632200" cy="1890395"/>
                <wp:effectExtent l="0" t="0" r="101600" b="0"/>
                <wp:wrapTight wrapText="bothSides">
                  <wp:wrapPolygon edited="0">
                    <wp:start x="0" y="0"/>
                    <wp:lineTo x="0" y="21332"/>
                    <wp:lineTo x="22091" y="21332"/>
                    <wp:lineTo x="22091" y="0"/>
                    <wp:lineTo x="0" y="0"/>
                  </wp:wrapPolygon>
                </wp:wrapTight>
                <wp:docPr id="123" name="Rectangle 1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32200" cy="1890395"/>
                        </a:xfrm>
                        <a:prstGeom prst="rect">
                          <a:avLst/>
                        </a:prstGeom>
                        <a:solidFill>
                          <a:schemeClr val="accent2"/>
                        </a:solidFill>
                        <a:ln>
                          <a:noFill/>
                        </a:ln>
                        <a:effectLst>
                          <a:outerShdw dist="91440" algn="l" rotWithShape="0">
                            <a:schemeClr val="accent1"/>
                          </a:outerShdw>
                        </a:effectLst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E3EA542" w14:textId="07C9FCAE" w:rsidR="00331FB7" w:rsidRPr="00331FB7" w:rsidRDefault="00331FB7" w:rsidP="00331FB7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  <w:t>Barr, S. (2008). Environment and Society: Sustainability, Policy and the Citizen. Aldershot, Hamps: Ashgate Publishing.</w:t>
                            </w:r>
                          </w:p>
                          <w:p w14:paraId="7456D939" w14:textId="77777777" w:rsidR="00331FB7" w:rsidRPr="00331FB7" w:rsidRDefault="00331FB7" w:rsidP="00331FB7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  <w:t>Barton, H. (2000). Sustainable Communities: The Potential for Eco-Neighbourhoods. London: Earthscan.</w:t>
                            </w:r>
                          </w:p>
                          <w:p w14:paraId="42D85079" w14:textId="77777777" w:rsidR="00331FB7" w:rsidRPr="00331FB7" w:rsidRDefault="00331FB7" w:rsidP="00331FB7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331FB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  <w:t>Dongier</w:t>
                            </w:r>
                            <w:proofErr w:type="spellEnd"/>
                            <w:r w:rsidRPr="00331FB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  <w:t>, P., et al. (2003). Community Driven Development.</w:t>
                            </w:r>
                          </w:p>
                          <w:p w14:paraId="7F941A07" w14:textId="77777777" w:rsidR="00331FB7" w:rsidRPr="00331FB7" w:rsidRDefault="00331FB7" w:rsidP="00331FB7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331FB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  <w:t>Hes</w:t>
                            </w:r>
                            <w:proofErr w:type="spellEnd"/>
                            <w:r w:rsidRPr="00331FB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  <w:t>, D. (2017). Impact of Community Engagement on Sustainability Outcomes.</w:t>
                            </w:r>
                          </w:p>
                          <w:p w14:paraId="6FB78A35" w14:textId="77777777" w:rsidR="00331FB7" w:rsidRPr="00331FB7" w:rsidRDefault="00331FB7" w:rsidP="00331FB7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  <w:t>Head, B. W. (2007). Community Engagement: Participation on Whose Terms.</w:t>
                            </w:r>
                          </w:p>
                          <w:p w14:paraId="0ED946F8" w14:textId="45FFF796" w:rsidR="00331FB7" w:rsidRDefault="00331FB7" w:rsidP="00331FB7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  <w:t>Additional references provided in the original report.</w:t>
                            </w:r>
                          </w:p>
                          <w:p w14:paraId="4CF8E643" w14:textId="4BD119A9" w:rsidR="00331FB7" w:rsidRDefault="00331FB7" w:rsidP="00331FB7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hyperlink r:id="rId12" w:history="1">
                              <w:r w:rsidRPr="006E2218">
                                <w:rPr>
                                  <w:rStyle w:val="Hyperlink"/>
                                  <w:rFonts w:ascii="Times New Roman" w:hAnsi="Times New Roman" w:cs="Times New Roman"/>
                                  <w:sz w:val="16"/>
                                  <w:szCs w:val="16"/>
                                </w:rPr>
                                <w:t>https://www.gov.uk/government/publications/community-development-handbook</w:t>
                              </w:r>
                            </w:hyperlink>
                          </w:p>
                          <w:p w14:paraId="788DF29A" w14:textId="77777777" w:rsidR="00331FB7" w:rsidRDefault="00331FB7" w:rsidP="00331FB7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</w:p>
                          <w:p w14:paraId="79E0FE11" w14:textId="4BD03D30" w:rsidR="00331FB7" w:rsidRDefault="00331FB7" w:rsidP="00331FB7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  <w:t>https://onlinelibrary.wiley.com/doi/full/10.1002/sd.2238</w:t>
                            </w:r>
                          </w:p>
                          <w:p w14:paraId="2F87D09E" w14:textId="77777777" w:rsidR="00331FB7" w:rsidRPr="00331FB7" w:rsidRDefault="00331FB7" w:rsidP="00331FB7">
                            <w:pPr>
                              <w:spacing w:after="0"/>
                              <w:rPr>
                                <w:rFonts w:ascii="Times New Roman" w:hAnsi="Times New Roman" w:cs="Times New Roman"/>
                                <w:color w:val="FFFFFF" w:themeColor="background1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182880" rIns="91440" bIns="18288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036DBFC" id="Rectangle 123" o:spid="_x0000_s1028" style="position:absolute;margin-left:302pt;margin-top:511pt;width:286pt;height:148.85pt;z-index:-251627520;visibility:visible;mso-wrap-style:square;mso-width-percent:0;mso-height-percent:0;mso-wrap-distance-left:18pt;mso-wrap-distance-top:18pt;mso-wrap-distance-right:18pt;mso-wrap-distance-bottom:18pt;mso-position-horizontal:absolute;mso-position-horizontal-relative:page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" fillcolor="#e97132 [3205]" stroked="f" strokeweight="1pt">
                <v:shadow on="t" color="#156082 [3204]" origin="-.5" offset="7.2pt,0"/>
                <v:textbox inset=",14.4pt,,14.4pt">
                  <w:txbxContent>
                    <w:p w14:paraId="6E3EA542" w14:textId="07C9FCAE" w:rsidR="00331FB7" w:rsidRPr="00331FB7" w:rsidRDefault="00331FB7" w:rsidP="00331FB7">
                      <w:pPr>
                        <w:spacing w:after="0"/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  <w:t>Barr, S. (2008). Environment and Society: Sustainability, Policy and the Citizen. Aldershot, Hamps: Ashgate Publishing.</w:t>
                      </w:r>
                    </w:p>
                    <w:p w14:paraId="7456D939" w14:textId="77777777" w:rsidR="00331FB7" w:rsidRPr="00331FB7" w:rsidRDefault="00331FB7" w:rsidP="00331FB7">
                      <w:pPr>
                        <w:spacing w:after="0"/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  <w:t>Barton, H. (2000). Sustainable Communities: The Potential for Eco-Neighbourhoods. London: Earthscan.</w:t>
                      </w:r>
                    </w:p>
                    <w:p w14:paraId="42D85079" w14:textId="77777777" w:rsidR="00331FB7" w:rsidRPr="00331FB7" w:rsidRDefault="00331FB7" w:rsidP="00331FB7">
                      <w:pPr>
                        <w:spacing w:after="0"/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</w:pPr>
                      <w:proofErr w:type="spellStart"/>
                      <w:r w:rsidRPr="00331FB7"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  <w:t>Dongier</w:t>
                      </w:r>
                      <w:proofErr w:type="spellEnd"/>
                      <w:r w:rsidRPr="00331FB7"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  <w:t>, P., et al. (2003). Community Driven Development.</w:t>
                      </w:r>
                    </w:p>
                    <w:p w14:paraId="7F941A07" w14:textId="77777777" w:rsidR="00331FB7" w:rsidRPr="00331FB7" w:rsidRDefault="00331FB7" w:rsidP="00331FB7">
                      <w:pPr>
                        <w:spacing w:after="0"/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</w:pPr>
                      <w:proofErr w:type="spellStart"/>
                      <w:r w:rsidRPr="00331FB7"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  <w:t>Hes</w:t>
                      </w:r>
                      <w:proofErr w:type="spellEnd"/>
                      <w:r w:rsidRPr="00331FB7"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  <w:t>, D. (2017). Impact of Community Engagement on Sustainability Outcomes.</w:t>
                      </w:r>
                    </w:p>
                    <w:p w14:paraId="6FB78A35" w14:textId="77777777" w:rsidR="00331FB7" w:rsidRPr="00331FB7" w:rsidRDefault="00331FB7" w:rsidP="00331FB7">
                      <w:pPr>
                        <w:spacing w:after="0"/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  <w:t>Head, B. W. (2007). Community Engagement: Participation on Whose Terms.</w:t>
                      </w:r>
                    </w:p>
                    <w:p w14:paraId="0ED946F8" w14:textId="45FFF796" w:rsidR="00331FB7" w:rsidRDefault="00331FB7" w:rsidP="00331FB7">
                      <w:pPr>
                        <w:spacing w:after="0"/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  <w:t>Additional references provided in the original report.</w:t>
                      </w:r>
                    </w:p>
                    <w:p w14:paraId="4CF8E643" w14:textId="4BD119A9" w:rsidR="00331FB7" w:rsidRDefault="00331FB7" w:rsidP="00331FB7">
                      <w:pPr>
                        <w:spacing w:after="0"/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</w:pPr>
                      <w:hyperlink r:id="rId13" w:history="1">
                        <w:r w:rsidRPr="006E2218">
                          <w:rPr>
                            <w:rStyle w:val="Hyperlink"/>
                            <w:rFonts w:ascii="Times New Roman" w:hAnsi="Times New Roman" w:cs="Times New Roman"/>
                            <w:sz w:val="16"/>
                            <w:szCs w:val="16"/>
                          </w:rPr>
                          <w:t>https://www.gov.uk/government/publications/community-development-handbook</w:t>
                        </w:r>
                      </w:hyperlink>
                    </w:p>
                    <w:p w14:paraId="788DF29A" w14:textId="77777777" w:rsidR="00331FB7" w:rsidRDefault="00331FB7" w:rsidP="00331FB7">
                      <w:pPr>
                        <w:spacing w:after="0"/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</w:pPr>
                    </w:p>
                    <w:p w14:paraId="79E0FE11" w14:textId="4BD03D30" w:rsidR="00331FB7" w:rsidRDefault="00331FB7" w:rsidP="00331FB7">
                      <w:pPr>
                        <w:spacing w:after="0"/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  <w:t>https://onlinelibrary.wiley.com/doi/full/10.1002/sd.2238</w:t>
                      </w:r>
                    </w:p>
                    <w:p w14:paraId="2F87D09E" w14:textId="77777777" w:rsidR="00331FB7" w:rsidRPr="00331FB7" w:rsidRDefault="00331FB7" w:rsidP="00331FB7">
                      <w:pPr>
                        <w:spacing w:after="0"/>
                        <w:rPr>
                          <w:rFonts w:ascii="Times New Roman" w:hAnsi="Times New Roman" w:cs="Times New Roman"/>
                          <w:color w:val="FFFFFF" w:themeColor="background1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tight" anchorx="page" anchory="margin"/>
              </v:rect>
            </w:pict>
          </mc:Fallback>
        </mc:AlternateContent>
      </w:r>
      <w:r w:rsidR="00E66FBA" w:rsidRPr="00E66FBA">
        <w:rPr>
          <w:noProof/>
          <w:sz w:val="20"/>
          <w:szCs w:val="20"/>
        </w:rPr>
        <mc:AlternateContent>
          <mc:Choice Requires="wps">
            <w:drawing>
              <wp:anchor distT="228600" distB="228600" distL="228600" distR="228600" simplePos="0" relativeHeight="251686912" behindDoc="1" locked="0" layoutInCell="1" allowOverlap="1" wp14:anchorId="65F29FBB" wp14:editId="336A9E61">
                <wp:simplePos x="0" y="0"/>
                <wp:positionH relativeFrom="page">
                  <wp:align>left</wp:align>
                </wp:positionH>
                <wp:positionV relativeFrom="margin">
                  <wp:posOffset>5782310</wp:posOffset>
                </wp:positionV>
                <wp:extent cx="3835400" cy="1600200"/>
                <wp:effectExtent l="0" t="0" r="12700" b="22225"/>
                <wp:wrapTight wrapText="bothSides">
                  <wp:wrapPolygon edited="0">
                    <wp:start x="0" y="0"/>
                    <wp:lineTo x="0" y="21649"/>
                    <wp:lineTo x="21564" y="21649"/>
                    <wp:lineTo x="21564" y="0"/>
                    <wp:lineTo x="0" y="0"/>
                  </wp:wrapPolygon>
                </wp:wrapTight>
                <wp:docPr id="134" name="Text Box 1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35400" cy="1600200"/>
                        </a:xfrm>
                        <a:prstGeom prst="rect">
                          <a:avLst/>
                        </a:prstGeom>
                        <a:ln/>
                      </wps:spPr>
                      <wps:style>
                        <a:lnRef idx="3">
                          <a:schemeClr val="lt1"/>
                        </a:lnRef>
                        <a:fillRef idx="1">
                          <a:schemeClr val="accent1"/>
                        </a:fillRef>
                        <a:effectRef idx="1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06CB409" w14:textId="7BB10143" w:rsidR="00331FB7" w:rsidRPr="00331FB7" w:rsidRDefault="00331FB7" w:rsidP="00331FB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Diversify Funding</w:t>
                            </w:r>
                          </w:p>
                          <w:p w14:paraId="55438965" w14:textId="77777777" w:rsidR="00331FB7" w:rsidRPr="00331FB7" w:rsidRDefault="00331FB7" w:rsidP="00331FB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Explore innovative options like crowdfunding and corporate partnerships.</w:t>
                            </w:r>
                          </w:p>
                          <w:p w14:paraId="1AFAD683" w14:textId="77777777" w:rsidR="00331FB7" w:rsidRPr="00331FB7" w:rsidRDefault="00331FB7" w:rsidP="00331FB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Apply for international art and cultural grants (</w:t>
                            </w:r>
                            <w:proofErr w:type="spellStart"/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Dongier</w:t>
                            </w:r>
                            <w:proofErr w:type="spellEnd"/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et al., 2003).</w:t>
                            </w:r>
                          </w:p>
                          <w:p w14:paraId="24042BDE" w14:textId="107F94CD" w:rsidR="00331FB7" w:rsidRPr="00331FB7" w:rsidRDefault="00331FB7" w:rsidP="00331FB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Strengthen Partnerships</w:t>
                            </w:r>
                          </w:p>
                          <w:p w14:paraId="4F13BA0A" w14:textId="77777777" w:rsidR="00331FB7" w:rsidRPr="00331FB7" w:rsidRDefault="00331FB7" w:rsidP="00331FB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Collaborate with local businesses, schools, and government to pool resources (</w:t>
                            </w:r>
                            <w:proofErr w:type="spellStart"/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Raditloaneng</w:t>
                            </w:r>
                            <w:proofErr w:type="spellEnd"/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, 2015).</w:t>
                            </w:r>
                          </w:p>
                          <w:p w14:paraId="467B5B5F" w14:textId="77777777" w:rsidR="00331FB7" w:rsidRPr="00331FB7" w:rsidRDefault="00331FB7" w:rsidP="00331FB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Form alliances with other art communities to exchange ideas and best practices.</w:t>
                            </w:r>
                          </w:p>
                          <w:p w14:paraId="7FD5960B" w14:textId="14040C0A" w:rsidR="00331FB7" w:rsidRPr="00331FB7" w:rsidRDefault="00331FB7" w:rsidP="00331FB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Enhance Member Engagement</w:t>
                            </w:r>
                          </w:p>
                          <w:p w14:paraId="3FEA2DB7" w14:textId="77777777" w:rsidR="00331FB7" w:rsidRPr="00331FB7" w:rsidRDefault="00331FB7" w:rsidP="00331FB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Use modern digital tools (apps, online portals) for seamless communication and collaboration (</w:t>
                            </w:r>
                            <w:proofErr w:type="spellStart"/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Hes</w:t>
                            </w:r>
                            <w:proofErr w:type="spellEnd"/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, 2017).</w:t>
                            </w:r>
                          </w:p>
                          <w:p w14:paraId="15E899ED" w14:textId="77777777" w:rsidR="00331FB7" w:rsidRPr="00331FB7" w:rsidRDefault="00331FB7" w:rsidP="00331FB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Organize regular feedback sessions to address member concerns.</w:t>
                            </w:r>
                          </w:p>
                          <w:p w14:paraId="1765E7C6" w14:textId="55565F74" w:rsidR="00331FB7" w:rsidRPr="00331FB7" w:rsidRDefault="00331FB7" w:rsidP="00331FB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Expand Sustainability Practices</w:t>
                            </w:r>
                          </w:p>
                          <w:p w14:paraId="3B796621" w14:textId="77777777" w:rsidR="00331FB7" w:rsidRPr="00331FB7" w:rsidRDefault="00331FB7" w:rsidP="00331FB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Introduce zero-waste art projects and upcycling initiatives.</w:t>
                            </w:r>
                          </w:p>
                          <w:p w14:paraId="3B4FD99A" w14:textId="77777777" w:rsidR="00331FB7" w:rsidRPr="00331FB7" w:rsidRDefault="00331FB7" w:rsidP="00331FB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Partner with environmental organizations to promote sustainable events.</w:t>
                            </w:r>
                          </w:p>
                          <w:p w14:paraId="015BCC14" w14:textId="0B7C3780" w:rsidR="00331FB7" w:rsidRPr="00331FB7" w:rsidRDefault="00331FB7" w:rsidP="00331FB7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Increase Public Outreach</w:t>
                            </w:r>
                          </w:p>
                          <w:p w14:paraId="39B0DAA8" w14:textId="77777777" w:rsidR="00331FB7" w:rsidRPr="00331FB7" w:rsidRDefault="00331FB7" w:rsidP="00331FB7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331FB7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Host open community events to attract non-members.</w:t>
                            </w:r>
                          </w:p>
                          <w:p w14:paraId="07E3EACA" w14:textId="4228DE67" w:rsidR="00E66FBA" w:rsidRDefault="00E66FBA">
                            <w:pPr>
                              <w:pStyle w:val="NoSpacing"/>
                              <w:pBdr>
                                <w:top w:val="dotted" w:sz="4" w:space="6" w:color="FFFFFF" w:themeColor="background1"/>
                              </w:pBdr>
                              <w:ind w:left="360"/>
                              <w:rPr>
                                <w:color w:val="FFFFFF" w:themeColor="background1"/>
                                <w:sz w:val="18"/>
                                <w:szCs w:val="1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182880" tIns="91440" rIns="182880" bIns="9144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5F29FBB" id="Text Box 134" o:spid="_x0000_s1029" type="#_x0000_t202" style="position:absolute;margin-left:0;margin-top:455.3pt;width:302pt;height:126pt;z-index:-251629568;visibility:visible;mso-wrap-style:square;mso-width-percent:0;mso-height-percent:0;mso-wrap-distance-left:18pt;mso-wrap-distance-top:18pt;mso-wrap-distance-right:18pt;mso-wrap-distance-bottom:18pt;mso-position-horizontal:left;mso-position-horizontal-relative:page;mso-position-vertical:absolute;mso-position-vertical-relative:margin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" fillcolor="#156082 [3204]" strokecolor="white [3201]" strokeweight="1.5pt">
                <v:textbox style="mso-fit-shape-to-text:t" inset="14.4pt,7.2pt,14.4pt,7.2pt">
                  <w:txbxContent>
                    <w:p w14:paraId="306CB409" w14:textId="7BB10143" w:rsidR="00331FB7" w:rsidRPr="00331FB7" w:rsidRDefault="00331FB7" w:rsidP="00331FB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Diversify Funding</w:t>
                      </w:r>
                    </w:p>
                    <w:p w14:paraId="55438965" w14:textId="77777777" w:rsidR="00331FB7" w:rsidRPr="00331FB7" w:rsidRDefault="00331FB7" w:rsidP="00331FB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Explore innovative options like crowdfunding and corporate partnerships.</w:t>
                      </w:r>
                    </w:p>
                    <w:p w14:paraId="1AFAD683" w14:textId="77777777" w:rsidR="00331FB7" w:rsidRPr="00331FB7" w:rsidRDefault="00331FB7" w:rsidP="00331FB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Apply for international art and cultural grants (</w:t>
                      </w:r>
                      <w:proofErr w:type="spellStart"/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Dongier</w:t>
                      </w:r>
                      <w:proofErr w:type="spellEnd"/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et al., 2003).</w:t>
                      </w:r>
                    </w:p>
                    <w:p w14:paraId="24042BDE" w14:textId="107F94CD" w:rsidR="00331FB7" w:rsidRPr="00331FB7" w:rsidRDefault="00331FB7" w:rsidP="00331FB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Strengthen Partnerships</w:t>
                      </w:r>
                    </w:p>
                    <w:p w14:paraId="4F13BA0A" w14:textId="77777777" w:rsidR="00331FB7" w:rsidRPr="00331FB7" w:rsidRDefault="00331FB7" w:rsidP="00331FB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Collaborate with local businesses, schools, and government to pool resources (</w:t>
                      </w:r>
                      <w:proofErr w:type="spellStart"/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Raditloaneng</w:t>
                      </w:r>
                      <w:proofErr w:type="spellEnd"/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, 2015).</w:t>
                      </w:r>
                    </w:p>
                    <w:p w14:paraId="467B5B5F" w14:textId="77777777" w:rsidR="00331FB7" w:rsidRPr="00331FB7" w:rsidRDefault="00331FB7" w:rsidP="00331FB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Form alliances with other art communities to exchange ideas and best practices.</w:t>
                      </w:r>
                    </w:p>
                    <w:p w14:paraId="7FD5960B" w14:textId="14040C0A" w:rsidR="00331FB7" w:rsidRPr="00331FB7" w:rsidRDefault="00331FB7" w:rsidP="00331FB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Enhance Member Engagement</w:t>
                      </w:r>
                    </w:p>
                    <w:p w14:paraId="3FEA2DB7" w14:textId="77777777" w:rsidR="00331FB7" w:rsidRPr="00331FB7" w:rsidRDefault="00331FB7" w:rsidP="00331FB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Use modern digital tools (apps, online portals) for seamless communication and collaboration (</w:t>
                      </w:r>
                      <w:proofErr w:type="spellStart"/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Hes</w:t>
                      </w:r>
                      <w:proofErr w:type="spellEnd"/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, 2017).</w:t>
                      </w:r>
                    </w:p>
                    <w:p w14:paraId="15E899ED" w14:textId="77777777" w:rsidR="00331FB7" w:rsidRPr="00331FB7" w:rsidRDefault="00331FB7" w:rsidP="00331FB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Organize regular feedback sessions to address member concerns.</w:t>
                      </w:r>
                    </w:p>
                    <w:p w14:paraId="1765E7C6" w14:textId="55565F74" w:rsidR="00331FB7" w:rsidRPr="00331FB7" w:rsidRDefault="00331FB7" w:rsidP="00331FB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Expand Sustainability Practices</w:t>
                      </w:r>
                    </w:p>
                    <w:p w14:paraId="3B796621" w14:textId="77777777" w:rsidR="00331FB7" w:rsidRPr="00331FB7" w:rsidRDefault="00331FB7" w:rsidP="00331FB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Introduce zero-waste art projects and upcycling initiatives.</w:t>
                      </w:r>
                    </w:p>
                    <w:p w14:paraId="3B4FD99A" w14:textId="77777777" w:rsidR="00331FB7" w:rsidRPr="00331FB7" w:rsidRDefault="00331FB7" w:rsidP="00331FB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Partner with environmental organizations to promote sustainable events.</w:t>
                      </w:r>
                    </w:p>
                    <w:p w14:paraId="015BCC14" w14:textId="0B7C3780" w:rsidR="00331FB7" w:rsidRPr="00331FB7" w:rsidRDefault="00331FB7" w:rsidP="00331FB7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Increase Public Outreach</w:t>
                      </w:r>
                    </w:p>
                    <w:p w14:paraId="39B0DAA8" w14:textId="77777777" w:rsidR="00331FB7" w:rsidRPr="00331FB7" w:rsidRDefault="00331FB7" w:rsidP="00331FB7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331FB7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Host open community events to attract non-members.</w:t>
                      </w:r>
                    </w:p>
                    <w:p w14:paraId="07E3EACA" w14:textId="4228DE67" w:rsidR="00E66FBA" w:rsidRDefault="00E66FBA">
                      <w:pPr>
                        <w:pStyle w:val="NoSpacing"/>
                        <w:pBdr>
                          <w:top w:val="dotted" w:sz="4" w:space="6" w:color="FFFFFF" w:themeColor="background1"/>
                        </w:pBdr>
                        <w:ind w:left="360"/>
                        <w:rPr>
                          <w:color w:val="FFFFFF" w:themeColor="background1"/>
                          <w:sz w:val="18"/>
                          <w:szCs w:val="18"/>
                        </w:rPr>
                      </w:pPr>
                    </w:p>
                  </w:txbxContent>
                </v:textbox>
                <w10:wrap type="tight" anchorx="page" anchory="margin"/>
              </v:shape>
            </w:pict>
          </mc:Fallback>
        </mc:AlternateContent>
      </w:r>
      <w:r w:rsidR="00E66FBA" w:rsidRPr="00E66FBA">
        <w:rPr>
          <w:noProof/>
          <w:sz w:val="20"/>
          <w:szCs w:val="20"/>
        </w:rPr>
        <mc:AlternateContent>
          <mc:Choice Requires="wps">
            <w:drawing>
              <wp:anchor distT="91440" distB="91440" distL="114300" distR="114300" simplePos="0" relativeHeight="251684864" behindDoc="1" locked="0" layoutInCell="1" allowOverlap="1" wp14:anchorId="667E43FD" wp14:editId="1B7F981E">
                <wp:simplePos x="0" y="0"/>
                <wp:positionH relativeFrom="page">
                  <wp:align>right</wp:align>
                </wp:positionH>
                <wp:positionV relativeFrom="page">
                  <wp:posOffset>5867400</wp:posOffset>
                </wp:positionV>
                <wp:extent cx="3695700" cy="1530350"/>
                <wp:effectExtent l="0" t="0" r="0" b="0"/>
                <wp:wrapTight wrapText="bothSides">
                  <wp:wrapPolygon edited="0">
                    <wp:start x="0" y="0"/>
                    <wp:lineTo x="0" y="21241"/>
                    <wp:lineTo x="21489" y="21241"/>
                    <wp:lineTo x="21489" y="0"/>
                    <wp:lineTo x="0" y="0"/>
                  </wp:wrapPolygon>
                </wp:wrapTight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95700" cy="1530350"/>
                        </a:xfrm>
                        <a:prstGeom prst="rect">
                          <a:avLst/>
                        </a:prstGeom>
                        <a:solidFill>
                          <a:srgbClr val="FFFF00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BA0744A" w14:textId="19982673" w:rsidR="00E66FBA" w:rsidRPr="00E66FBA" w:rsidRDefault="00E66FBA" w:rsidP="00E66FBA">
                            <w:pPr>
                              <w:pBdr>
                                <w:top w:val="single" w:sz="24" w:space="0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</w:pPr>
                            <w:r w:rsidRPr="00E66FB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  <w:t>Economic Impact</w:t>
                            </w:r>
                          </w:p>
                          <w:p w14:paraId="559A45CD" w14:textId="77777777" w:rsidR="00E66FBA" w:rsidRPr="00E66FBA" w:rsidRDefault="00E66FBA" w:rsidP="00E66FBA">
                            <w:pPr>
                              <w:pBdr>
                                <w:top w:val="single" w:sz="24" w:space="0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</w:pPr>
                            <w:r w:rsidRPr="00E66FB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  <w:t>Tourism Boost: Events attract visitors, generating revenue for local businesses.</w:t>
                            </w:r>
                          </w:p>
                          <w:p w14:paraId="1A749A53" w14:textId="77777777" w:rsidR="00E66FBA" w:rsidRPr="00E66FBA" w:rsidRDefault="00E66FBA" w:rsidP="00E66FBA">
                            <w:pPr>
                              <w:pBdr>
                                <w:top w:val="single" w:sz="24" w:space="0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</w:pPr>
                            <w:r w:rsidRPr="00E66FB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  <w:t>Employment Opportunities:</w:t>
                            </w:r>
                          </w:p>
                          <w:p w14:paraId="06511542" w14:textId="77777777" w:rsidR="00E66FBA" w:rsidRPr="00E66FBA" w:rsidRDefault="00E66FBA" w:rsidP="00E66FBA">
                            <w:pPr>
                              <w:pBdr>
                                <w:top w:val="single" w:sz="24" w:space="0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</w:pPr>
                            <w:r w:rsidRPr="00E66FB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  <w:t>Creates jobs for artists, event organizers, and vendors.</w:t>
                            </w:r>
                          </w:p>
                          <w:p w14:paraId="6FA933CE" w14:textId="77777777" w:rsidR="00E66FBA" w:rsidRPr="00E66FBA" w:rsidRDefault="00E66FBA" w:rsidP="00E66FBA">
                            <w:pPr>
                              <w:pBdr>
                                <w:top w:val="single" w:sz="24" w:space="0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b/>
                                <w:bCs/>
                                <w:i/>
                                <w:iCs/>
                                <w:color w:val="156082" w:themeColor="accent1"/>
                                <w:sz w:val="18"/>
                                <w:szCs w:val="18"/>
                              </w:rPr>
                            </w:pPr>
                            <w:r w:rsidRPr="00E66FB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  <w:t>Supports art-related enterprises, such as galleries</w:t>
                            </w:r>
                            <w:r w:rsidRPr="00E66FBA">
                              <w:rPr>
                                <w:b/>
                                <w:bCs/>
                                <w:i/>
                                <w:iCs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 and studios.</w:t>
                            </w:r>
                          </w:p>
                          <w:p w14:paraId="493553D5" w14:textId="77777777" w:rsidR="00E66FBA" w:rsidRPr="00E66FBA" w:rsidRDefault="00E66FBA" w:rsidP="00E66FBA">
                            <w:pPr>
                              <w:pBdr>
                                <w:top w:val="single" w:sz="24" w:space="0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</w:pPr>
                            <w:r w:rsidRPr="00E66FB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  <w:t>Funding Sources:</w:t>
                            </w:r>
                          </w:p>
                          <w:p w14:paraId="49AE7BB2" w14:textId="3C120009" w:rsidR="00E66FBA" w:rsidRPr="00E66FBA" w:rsidRDefault="00E66FBA" w:rsidP="00E66FBA">
                            <w:pPr>
                              <w:pBdr>
                                <w:top w:val="single" w:sz="24" w:space="0" w:color="156082" w:themeColor="accent1"/>
                                <w:bottom w:val="single" w:sz="24" w:space="8" w:color="156082" w:themeColor="accent1"/>
                              </w:pBdr>
                              <w:spacing w:after="0"/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</w:pPr>
                            <w:r w:rsidRPr="00E66FB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  <w:t>Government grants, sponsorships, and community fundraising (</w:t>
                            </w:r>
                            <w:proofErr w:type="spellStart"/>
                            <w:r w:rsidRPr="00E66FB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  <w:t>Dongier</w:t>
                            </w:r>
                            <w:proofErr w:type="spellEnd"/>
                            <w:r w:rsidRPr="00E66FBA">
                              <w:rPr>
                                <w:rFonts w:ascii="Times New Roman" w:hAnsi="Times New Roman" w:cs="Times New Roman"/>
                                <w:b/>
                                <w:bCs/>
                                <w:color w:val="156082" w:themeColor="accent1"/>
                                <w:sz w:val="18"/>
                                <w:szCs w:val="18"/>
                              </w:rPr>
                              <w:t xml:space="preserve"> et al., 2003).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7E43FD" id="Text Box 2" o:spid="_x0000_s1030" type="#_x0000_t202" style="position:absolute;margin-left:239.8pt;margin-top:462pt;width:291pt;height:120.5pt;z-index:-251631616;visibility:visible;mso-wrap-style:square;mso-width-percent:0;mso-height-percent:0;mso-wrap-distance-left:9pt;mso-wrap-distance-top:7.2pt;mso-wrap-distance-right:9pt;mso-wrap-distance-bottom:7.2pt;mso-position-horizontal:right;mso-position-horizontal-relative:page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" fillcolor="yellow" stroked="f">
                <v:textbox>
                  <w:txbxContent>
                    <w:p w14:paraId="7BA0744A" w14:textId="19982673" w:rsidR="00E66FBA" w:rsidRPr="00E66FBA" w:rsidRDefault="00E66FBA" w:rsidP="00E66FBA">
                      <w:pPr>
                        <w:pBdr>
                          <w:top w:val="single" w:sz="24" w:space="0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</w:pPr>
                      <w:r w:rsidRPr="00E66FBA"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  <w:t>Economic Impact</w:t>
                      </w:r>
                    </w:p>
                    <w:p w14:paraId="559A45CD" w14:textId="77777777" w:rsidR="00E66FBA" w:rsidRPr="00E66FBA" w:rsidRDefault="00E66FBA" w:rsidP="00E66FBA">
                      <w:pPr>
                        <w:pBdr>
                          <w:top w:val="single" w:sz="24" w:space="0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</w:pPr>
                      <w:r w:rsidRPr="00E66FBA"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  <w:t>Tourism Boost: Events attract visitors, generating revenue for local businesses.</w:t>
                      </w:r>
                    </w:p>
                    <w:p w14:paraId="1A749A53" w14:textId="77777777" w:rsidR="00E66FBA" w:rsidRPr="00E66FBA" w:rsidRDefault="00E66FBA" w:rsidP="00E66FBA">
                      <w:pPr>
                        <w:pBdr>
                          <w:top w:val="single" w:sz="24" w:space="0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</w:pPr>
                      <w:r w:rsidRPr="00E66FBA"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  <w:t>Employment Opportunities:</w:t>
                      </w:r>
                    </w:p>
                    <w:p w14:paraId="06511542" w14:textId="77777777" w:rsidR="00E66FBA" w:rsidRPr="00E66FBA" w:rsidRDefault="00E66FBA" w:rsidP="00E66FBA">
                      <w:pPr>
                        <w:pBdr>
                          <w:top w:val="single" w:sz="24" w:space="0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</w:pPr>
                      <w:r w:rsidRPr="00E66FBA"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  <w:t>Creates jobs for artists, event organizers, and vendors.</w:t>
                      </w:r>
                    </w:p>
                    <w:p w14:paraId="6FA933CE" w14:textId="77777777" w:rsidR="00E66FBA" w:rsidRPr="00E66FBA" w:rsidRDefault="00E66FBA" w:rsidP="00E66FBA">
                      <w:pPr>
                        <w:pBdr>
                          <w:top w:val="single" w:sz="24" w:space="0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b/>
                          <w:bCs/>
                          <w:i/>
                          <w:iCs/>
                          <w:color w:val="156082" w:themeColor="accent1"/>
                          <w:sz w:val="18"/>
                          <w:szCs w:val="18"/>
                        </w:rPr>
                      </w:pPr>
                      <w:r w:rsidRPr="00E66FBA"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  <w:t>Supports art-related enterprises, such as galleries</w:t>
                      </w:r>
                      <w:r w:rsidRPr="00E66FBA">
                        <w:rPr>
                          <w:b/>
                          <w:bCs/>
                          <w:i/>
                          <w:iCs/>
                          <w:color w:val="156082" w:themeColor="accent1"/>
                          <w:sz w:val="18"/>
                          <w:szCs w:val="18"/>
                        </w:rPr>
                        <w:t xml:space="preserve"> and studios.</w:t>
                      </w:r>
                    </w:p>
                    <w:p w14:paraId="493553D5" w14:textId="77777777" w:rsidR="00E66FBA" w:rsidRPr="00E66FBA" w:rsidRDefault="00E66FBA" w:rsidP="00E66FBA">
                      <w:pPr>
                        <w:pBdr>
                          <w:top w:val="single" w:sz="24" w:space="0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</w:pPr>
                      <w:r w:rsidRPr="00E66FBA"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  <w:t>Funding Sources:</w:t>
                      </w:r>
                    </w:p>
                    <w:p w14:paraId="49AE7BB2" w14:textId="3C120009" w:rsidR="00E66FBA" w:rsidRPr="00E66FBA" w:rsidRDefault="00E66FBA" w:rsidP="00E66FBA">
                      <w:pPr>
                        <w:pBdr>
                          <w:top w:val="single" w:sz="24" w:space="0" w:color="156082" w:themeColor="accent1"/>
                          <w:bottom w:val="single" w:sz="24" w:space="8" w:color="156082" w:themeColor="accent1"/>
                        </w:pBdr>
                        <w:spacing w:after="0"/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</w:pPr>
                      <w:r w:rsidRPr="00E66FBA"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  <w:t>Government grants, sponsorships, and community fundraising (</w:t>
                      </w:r>
                      <w:proofErr w:type="spellStart"/>
                      <w:r w:rsidRPr="00E66FBA"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  <w:t>Dongier</w:t>
                      </w:r>
                      <w:proofErr w:type="spellEnd"/>
                      <w:r w:rsidRPr="00E66FBA">
                        <w:rPr>
                          <w:rFonts w:ascii="Times New Roman" w:hAnsi="Times New Roman" w:cs="Times New Roman"/>
                          <w:b/>
                          <w:bCs/>
                          <w:color w:val="156082" w:themeColor="accent1"/>
                          <w:sz w:val="18"/>
                          <w:szCs w:val="18"/>
                        </w:rPr>
                        <w:t xml:space="preserve"> et al., 2003).</w:t>
                      </w:r>
                    </w:p>
                  </w:txbxContent>
                </v:textbox>
                <w10:wrap type="tight" anchorx="page" anchory="page"/>
              </v:shape>
            </w:pict>
          </mc:Fallback>
        </mc:AlternateContent>
      </w:r>
      <w:r w:rsidR="00E66FBA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584BF3D9" wp14:editId="74D6BEEB">
                <wp:simplePos x="0" y="0"/>
                <wp:positionH relativeFrom="column">
                  <wp:posOffset>4114800</wp:posOffset>
                </wp:positionH>
                <wp:positionV relativeFrom="paragraph">
                  <wp:posOffset>2418080</wp:posOffset>
                </wp:positionV>
                <wp:extent cx="2501900" cy="1670050"/>
                <wp:effectExtent l="0" t="0" r="12700" b="25400"/>
                <wp:wrapNone/>
                <wp:docPr id="1672101572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01900" cy="1670050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7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0BC2CAEF" w14:textId="77777777" w:rsidR="00E66FBA" w:rsidRPr="00BF31DF" w:rsidRDefault="00E66FBA" w:rsidP="006E66AE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>CONCLUSION</w:t>
                            </w:r>
                          </w:p>
                          <w:p w14:paraId="4AEFF7C2" w14:textId="77777777" w:rsidR="00E66FBA" w:rsidRPr="00BF31DF" w:rsidRDefault="00E66FBA" w:rsidP="006E66AE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>The Swansea Arts Community is a beacon of arts-driven development, fostering cultural vibrancy, social cohesion, economic growth, and environmental sustainability.</w:t>
                            </w:r>
                          </w:p>
                          <w:p w14:paraId="7300AB82" w14:textId="77777777" w:rsidR="00E66FBA" w:rsidRPr="00BF31DF" w:rsidRDefault="00E66FBA" w:rsidP="006E66AE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</w:pP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8"/>
                                <w:szCs w:val="18"/>
                              </w:rPr>
                              <w:t>By addressing challenges and adopting recommended strategies, the community can continue to thrive and inspire similar initiatives worldwide.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84BF3D9" id="Text Box 3" o:spid="_x0000_s1031" type="#_x0000_t202" style="position:absolute;margin-left:324pt;margin-top:190.4pt;width:197pt;height:131.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" fillcolor="#0b769f [2407]" strokeweight=".5pt">
                <v:textbox>
                  <w:txbxContent>
                    <w:p w14:paraId="0BC2CAEF" w14:textId="77777777" w:rsidR="00E66FBA" w:rsidRPr="00BF31DF" w:rsidRDefault="00E66FBA" w:rsidP="006E66AE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</w:pP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>CONCLUSION</w:t>
                      </w:r>
                    </w:p>
                    <w:p w14:paraId="4AEFF7C2" w14:textId="77777777" w:rsidR="00E66FBA" w:rsidRPr="00BF31DF" w:rsidRDefault="00E66FBA" w:rsidP="006E66AE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</w:pP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>The Swansea Arts Community is a beacon of arts-driven development, fostering cultural vibrancy, social cohesion, economic growth, and environmental sustainability.</w:t>
                      </w:r>
                    </w:p>
                    <w:p w14:paraId="7300AB82" w14:textId="77777777" w:rsidR="00E66FBA" w:rsidRPr="00BF31DF" w:rsidRDefault="00E66FBA" w:rsidP="006E66AE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</w:pP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8"/>
                          <w:szCs w:val="18"/>
                        </w:rPr>
                        <w:t>By addressing challenges and adopting recommended strategies, the community can continue to thrive and inspire similar initiatives worldwide.</w:t>
                      </w:r>
                    </w:p>
                  </w:txbxContent>
                </v:textbox>
              </v:shape>
            </w:pict>
          </mc:Fallback>
        </mc:AlternateContent>
      </w:r>
      <w:r w:rsidR="00E66FBA">
        <w:rPr>
          <w:noProof/>
          <w:sz w:val="20"/>
          <w:szCs w:val="20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6D673D92" wp14:editId="238EF8A7">
                <wp:simplePos x="0" y="0"/>
                <wp:positionH relativeFrom="page">
                  <wp:align>left</wp:align>
                </wp:positionH>
                <wp:positionV relativeFrom="paragraph">
                  <wp:posOffset>2894330</wp:posOffset>
                </wp:positionV>
                <wp:extent cx="3848100" cy="1974850"/>
                <wp:effectExtent l="0" t="0" r="19050" b="25400"/>
                <wp:wrapNone/>
                <wp:docPr id="1918787048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848100" cy="1974850"/>
                        </a:xfrm>
                        <a:prstGeom prst="rect">
                          <a:avLst/>
                        </a:prstGeom>
                        <a:solidFill>
                          <a:schemeClr val="accent3">
                            <a:lumMod val="75000"/>
                          </a:schemeClr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BC098DA" w14:textId="77777777" w:rsidR="00E66FBA" w:rsidRPr="00BF31DF" w:rsidRDefault="00E66FBA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RECOMMENDATIONS</w:t>
                            </w:r>
                          </w:p>
                          <w:p w14:paraId="26B4E280" w14:textId="77777777" w:rsidR="00E66FBA" w:rsidRPr="00BF31DF" w:rsidRDefault="00E66FBA" w:rsidP="00C75B46">
                            <w:pP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Diversify Funding Sources: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                                                                                                   </w:t>
                            </w: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Explore crowdfunding, sponsorships, and partnerships (</w:t>
                            </w:r>
                            <w:proofErr w:type="spellStart"/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Dongier</w:t>
                            </w:r>
                            <w:proofErr w:type="spellEnd"/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et al., 2003).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                     </w:t>
                            </w: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Improve Communication: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                                                                                               </w:t>
                            </w: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Expand outreach using digital platforms (</w:t>
                            </w:r>
                            <w:proofErr w:type="spellStart"/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Hes</w:t>
                            </w:r>
                            <w:proofErr w:type="spellEnd"/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, 2017).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                                                  </w:t>
                            </w: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Develop Leadership: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                                                                                                        </w:t>
                            </w: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Offer mentorship programs to strengthen governance (Olukotun, 2008).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</w:t>
                            </w: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Collaborate: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                                                                    </w:t>
                            </w: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Form partnerships with businesses, schools, and government (</w:t>
                            </w:r>
                            <w:proofErr w:type="spellStart"/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Raditloaneng</w:t>
                            </w:r>
                            <w:proofErr w:type="spellEnd"/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, 2015).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</w:t>
                            </w: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Enhance Sustainability: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                                         </w:t>
                            </w: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Continue introducing eco-friendly practices and raising awareness (</w:t>
                            </w:r>
                            <w:proofErr w:type="spellStart"/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Hes</w:t>
                            </w:r>
                            <w:proofErr w:type="spellEnd"/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, 2017).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</w:t>
                            </w: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Use Feedback Loops:</w:t>
                            </w:r>
                            <w:r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 xml:space="preserve">                                                                                                                </w:t>
                            </w:r>
                            <w:r w:rsidRPr="00BF31DF">
                              <w:rPr>
                                <w:rFonts w:ascii="Times New Roman" w:hAnsi="Times New Roman" w:cs="Times New Roman"/>
                                <w:b/>
                                <w:bCs/>
                                <w:sz w:val="16"/>
                                <w:szCs w:val="16"/>
                              </w:rPr>
                              <w:t>Regularly collect member feedback to refine initiatives (Jacob et al., 2015).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D673D92" id="_x0000_s1032" type="#_x0000_t202" style="position:absolute;margin-left:0;margin-top:227.9pt;width:303pt;height:155.5pt;z-index:251681792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" fillcolor="#124f1a [2406]" strokeweight=".5pt">
                <v:textbox>
                  <w:txbxContent>
                    <w:p w14:paraId="7BC098DA" w14:textId="77777777" w:rsidR="00E66FBA" w:rsidRPr="00BF31DF" w:rsidRDefault="00E66FBA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RECOMMENDATIONS</w:t>
                      </w:r>
                    </w:p>
                    <w:p w14:paraId="26B4E280" w14:textId="77777777" w:rsidR="00E66FBA" w:rsidRPr="00BF31DF" w:rsidRDefault="00E66FBA" w:rsidP="00C75B46">
                      <w:pP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</w:pP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Diversify Funding Sources: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                                                                                                   </w:t>
                      </w: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Explore crowdfunding, sponsorships, and partnerships (</w:t>
                      </w:r>
                      <w:proofErr w:type="spellStart"/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Dongier</w:t>
                      </w:r>
                      <w:proofErr w:type="spellEnd"/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et al., 2003).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                     </w:t>
                      </w: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Improve Communication: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                                                                                               </w:t>
                      </w: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Expand outreach using digital platforms (</w:t>
                      </w:r>
                      <w:proofErr w:type="spellStart"/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Hes</w:t>
                      </w:r>
                      <w:proofErr w:type="spellEnd"/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, 2017).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                                                  </w:t>
                      </w: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Develop Leadership: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                                                                                                        </w:t>
                      </w: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Offer mentorship programs to strengthen governance (Olukotun, 2008).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</w:t>
                      </w: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Collaborate: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                                                                    </w:t>
                      </w: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Form partnerships with businesses, schools, and government (</w:t>
                      </w:r>
                      <w:proofErr w:type="spellStart"/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Raditloaneng</w:t>
                      </w:r>
                      <w:proofErr w:type="spellEnd"/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, 2015).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           </w:t>
                      </w: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Enhance Sustainability: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                                         </w:t>
                      </w: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Continue introducing eco-friendly practices and raising awareness (</w:t>
                      </w:r>
                      <w:proofErr w:type="spellStart"/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Hes</w:t>
                      </w:r>
                      <w:proofErr w:type="spellEnd"/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, 2017).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</w:t>
                      </w: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Use Feedback Loops:</w:t>
                      </w:r>
                      <w:r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 xml:space="preserve">                                                                                                                </w:t>
                      </w:r>
                      <w:r w:rsidRPr="00BF31DF">
                        <w:rPr>
                          <w:rFonts w:ascii="Times New Roman" w:hAnsi="Times New Roman" w:cs="Times New Roman"/>
                          <w:b/>
                          <w:bCs/>
                          <w:sz w:val="16"/>
                          <w:szCs w:val="16"/>
                        </w:rPr>
                        <w:t>Regularly collect member feedback to refine initiatives (Jacob et al., 2015).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 w:rsidR="002B3DB8">
        <w:rPr>
          <w:noProof/>
          <w:sz w:val="20"/>
          <w:szCs w:val="20"/>
        </w:rPr>
        <w:drawing>
          <wp:inline distT="0" distB="0" distL="0" distR="0" wp14:anchorId="7A4C704D" wp14:editId="1F56557B">
            <wp:extent cx="2228850" cy="1714500"/>
            <wp:effectExtent l="0" t="0" r="0" b="0"/>
            <wp:docPr id="649859953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8850" cy="1714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sectPr w:rsidR="00D95609" w:rsidRPr="00C75B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E82B6AC" w14:textId="77777777" w:rsidR="002F6999" w:rsidRDefault="002F6999" w:rsidP="00C75B46">
      <w:pPr>
        <w:spacing w:after="0" w:line="240" w:lineRule="auto"/>
      </w:pPr>
      <w:r>
        <w:separator/>
      </w:r>
    </w:p>
  </w:endnote>
  <w:endnote w:type="continuationSeparator" w:id="0">
    <w:p w14:paraId="1344E34D" w14:textId="77777777" w:rsidR="002F6999" w:rsidRDefault="002F6999" w:rsidP="00C75B4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65221C8B" w14:textId="77777777" w:rsidR="002F6999" w:rsidRDefault="002F6999" w:rsidP="00C75B46">
      <w:pPr>
        <w:spacing w:after="0" w:line="240" w:lineRule="auto"/>
      </w:pPr>
      <w:r>
        <w:separator/>
      </w:r>
    </w:p>
  </w:footnote>
  <w:footnote w:type="continuationSeparator" w:id="0">
    <w:p w14:paraId="7574CF2C" w14:textId="77777777" w:rsidR="002F6999" w:rsidRDefault="002F6999" w:rsidP="00C75B4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2852326"/>
    <w:multiLevelType w:val="hybridMultilevel"/>
    <w:tmpl w:val="55F4CA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1D03136"/>
    <w:multiLevelType w:val="hybridMultilevel"/>
    <w:tmpl w:val="24985D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05949502">
    <w:abstractNumId w:val="0"/>
  </w:num>
  <w:num w:numId="2" w16cid:durableId="126958062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5609"/>
    <w:rsid w:val="001A11F8"/>
    <w:rsid w:val="002B3DB8"/>
    <w:rsid w:val="002F6999"/>
    <w:rsid w:val="00331FB7"/>
    <w:rsid w:val="006E66AE"/>
    <w:rsid w:val="00BF31DF"/>
    <w:rsid w:val="00C75B46"/>
    <w:rsid w:val="00D8014E"/>
    <w:rsid w:val="00D95609"/>
    <w:rsid w:val="00DC270E"/>
    <w:rsid w:val="00E66F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20D0B2"/>
  <w15:chartTrackingRefBased/>
  <w15:docId w15:val="{95B3F48D-3385-424C-A88C-466F7F0874F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9560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9560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9560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9560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9560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9560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9560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9560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9560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9560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9560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9560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9560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9560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9560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9560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9560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9560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9560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9560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9560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9560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9560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9560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9560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9560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9560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9560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95609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D956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C75B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5B46"/>
  </w:style>
  <w:style w:type="paragraph" w:styleId="Footer">
    <w:name w:val="footer"/>
    <w:basedOn w:val="Normal"/>
    <w:link w:val="FooterChar"/>
    <w:uiPriority w:val="99"/>
    <w:unhideWhenUsed/>
    <w:rsid w:val="00C75B4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5B46"/>
  </w:style>
  <w:style w:type="paragraph" w:styleId="NoSpacing">
    <w:name w:val="No Spacing"/>
    <w:link w:val="NoSpacingChar"/>
    <w:uiPriority w:val="1"/>
    <w:qFormat/>
    <w:rsid w:val="00E66FB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66FB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331FB7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31F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www.gov.uk/government/publications/community-development-handboo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s://www.gov.uk/government/publications/community-development-handbook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195</Words>
  <Characters>1114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Mirabela Voican (1907947)</dc:creator>
  <cp:keywords/>
  <dc:description/>
  <cp:lastModifiedBy>Mirabela Voican (1907947)</cp:lastModifiedBy>
  <cp:revision>2</cp:revision>
  <dcterms:created xsi:type="dcterms:W3CDTF">2024-11-18T12:19:00Z</dcterms:created>
  <dcterms:modified xsi:type="dcterms:W3CDTF">2024-11-18T12:19:00Z</dcterms:modified>
</cp:coreProperties>
</file>