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shd w:val="clear" w:color="auto" w:fill="E5F7FA"/>
        <w:tblCellMar>
          <w:top w:w="15" w:type="dxa"/>
          <w:left w:w="15" w:type="dxa"/>
          <w:bottom w:w="15" w:type="dxa"/>
          <w:right w:w="15" w:type="dxa"/>
        </w:tblCellMar>
        <w:tblLook w:val="04A0" w:firstRow="1" w:lastRow="0" w:firstColumn="1" w:lastColumn="0" w:noHBand="0" w:noVBand="1"/>
      </w:tblPr>
      <w:tblGrid>
        <w:gridCol w:w="2675"/>
        <w:gridCol w:w="6335"/>
      </w:tblGrid>
      <w:tr w:rsidR="00152A50" w:rsidRPr="00152A50" w14:paraId="69973D38" w14:textId="77777777" w:rsidTr="00152A50">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776A6B12"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Qualitative</w:t>
            </w:r>
          </w:p>
        </w:tc>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489A7C16"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 xml:space="preserve">Exploratory and emergent. Questions focus on </w:t>
            </w:r>
            <w:proofErr w:type="gramStart"/>
            <w:r w:rsidRPr="00152A50">
              <w:rPr>
                <w:rFonts w:ascii="Arial" w:eastAsia="Times New Roman" w:hAnsi="Arial" w:cs="Arial"/>
                <w:color w:val="000000"/>
                <w:sz w:val="23"/>
                <w:szCs w:val="23"/>
              </w:rPr>
              <w:t>the </w:t>
            </w:r>
            <w:r w:rsidRPr="00152A50">
              <w:rPr>
                <w:rFonts w:ascii="Arial" w:eastAsia="Times New Roman" w:hAnsi="Arial" w:cs="Arial"/>
                <w:i/>
                <w:iCs/>
                <w:color w:val="000000"/>
                <w:sz w:val="23"/>
                <w:szCs w:val="23"/>
              </w:rPr>
              <w:t>what</w:t>
            </w:r>
            <w:proofErr w:type="gramEnd"/>
            <w:r w:rsidRPr="00152A50">
              <w:rPr>
                <w:rFonts w:ascii="Arial" w:eastAsia="Times New Roman" w:hAnsi="Arial" w:cs="Arial"/>
                <w:color w:val="000000"/>
                <w:sz w:val="23"/>
                <w:szCs w:val="23"/>
              </w:rPr>
              <w:t> and </w:t>
            </w:r>
            <w:r w:rsidRPr="00152A50">
              <w:rPr>
                <w:rFonts w:ascii="Arial" w:eastAsia="Times New Roman" w:hAnsi="Arial" w:cs="Arial"/>
                <w:i/>
                <w:iCs/>
                <w:color w:val="000000"/>
                <w:sz w:val="23"/>
                <w:szCs w:val="23"/>
              </w:rPr>
              <w:t>how</w:t>
            </w:r>
            <w:r w:rsidRPr="00152A50">
              <w:rPr>
                <w:rFonts w:ascii="Arial" w:eastAsia="Times New Roman" w:hAnsi="Arial" w:cs="Arial"/>
                <w:color w:val="000000"/>
                <w:sz w:val="23"/>
                <w:szCs w:val="23"/>
              </w:rPr>
              <w:t xml:space="preserve"> of the topic of inquiry (Creswell, 2009; Finlay, 2011; Krathwohl, 2009). </w:t>
            </w:r>
            <w:proofErr w:type="gramStart"/>
            <w:r w:rsidRPr="00152A50">
              <w:rPr>
                <w:rFonts w:ascii="Arial" w:eastAsia="Times New Roman" w:hAnsi="Arial" w:cs="Arial"/>
                <w:color w:val="000000"/>
                <w:sz w:val="23"/>
                <w:szCs w:val="23"/>
              </w:rPr>
              <w:t>Takes into account</w:t>
            </w:r>
            <w:proofErr w:type="gramEnd"/>
            <w:r w:rsidRPr="00152A50">
              <w:rPr>
                <w:rFonts w:ascii="Arial" w:eastAsia="Times New Roman" w:hAnsi="Arial" w:cs="Arial"/>
                <w:color w:val="000000"/>
                <w:sz w:val="23"/>
                <w:szCs w:val="23"/>
              </w:rPr>
              <w:t xml:space="preserve"> and is influenced by the experiences and perceptions of the researcher (Moustakas, 1990; Sultan, 2015), who is considered the key instrument of data collection and interpretation (Creswell, 2013; Porter, 2010).</w:t>
            </w:r>
          </w:p>
        </w:tc>
      </w:tr>
      <w:tr w:rsidR="00152A50" w:rsidRPr="00152A50" w14:paraId="08EE3B96" w14:textId="77777777" w:rsidTr="00152A50">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6A147664"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Social constructivist</w:t>
            </w:r>
          </w:p>
        </w:tc>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2E0ECD7F"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Assumes reality is relative and is constructed based on one’s contextual and subjective meaning-making of personal experience (</w:t>
            </w:r>
            <w:proofErr w:type="spellStart"/>
            <w:r w:rsidRPr="00152A50">
              <w:rPr>
                <w:rFonts w:ascii="Arial" w:eastAsia="Times New Roman" w:hAnsi="Arial" w:cs="Arial"/>
                <w:color w:val="000000"/>
                <w:sz w:val="23"/>
                <w:szCs w:val="23"/>
              </w:rPr>
              <w:t>Ponterotto</w:t>
            </w:r>
            <w:proofErr w:type="spellEnd"/>
            <w:r w:rsidRPr="00152A50">
              <w:rPr>
                <w:rFonts w:ascii="Arial" w:eastAsia="Times New Roman" w:hAnsi="Arial" w:cs="Arial"/>
                <w:color w:val="000000"/>
                <w:sz w:val="23"/>
                <w:szCs w:val="23"/>
              </w:rPr>
              <w:t>, 2005). Adopts a first-person, personalized approach to presenting the findings, acknowledging the researcher’s biases, values, and attitudes, and the impact of these on the research. Relies on research partners’ views of the topic of inquiry.</w:t>
            </w:r>
          </w:p>
        </w:tc>
      </w:tr>
      <w:tr w:rsidR="00152A50" w:rsidRPr="00152A50" w14:paraId="080F0D87" w14:textId="77777777" w:rsidTr="00152A50">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367090AE"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Phenomenologically aligned</w:t>
            </w:r>
          </w:p>
        </w:tc>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176B3CFA"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Attempts to make sense of experience as it is perceived (Krathwohl, 2009) to allow for the illumination of deep understandings and meanings (Christensen &amp; Brumfield, 2010). Views perception as the primary source of knowledge (Merleau-Ponty, 1945/2013) informing the constituents of one’s lifeworld (Ashworth, 2003). Invites researchers to slow down, focus on the topic of inquiry, immerse themselves in it, and dwell with it while engaging empathy, acceptance, and creativity (Creswell, 2013; Finlay, 2011; Moustakas, 1990; Sultan, 2015; Wertz, 2005).</w:t>
            </w:r>
          </w:p>
        </w:tc>
      </w:tr>
      <w:tr w:rsidR="00152A50" w:rsidRPr="00152A50" w14:paraId="3DF089F1" w14:textId="77777777" w:rsidTr="00152A50">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4486AB31"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Autobiographical</w:t>
            </w:r>
          </w:p>
        </w:tc>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7D6244A6"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Originates within the self. Includes personal history, memory, imagination, and perception, fusing past, present, and future (Moustakas, 1994; Sultan, 2015) into the here and now.</w:t>
            </w:r>
          </w:p>
        </w:tc>
      </w:tr>
      <w:tr w:rsidR="00152A50" w:rsidRPr="00152A50" w14:paraId="0A905956" w14:textId="77777777" w:rsidTr="00152A50">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4FE8C348"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Exploratory, serendipitous, and discovery-oriented</w:t>
            </w:r>
          </w:p>
        </w:tc>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2F988E1A"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Embraces an attitude of wonder (Wertz, 2005), openness, and curiosity (Moustakas, 1990; Sultan, 2015) toward purposive and systematic inquiry that is marked by spontaneity and either prearranged or accidental discovery (Stebbins, 2008) or emergence.</w:t>
            </w:r>
          </w:p>
        </w:tc>
      </w:tr>
      <w:tr w:rsidR="00152A50" w:rsidRPr="00152A50" w14:paraId="36E3D8FA" w14:textId="77777777" w:rsidTr="00152A50">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5EBFDC35"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Process- and content-focused</w:t>
            </w:r>
          </w:p>
        </w:tc>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016FBE4A"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 xml:space="preserve">Emphasizes the process of inquiry and its dynamics, versus a predetermined outcome. Keeps researchers close to the data that are emerging (Creswell, 2013; Krathwohl, 2009). </w:t>
            </w:r>
            <w:proofErr w:type="spellStart"/>
            <w:r w:rsidRPr="00152A50">
              <w:rPr>
                <w:rFonts w:ascii="Arial" w:eastAsia="Times New Roman" w:hAnsi="Arial" w:cs="Arial"/>
                <w:color w:val="000000"/>
                <w:sz w:val="23"/>
                <w:szCs w:val="23"/>
              </w:rPr>
              <w:t>Honors</w:t>
            </w:r>
            <w:proofErr w:type="spellEnd"/>
            <w:r w:rsidRPr="00152A50">
              <w:rPr>
                <w:rFonts w:ascii="Arial" w:eastAsia="Times New Roman" w:hAnsi="Arial" w:cs="Arial"/>
                <w:color w:val="000000"/>
                <w:sz w:val="23"/>
                <w:szCs w:val="23"/>
              </w:rPr>
              <w:t xml:space="preserve"> all elaborations of process and content, including dialogue and discourse, and various types of artifacts, such as writing samples, journal entries, poetry, artwork, musical compositions, photos, and symbols.</w:t>
            </w:r>
          </w:p>
        </w:tc>
      </w:tr>
      <w:tr w:rsidR="00152A50" w:rsidRPr="00152A50" w14:paraId="6C3C00ED" w14:textId="77777777" w:rsidTr="00152A50">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5E07BC39"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Intuitive, introspective, and reflexive</w:t>
            </w:r>
          </w:p>
        </w:tc>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69CCADFF" w14:textId="77777777" w:rsidR="00152A50" w:rsidRPr="00152A50" w:rsidRDefault="00152A50" w:rsidP="00152A50">
            <w:pPr>
              <w:spacing w:after="0" w:line="240" w:lineRule="auto"/>
              <w:rPr>
                <w:rFonts w:ascii="Arial" w:eastAsia="Times New Roman" w:hAnsi="Arial" w:cs="Arial"/>
                <w:color w:val="000000"/>
                <w:sz w:val="23"/>
                <w:szCs w:val="23"/>
              </w:rPr>
            </w:pPr>
            <w:proofErr w:type="spellStart"/>
            <w:r w:rsidRPr="00152A50">
              <w:rPr>
                <w:rFonts w:ascii="Arial" w:eastAsia="Times New Roman" w:hAnsi="Arial" w:cs="Arial"/>
                <w:color w:val="000000"/>
                <w:sz w:val="23"/>
                <w:szCs w:val="23"/>
              </w:rPr>
              <w:t>Honors</w:t>
            </w:r>
            <w:proofErr w:type="spellEnd"/>
            <w:r w:rsidRPr="00152A50">
              <w:rPr>
                <w:rFonts w:ascii="Arial" w:eastAsia="Times New Roman" w:hAnsi="Arial" w:cs="Arial"/>
                <w:color w:val="000000"/>
                <w:sz w:val="23"/>
                <w:szCs w:val="23"/>
              </w:rPr>
              <w:t xml:space="preserve"> and acknowledges </w:t>
            </w:r>
            <w:r w:rsidRPr="00152A50">
              <w:rPr>
                <w:rFonts w:ascii="Arial" w:eastAsia="Times New Roman" w:hAnsi="Arial" w:cs="Arial"/>
                <w:i/>
                <w:iCs/>
                <w:color w:val="000000"/>
                <w:sz w:val="23"/>
                <w:szCs w:val="23"/>
              </w:rPr>
              <w:t>tacit knowing</w:t>
            </w:r>
            <w:r w:rsidRPr="00152A50">
              <w:rPr>
                <w:rFonts w:ascii="Arial" w:eastAsia="Times New Roman" w:hAnsi="Arial" w:cs="Arial"/>
                <w:color w:val="000000"/>
                <w:sz w:val="23"/>
                <w:szCs w:val="23"/>
              </w:rPr>
              <w:t>—that is, implicit knowledge or understanding (Polanyi, 1958, 1966, 1969). Informed by the process of focusing on one’s </w:t>
            </w:r>
            <w:r w:rsidRPr="00152A50">
              <w:rPr>
                <w:rFonts w:ascii="Arial" w:eastAsia="Times New Roman" w:hAnsi="Arial" w:cs="Arial"/>
                <w:i/>
                <w:iCs/>
                <w:color w:val="000000"/>
                <w:sz w:val="23"/>
                <w:szCs w:val="23"/>
              </w:rPr>
              <w:t>felt sense</w:t>
            </w:r>
            <w:r w:rsidRPr="00152A50">
              <w:rPr>
                <w:rFonts w:ascii="Arial" w:eastAsia="Times New Roman" w:hAnsi="Arial" w:cs="Arial"/>
                <w:color w:val="000000"/>
                <w:sz w:val="23"/>
                <w:szCs w:val="23"/>
              </w:rPr>
              <w:t>—the rightness of feeling in one’s gut (</w:t>
            </w:r>
            <w:proofErr w:type="spellStart"/>
            <w:r w:rsidRPr="00152A50">
              <w:rPr>
                <w:rFonts w:ascii="Arial" w:eastAsia="Times New Roman" w:hAnsi="Arial" w:cs="Arial"/>
                <w:color w:val="000000"/>
                <w:sz w:val="23"/>
                <w:szCs w:val="23"/>
              </w:rPr>
              <w:t>Gendlin</w:t>
            </w:r>
            <w:proofErr w:type="spellEnd"/>
            <w:r w:rsidRPr="00152A50">
              <w:rPr>
                <w:rFonts w:ascii="Arial" w:eastAsia="Times New Roman" w:hAnsi="Arial" w:cs="Arial"/>
                <w:color w:val="000000"/>
                <w:sz w:val="23"/>
                <w:szCs w:val="23"/>
              </w:rPr>
              <w:t xml:space="preserve">, 1981, 1996)—which allows words, phrases, images, memories, symbols, or novel understandings representing a topic to come to the surface. Supported by the researcher’s ability to </w:t>
            </w:r>
            <w:proofErr w:type="gramStart"/>
            <w:r w:rsidRPr="00152A50">
              <w:rPr>
                <w:rFonts w:ascii="Arial" w:eastAsia="Times New Roman" w:hAnsi="Arial" w:cs="Arial"/>
                <w:color w:val="000000"/>
                <w:sz w:val="23"/>
                <w:szCs w:val="23"/>
              </w:rPr>
              <w:t>reflectively and reflexively attend to</w:t>
            </w:r>
            <w:proofErr w:type="gramEnd"/>
            <w:r w:rsidRPr="00152A50">
              <w:rPr>
                <w:rFonts w:ascii="Arial" w:eastAsia="Times New Roman" w:hAnsi="Arial" w:cs="Arial"/>
                <w:color w:val="000000"/>
                <w:sz w:val="23"/>
                <w:szCs w:val="23"/>
              </w:rPr>
              <w:t xml:space="preserve"> both her own and her research partners’ experience (Moustakas, 1990, 2015), and the </w:t>
            </w:r>
            <w:r w:rsidRPr="00152A50">
              <w:rPr>
                <w:rFonts w:ascii="Arial" w:eastAsia="Times New Roman" w:hAnsi="Arial" w:cs="Arial"/>
                <w:color w:val="000000"/>
                <w:sz w:val="23"/>
                <w:szCs w:val="23"/>
              </w:rPr>
              <w:lastRenderedPageBreak/>
              <w:t>interweaving of both experiences (Merleau-Ponty, 1945/2013), to attain deeper levels of awareness.</w:t>
            </w:r>
          </w:p>
        </w:tc>
      </w:tr>
      <w:tr w:rsidR="00152A50" w:rsidRPr="00152A50" w14:paraId="719F0A51" w14:textId="77777777" w:rsidTr="00152A50">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54FC7683"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lastRenderedPageBreak/>
              <w:t>Experiential, embodied, and holistic</w:t>
            </w:r>
          </w:p>
        </w:tc>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745B6783"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 xml:space="preserve">Views subjective human experience—the here-and-now relationship between one’s body and oneself and one’s body and the world—reciprocity, and perception (Merleau-Ponty, 1945/2013) as pivotal to informing the research process. Focuses on multiple facets of human experience: cognitive, emotional, </w:t>
            </w:r>
            <w:proofErr w:type="spellStart"/>
            <w:r w:rsidRPr="00152A50">
              <w:rPr>
                <w:rFonts w:ascii="Arial" w:eastAsia="Times New Roman" w:hAnsi="Arial" w:cs="Arial"/>
                <w:color w:val="000000"/>
                <w:sz w:val="23"/>
                <w:szCs w:val="23"/>
              </w:rPr>
              <w:t>sensory∞kinesthetic</w:t>
            </w:r>
            <w:proofErr w:type="spellEnd"/>
            <w:r w:rsidRPr="00152A50">
              <w:rPr>
                <w:rFonts w:ascii="Arial" w:eastAsia="Times New Roman" w:hAnsi="Arial" w:cs="Arial"/>
                <w:color w:val="000000"/>
                <w:sz w:val="23"/>
                <w:szCs w:val="23"/>
              </w:rPr>
              <w:t xml:space="preserve">, perceptual, spiritual, </w:t>
            </w:r>
            <w:proofErr w:type="spellStart"/>
            <w:r w:rsidRPr="00152A50">
              <w:rPr>
                <w:rFonts w:ascii="Arial" w:eastAsia="Times New Roman" w:hAnsi="Arial" w:cs="Arial"/>
                <w:color w:val="000000"/>
                <w:sz w:val="23"/>
                <w:szCs w:val="23"/>
              </w:rPr>
              <w:t>social∞relational</w:t>
            </w:r>
            <w:proofErr w:type="spellEnd"/>
            <w:r w:rsidRPr="00152A50">
              <w:rPr>
                <w:rFonts w:ascii="Arial" w:eastAsia="Times New Roman" w:hAnsi="Arial" w:cs="Arial"/>
                <w:color w:val="000000"/>
                <w:sz w:val="23"/>
                <w:szCs w:val="23"/>
              </w:rPr>
              <w:t xml:space="preserve">, and their integration (Sultan, 2015). </w:t>
            </w:r>
            <w:proofErr w:type="spellStart"/>
            <w:r w:rsidRPr="00152A50">
              <w:rPr>
                <w:rFonts w:ascii="Arial" w:eastAsia="Times New Roman" w:hAnsi="Arial" w:cs="Arial"/>
                <w:color w:val="000000"/>
                <w:sz w:val="23"/>
                <w:szCs w:val="23"/>
              </w:rPr>
              <w:t>Honors</w:t>
            </w:r>
            <w:proofErr w:type="spellEnd"/>
            <w:r w:rsidRPr="00152A50">
              <w:rPr>
                <w:rFonts w:ascii="Arial" w:eastAsia="Times New Roman" w:hAnsi="Arial" w:cs="Arial"/>
                <w:color w:val="000000"/>
                <w:sz w:val="23"/>
                <w:szCs w:val="23"/>
              </w:rPr>
              <w:t xml:space="preserve"> both verbal and nonverbal experience. Operates at the intersection of </w:t>
            </w:r>
            <w:r w:rsidRPr="00152A50">
              <w:rPr>
                <w:rFonts w:ascii="Arial" w:eastAsia="Times New Roman" w:hAnsi="Arial" w:cs="Arial"/>
                <w:i/>
                <w:iCs/>
                <w:color w:val="000000"/>
                <w:sz w:val="23"/>
                <w:szCs w:val="23"/>
              </w:rPr>
              <w:t>being</w:t>
            </w:r>
            <w:r w:rsidRPr="00152A50">
              <w:rPr>
                <w:rFonts w:ascii="Arial" w:eastAsia="Times New Roman" w:hAnsi="Arial" w:cs="Arial"/>
                <w:color w:val="000000"/>
                <w:sz w:val="23"/>
                <w:szCs w:val="23"/>
              </w:rPr>
              <w:t> and </w:t>
            </w:r>
            <w:r w:rsidRPr="00152A50">
              <w:rPr>
                <w:rFonts w:ascii="Arial" w:eastAsia="Times New Roman" w:hAnsi="Arial" w:cs="Arial"/>
                <w:i/>
                <w:iCs/>
                <w:color w:val="000000"/>
                <w:sz w:val="23"/>
                <w:szCs w:val="23"/>
              </w:rPr>
              <w:t>knowing.</w:t>
            </w:r>
          </w:p>
        </w:tc>
      </w:tr>
      <w:tr w:rsidR="00152A50" w:rsidRPr="00152A50" w14:paraId="4F51709A" w14:textId="77777777" w:rsidTr="00152A50">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7D5BBDD5"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Existential and humanistic</w:t>
            </w:r>
          </w:p>
        </w:tc>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438E90AF"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Underlines human perception—that is, how individuals </w:t>
            </w:r>
            <w:r w:rsidRPr="00152A50">
              <w:rPr>
                <w:rFonts w:ascii="Arial" w:eastAsia="Times New Roman" w:hAnsi="Arial" w:cs="Arial"/>
                <w:i/>
                <w:iCs/>
                <w:color w:val="000000"/>
                <w:sz w:val="23"/>
                <w:szCs w:val="23"/>
              </w:rPr>
              <w:t>know</w:t>
            </w:r>
            <w:r w:rsidRPr="00152A50">
              <w:rPr>
                <w:rFonts w:ascii="Arial" w:eastAsia="Times New Roman" w:hAnsi="Arial" w:cs="Arial"/>
                <w:color w:val="000000"/>
                <w:sz w:val="23"/>
                <w:szCs w:val="23"/>
              </w:rPr>
              <w:t> their world (Johnson, 2008)—as well as human limitations and aspirations. Emphasizes one’s tendency toward meaning-making, authenticity, and self-actualization (Maslow, 1968, 1976; Rogers, 1961). Characterized by subjectivity (Douglass &amp; Moustakas, 1985), personal involvement, and full engagement with the topic of inquiry (Rogers, 1961).</w:t>
            </w:r>
          </w:p>
        </w:tc>
      </w:tr>
      <w:tr w:rsidR="00152A50" w:rsidRPr="00152A50" w14:paraId="2544205D" w14:textId="77777777" w:rsidTr="00152A50">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0259946C"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Culturally embedded and emancipatory</w:t>
            </w:r>
          </w:p>
        </w:tc>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419FA9DB"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Includes consideration of the social context and issues related to diversity, such as gender, age, ethnicity, religion, social class, ability, and sexuality, toward social justice (Miller, 2008a). Enhances one’s ability to reconstitute one’s understanding of reality in a manner that embraces new perceptions and does not conflict with personal views (McGettigan, 2008a), with wide implications for social change.</w:t>
            </w:r>
          </w:p>
        </w:tc>
      </w:tr>
      <w:tr w:rsidR="00152A50" w:rsidRPr="00152A50" w14:paraId="0652F538" w14:textId="77777777" w:rsidTr="00152A50">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419A462F"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Relational, authentic, and participatory</w:t>
            </w:r>
          </w:p>
        </w:tc>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56834DF8"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 xml:space="preserve">Informed by the dynamic flow of presence, self- and other-awareness, empathy (Rogers, 1961), and intersubjectivity (Buber, 1923/1970) through which researcher and co-researchers experience the confluences of betweenness and </w:t>
            </w:r>
            <w:proofErr w:type="spellStart"/>
            <w:r w:rsidRPr="00152A50">
              <w:rPr>
                <w:rFonts w:ascii="Arial" w:eastAsia="Times New Roman" w:hAnsi="Arial" w:cs="Arial"/>
                <w:color w:val="000000"/>
                <w:sz w:val="23"/>
                <w:szCs w:val="23"/>
              </w:rPr>
              <w:t>withness</w:t>
            </w:r>
            <w:proofErr w:type="spellEnd"/>
            <w:r w:rsidRPr="00152A50">
              <w:rPr>
                <w:rFonts w:ascii="Arial" w:eastAsia="Times New Roman" w:hAnsi="Arial" w:cs="Arial"/>
                <w:color w:val="000000"/>
                <w:sz w:val="23"/>
                <w:szCs w:val="23"/>
              </w:rPr>
              <w:t xml:space="preserve"> in their shared encounter (Sultan, 2015). Used to enhance trust and deeper exploration.</w:t>
            </w:r>
          </w:p>
        </w:tc>
      </w:tr>
      <w:tr w:rsidR="00152A50" w:rsidRPr="00152A50" w14:paraId="24AF9F63" w14:textId="77777777" w:rsidTr="00152A50">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37961BD1"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 </w:t>
            </w:r>
          </w:p>
        </w:tc>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14B5FCCA"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 xml:space="preserve">May transform the researcher (Douglass &amp; Moustakas, 1985) and co-researchers by providing opportunities for intense personal contact, joint self-disclosure, and creation and </w:t>
            </w:r>
            <w:proofErr w:type="gramStart"/>
            <w:r w:rsidRPr="00152A50">
              <w:rPr>
                <w:rFonts w:ascii="Arial" w:eastAsia="Times New Roman" w:hAnsi="Arial" w:cs="Arial"/>
                <w:color w:val="000000"/>
                <w:sz w:val="23"/>
                <w:szCs w:val="23"/>
              </w:rPr>
              <w:t>meaning-making</w:t>
            </w:r>
            <w:proofErr w:type="gramEnd"/>
            <w:r w:rsidRPr="00152A50">
              <w:rPr>
                <w:rFonts w:ascii="Arial" w:eastAsia="Times New Roman" w:hAnsi="Arial" w:cs="Arial"/>
                <w:color w:val="000000"/>
                <w:sz w:val="23"/>
                <w:szCs w:val="23"/>
              </w:rPr>
              <w:t xml:space="preserve"> of shared subjective experience (Finlay, 2011). Inclusive, equitable, empowering, awareness-enhancing, and action-oriented (Lincoln, </w:t>
            </w:r>
            <w:proofErr w:type="spellStart"/>
            <w:r w:rsidRPr="00152A50">
              <w:rPr>
                <w:rFonts w:ascii="Arial" w:eastAsia="Times New Roman" w:hAnsi="Arial" w:cs="Arial"/>
                <w:color w:val="000000"/>
                <w:sz w:val="23"/>
                <w:szCs w:val="23"/>
              </w:rPr>
              <w:t>Lynham</w:t>
            </w:r>
            <w:proofErr w:type="spellEnd"/>
            <w:r w:rsidRPr="00152A50">
              <w:rPr>
                <w:rFonts w:ascii="Arial" w:eastAsia="Times New Roman" w:hAnsi="Arial" w:cs="Arial"/>
                <w:color w:val="000000"/>
                <w:sz w:val="23"/>
                <w:szCs w:val="23"/>
              </w:rPr>
              <w:t>, &amp; Guba, 2011).</w:t>
            </w:r>
          </w:p>
        </w:tc>
      </w:tr>
      <w:tr w:rsidR="00152A50" w:rsidRPr="00152A50" w14:paraId="0E419BAE" w14:textId="77777777" w:rsidTr="00152A50">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00824FD1"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Imaginative and creative</w:t>
            </w:r>
          </w:p>
        </w:tc>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223CB6E8"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 xml:space="preserve">Refers to the emergence of novelty at the intersection of a person’s uniqueness with people, events, and circumstances in life (Rogers, 1961). Marked by the ability to experience “the fresh, the raw, the concrete, the idiographic, as well as the generic, the abstract, the </w:t>
            </w:r>
            <w:proofErr w:type="spellStart"/>
            <w:r w:rsidRPr="00152A50">
              <w:rPr>
                <w:rFonts w:ascii="Arial" w:eastAsia="Times New Roman" w:hAnsi="Arial" w:cs="Arial"/>
                <w:color w:val="000000"/>
                <w:sz w:val="23"/>
                <w:szCs w:val="23"/>
              </w:rPr>
              <w:t>rubricized</w:t>
            </w:r>
            <w:proofErr w:type="spellEnd"/>
            <w:r w:rsidRPr="00152A50">
              <w:rPr>
                <w:rFonts w:ascii="Arial" w:eastAsia="Times New Roman" w:hAnsi="Arial" w:cs="Arial"/>
                <w:color w:val="000000"/>
                <w:sz w:val="23"/>
                <w:szCs w:val="23"/>
              </w:rPr>
              <w:t xml:space="preserve">, the categorized, and the classified” (Maslow, 1976, p. 88). Stresses freedom, spontaneity, self-acceptance, and integration. Demonstrates </w:t>
            </w:r>
            <w:proofErr w:type="spellStart"/>
            <w:r w:rsidRPr="00152A50">
              <w:rPr>
                <w:rFonts w:ascii="Arial" w:eastAsia="Times New Roman" w:hAnsi="Arial" w:cs="Arial"/>
                <w:color w:val="000000"/>
                <w:sz w:val="23"/>
                <w:szCs w:val="23"/>
              </w:rPr>
              <w:t>nontraditional</w:t>
            </w:r>
            <w:proofErr w:type="spellEnd"/>
            <w:r w:rsidRPr="00152A50">
              <w:rPr>
                <w:rFonts w:ascii="Arial" w:eastAsia="Times New Roman" w:hAnsi="Arial" w:cs="Arial"/>
                <w:color w:val="000000"/>
                <w:sz w:val="23"/>
                <w:szCs w:val="23"/>
              </w:rPr>
              <w:t xml:space="preserve"> approaches to data collection, organization, and analysis. </w:t>
            </w:r>
            <w:r w:rsidRPr="00152A50">
              <w:rPr>
                <w:rFonts w:ascii="Arial" w:eastAsia="Times New Roman" w:hAnsi="Arial" w:cs="Arial"/>
                <w:color w:val="000000"/>
                <w:sz w:val="23"/>
                <w:szCs w:val="23"/>
              </w:rPr>
              <w:lastRenderedPageBreak/>
              <w:t>Allows for nonliteral representations of perceived reality (Patton, 2008).</w:t>
            </w:r>
          </w:p>
        </w:tc>
      </w:tr>
      <w:tr w:rsidR="00152A50" w:rsidRPr="00152A50" w14:paraId="051FF6A1" w14:textId="77777777" w:rsidTr="00152A50">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05FE2670"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lastRenderedPageBreak/>
              <w:t>Nonlinear, fluid, and flexible</w:t>
            </w:r>
          </w:p>
        </w:tc>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021545B6"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 xml:space="preserve">Informed by openness to and awareness of multiple experiences at once (Rogers, 1961), versus experiencing and perceiving in predetermined ways. Characterized by tolerance for ambiguity and the unknown, and nonattachment to specified outcomes—that is, willingness “to conduct one’s research on behalf of the phenomenon” (Dahlberg, Dahlberg, &amp; </w:t>
            </w:r>
            <w:proofErr w:type="spellStart"/>
            <w:r w:rsidRPr="00152A50">
              <w:rPr>
                <w:rFonts w:ascii="Arial" w:eastAsia="Times New Roman" w:hAnsi="Arial" w:cs="Arial"/>
                <w:color w:val="000000"/>
                <w:sz w:val="23"/>
                <w:szCs w:val="23"/>
              </w:rPr>
              <w:t>Nyström</w:t>
            </w:r>
            <w:proofErr w:type="spellEnd"/>
            <w:r w:rsidRPr="00152A50">
              <w:rPr>
                <w:rFonts w:ascii="Arial" w:eastAsia="Times New Roman" w:hAnsi="Arial" w:cs="Arial"/>
                <w:color w:val="000000"/>
                <w:sz w:val="23"/>
                <w:szCs w:val="23"/>
              </w:rPr>
              <w:t>, 2008, p. 98). Adaptable to meet the needs of researchers within diverse disciplines working with phenomena that are vague or difficult to observe, measure, or document.</w:t>
            </w:r>
          </w:p>
        </w:tc>
      </w:tr>
      <w:tr w:rsidR="00152A50" w:rsidRPr="00152A50" w14:paraId="27DCCEDB" w14:textId="77777777" w:rsidTr="00152A50">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36452D5C"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Living versus lived</w:t>
            </w:r>
          </w:p>
        </w:tc>
        <w:tc>
          <w:tcPr>
            <w:tcW w:w="0" w:type="auto"/>
            <w:tcBorders>
              <w:top w:val="single" w:sz="6" w:space="0" w:color="7FC2DD"/>
              <w:left w:val="single" w:sz="6" w:space="0" w:color="7FC2DD"/>
              <w:bottom w:val="single" w:sz="6" w:space="0" w:color="7FC2DD"/>
              <w:right w:val="single" w:sz="6" w:space="0" w:color="7FC2DD"/>
            </w:tcBorders>
            <w:shd w:val="clear" w:color="auto" w:fill="E5F7FA"/>
            <w:tcMar>
              <w:top w:w="45" w:type="dxa"/>
              <w:left w:w="105" w:type="dxa"/>
              <w:bottom w:w="30" w:type="dxa"/>
              <w:right w:w="105" w:type="dxa"/>
            </w:tcMar>
            <w:hideMark/>
          </w:tcPr>
          <w:p w14:paraId="16E9F15A" w14:textId="77777777" w:rsidR="00152A50" w:rsidRPr="00152A50" w:rsidRDefault="00152A50" w:rsidP="00152A50">
            <w:pPr>
              <w:spacing w:after="0" w:line="240" w:lineRule="auto"/>
              <w:rPr>
                <w:rFonts w:ascii="Arial" w:eastAsia="Times New Roman" w:hAnsi="Arial" w:cs="Arial"/>
                <w:color w:val="000000"/>
                <w:sz w:val="23"/>
                <w:szCs w:val="23"/>
              </w:rPr>
            </w:pPr>
            <w:r w:rsidRPr="00152A50">
              <w:rPr>
                <w:rFonts w:ascii="Arial" w:eastAsia="Times New Roman" w:hAnsi="Arial" w:cs="Arial"/>
                <w:color w:val="000000"/>
                <w:sz w:val="23"/>
                <w:szCs w:val="23"/>
              </w:rPr>
              <w:t>Acknowledges all human experience as interconnected and interrelated, and thus as one continuing, enduring cycle rather than a series of discrete, disconnected historical events. Views research as the exploration of present-moment, ongoing, </w:t>
            </w:r>
            <w:r w:rsidRPr="00152A50">
              <w:rPr>
                <w:rFonts w:ascii="Arial" w:eastAsia="Times New Roman" w:hAnsi="Arial" w:cs="Arial"/>
                <w:i/>
                <w:iCs/>
                <w:color w:val="000000"/>
                <w:sz w:val="23"/>
                <w:szCs w:val="23"/>
              </w:rPr>
              <w:t>living</w:t>
            </w:r>
            <w:r w:rsidRPr="00152A50">
              <w:rPr>
                <w:rFonts w:ascii="Arial" w:eastAsia="Times New Roman" w:hAnsi="Arial" w:cs="Arial"/>
                <w:color w:val="000000"/>
                <w:sz w:val="23"/>
                <w:szCs w:val="23"/>
              </w:rPr>
              <w:t> human experience, even when exploring past experiences. Resonates with the rich, textured descriptions and voices of those who have experienced the topic of inquiry.</w:t>
            </w:r>
          </w:p>
        </w:tc>
      </w:tr>
    </w:tbl>
    <w:p w14:paraId="7E3665A8" w14:textId="77777777" w:rsidR="00BA3DAE" w:rsidRDefault="00BA3DAE"/>
    <w:sectPr w:rsidR="00BA3DAE">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7B009" w14:textId="77777777" w:rsidR="008B3ED4" w:rsidRDefault="008B3ED4" w:rsidP="00152A50">
      <w:pPr>
        <w:spacing w:after="0" w:line="240" w:lineRule="auto"/>
      </w:pPr>
      <w:r>
        <w:separator/>
      </w:r>
    </w:p>
  </w:endnote>
  <w:endnote w:type="continuationSeparator" w:id="0">
    <w:p w14:paraId="54868D27" w14:textId="77777777" w:rsidR="008B3ED4" w:rsidRDefault="008B3ED4" w:rsidP="00152A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4F28C5" w14:textId="77777777" w:rsidR="00152A50" w:rsidRDefault="00152A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0A6C52" w14:textId="77777777" w:rsidR="00152A50" w:rsidRDefault="00152A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AD4B00" w14:textId="77777777" w:rsidR="00152A50" w:rsidRDefault="00152A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2942C" w14:textId="77777777" w:rsidR="008B3ED4" w:rsidRDefault="008B3ED4" w:rsidP="00152A50">
      <w:pPr>
        <w:spacing w:after="0" w:line="240" w:lineRule="auto"/>
      </w:pPr>
      <w:r>
        <w:separator/>
      </w:r>
    </w:p>
  </w:footnote>
  <w:footnote w:type="continuationSeparator" w:id="0">
    <w:p w14:paraId="3DE01C4E" w14:textId="77777777" w:rsidR="008B3ED4" w:rsidRDefault="008B3ED4" w:rsidP="00152A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B0D340" w14:textId="77777777" w:rsidR="00152A50" w:rsidRDefault="00152A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302A9" w14:textId="796350E0" w:rsidR="00152A50" w:rsidRDefault="00152A50">
    <w:pPr>
      <w:pStyle w:val="Header"/>
    </w:pPr>
    <w:r>
      <w:t>Sultan, N. (2019). Heuristic Inquiry. Thousand Oaks, California: Sage Publications.</w:t>
    </w:r>
  </w:p>
  <w:p w14:paraId="722292BD" w14:textId="3364561F" w:rsidR="00152A50" w:rsidRDefault="00152A50">
    <w:pPr>
      <w:pStyle w:val="Header"/>
    </w:pPr>
  </w:p>
  <w:p w14:paraId="2B48A7AC" w14:textId="604E64B0" w:rsidR="00152A50" w:rsidRDefault="00152A50">
    <w:pPr>
      <w:pStyle w:val="Header"/>
    </w:pPr>
    <w:r>
      <w:t xml:space="preserve">General Characteristics and Learnings of Heuristic Inquiry </w:t>
    </w:r>
    <w:r>
      <w:t>(p.3)</w:t>
    </w:r>
  </w:p>
  <w:p w14:paraId="6AA5D287" w14:textId="77777777" w:rsidR="00152A50" w:rsidRDefault="00152A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5B5815" w14:textId="77777777" w:rsidR="00152A50" w:rsidRDefault="00152A5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A50"/>
    <w:rsid w:val="00152A50"/>
    <w:rsid w:val="002B2026"/>
    <w:rsid w:val="00442C5E"/>
    <w:rsid w:val="004C5728"/>
    <w:rsid w:val="00854FA5"/>
    <w:rsid w:val="008B3ED4"/>
    <w:rsid w:val="00BA3DAE"/>
    <w:rsid w:val="00D06FB3"/>
    <w:rsid w:val="00DA3E6A"/>
    <w:rsid w:val="00EA7463"/>
    <w:rsid w:val="00ED2851"/>
    <w:rsid w:val="00F760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ED17694"/>
  <w15:chartTrackingRefBased/>
  <w15:docId w15:val="{95666740-A5B6-49A3-993E-E1DBBF1EB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2A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A50"/>
  </w:style>
  <w:style w:type="paragraph" w:styleId="Footer">
    <w:name w:val="footer"/>
    <w:basedOn w:val="Normal"/>
    <w:link w:val="FooterChar"/>
    <w:uiPriority w:val="99"/>
    <w:unhideWhenUsed/>
    <w:rsid w:val="00152A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A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580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991</Words>
  <Characters>5653</Characters>
  <Application>Microsoft Office Word</Application>
  <DocSecurity>0</DocSecurity>
  <Lines>47</Lines>
  <Paragraphs>13</Paragraphs>
  <ScaleCrop>false</ScaleCrop>
  <Company/>
  <LinksUpToDate>false</LinksUpToDate>
  <CharactersWithSpaces>6631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Slade</dc:creator>
  <cp:keywords/>
  <dc:description/>
  <cp:lastModifiedBy>Catherine Slade</cp:lastModifiedBy>
  <cp:revision>1</cp:revision>
  <dcterms:created xsi:type="dcterms:W3CDTF">2022-02-14T13:35:00Z</dcterms:created>
  <dcterms:modified xsi:type="dcterms:W3CDTF">2022-02-14T13:40:00Z</dcterms:modified>
</cp:coreProperties>
</file>