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themeColor="text1"/>
          <w:sz w:val="40"/>
          <w:szCs w:val="40"/>
        </w:rPr>
        <w:id w:val="102854481"/>
        <w:docPartObj>
          <w:docPartGallery w:val="Cover Pages"/>
          <w:docPartUnique/>
        </w:docPartObj>
      </w:sdtPr>
      <w:sdtEndPr>
        <w:rPr>
          <w:rFonts w:asciiTheme="minorHAnsi" w:hAnsiTheme="minorHAnsi" w:cstheme="minorBidi"/>
          <w:sz w:val="22"/>
          <w:szCs w:val="22"/>
        </w:rPr>
      </w:sdtEndPr>
      <w:sdtContent>
        <w:p w14:paraId="13A64A92" w14:textId="77777777" w:rsidR="00A930CB" w:rsidRPr="003C0615" w:rsidRDefault="00A930CB" w:rsidP="00A930CB">
          <w:pPr>
            <w:spacing w:after="165" w:line="360" w:lineRule="auto"/>
            <w:rPr>
              <w:rFonts w:ascii="Tahoma" w:hAnsi="Tahoma" w:cs="Tahoma"/>
              <w:color w:val="000000" w:themeColor="text1"/>
              <w:sz w:val="40"/>
              <w:szCs w:val="40"/>
            </w:rPr>
          </w:pPr>
          <w:r w:rsidRPr="003C0615">
            <w:rPr>
              <w:b/>
              <w:noProof/>
              <w:color w:val="000000" w:themeColor="text1"/>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3C0615" w:rsidRDefault="00A930CB" w:rsidP="00A930CB">
          <w:pPr>
            <w:spacing w:after="165" w:line="360" w:lineRule="auto"/>
            <w:jc w:val="center"/>
            <w:rPr>
              <w:rFonts w:ascii="Tahoma" w:hAnsi="Tahoma" w:cs="Tahoma"/>
              <w:color w:val="000000" w:themeColor="text1"/>
              <w:sz w:val="40"/>
              <w:szCs w:val="40"/>
            </w:rPr>
          </w:pPr>
          <w:r w:rsidRPr="003C0615">
            <w:rPr>
              <w:rFonts w:ascii="Tahoma" w:hAnsi="Tahoma" w:cs="Tahoma"/>
              <w:color w:val="000000" w:themeColor="text1"/>
              <w:sz w:val="40"/>
              <w:szCs w:val="40"/>
            </w:rPr>
            <w:t>Skills for the Workplace</w:t>
          </w:r>
          <w:r w:rsidRPr="003C0615">
            <w:rPr>
              <w:rFonts w:ascii="Tahoma" w:hAnsi="Tahoma" w:cs="Tahoma"/>
              <w:color w:val="000000" w:themeColor="text1"/>
              <w:sz w:val="40"/>
              <w:szCs w:val="40"/>
            </w:rPr>
            <w:br/>
            <w:t xml:space="preserve">Module Assignment Submission </w:t>
          </w:r>
          <w:r w:rsidRPr="003C0615">
            <w:rPr>
              <w:rFonts w:ascii="Tahoma" w:hAnsi="Tahoma" w:cs="Tahoma"/>
              <w:color w:val="000000" w:themeColor="text1"/>
              <w:sz w:val="40"/>
              <w:szCs w:val="40"/>
            </w:rPr>
            <w:br/>
          </w:r>
        </w:p>
        <w:tbl>
          <w:tblPr>
            <w:tblW w:w="8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0"/>
            <w:gridCol w:w="6055"/>
          </w:tblGrid>
          <w:tr w:rsidR="003C0615" w:rsidRPr="003C0615" w14:paraId="7E157FF9" w14:textId="77777777" w:rsidTr="00D07374">
            <w:tc>
              <w:tcPr>
                <w:tcW w:w="2820" w:type="dxa"/>
                <w:shd w:val="clear" w:color="auto" w:fill="D9D9D9"/>
              </w:tcPr>
              <w:p w14:paraId="049D6C4E" w14:textId="77777777" w:rsidR="00A930CB" w:rsidRPr="003C0615" w:rsidRDefault="00A930CB"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Student Name:</w:t>
                </w:r>
              </w:p>
            </w:tc>
            <w:tc>
              <w:tcPr>
                <w:tcW w:w="6055" w:type="dxa"/>
              </w:tcPr>
              <w:p w14:paraId="26509FF7" w14:textId="00FC5060" w:rsidR="00A930CB" w:rsidRPr="003C0615" w:rsidRDefault="00CD6075"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Kenneth L Mi-Ria</w:t>
                </w:r>
              </w:p>
            </w:tc>
          </w:tr>
          <w:tr w:rsidR="003C0615" w:rsidRPr="003C0615" w14:paraId="47B8061E" w14:textId="77777777" w:rsidTr="00D07374">
            <w:tc>
              <w:tcPr>
                <w:tcW w:w="2820" w:type="dxa"/>
                <w:shd w:val="clear" w:color="auto" w:fill="D9D9D9"/>
              </w:tcPr>
              <w:p w14:paraId="19DB6AF8" w14:textId="77777777" w:rsidR="00A930CB" w:rsidRPr="003C0615" w:rsidRDefault="00A930CB"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Student Number:</w:t>
                </w:r>
              </w:p>
            </w:tc>
            <w:tc>
              <w:tcPr>
                <w:tcW w:w="6055" w:type="dxa"/>
              </w:tcPr>
              <w:p w14:paraId="11A37B25" w14:textId="508AF906" w:rsidR="00A930CB" w:rsidRPr="003C0615" w:rsidRDefault="002963E4"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202</w:t>
                </w:r>
                <w:r w:rsidR="00A9464B" w:rsidRPr="003C0615">
                  <w:rPr>
                    <w:rFonts w:ascii="Tahoma" w:hAnsi="Tahoma" w:cs="Tahoma"/>
                    <w:color w:val="000000" w:themeColor="text1"/>
                    <w:sz w:val="32"/>
                    <w:szCs w:val="32"/>
                  </w:rPr>
                  <w:t>6317</w:t>
                </w:r>
              </w:p>
            </w:tc>
          </w:tr>
          <w:tr w:rsidR="003C0615" w:rsidRPr="003C0615" w14:paraId="349EAAAF" w14:textId="77777777" w:rsidTr="00D07374">
            <w:tc>
              <w:tcPr>
                <w:tcW w:w="2820" w:type="dxa"/>
                <w:shd w:val="clear" w:color="auto" w:fill="D9D9D9"/>
              </w:tcPr>
              <w:p w14:paraId="79CF9844" w14:textId="77777777" w:rsidR="00A930CB" w:rsidRPr="003C0615" w:rsidRDefault="00A930CB"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Module No:</w:t>
                </w:r>
              </w:p>
            </w:tc>
            <w:tc>
              <w:tcPr>
                <w:tcW w:w="6055" w:type="dxa"/>
              </w:tcPr>
              <w:p w14:paraId="2C117412" w14:textId="5D59E22E" w:rsidR="00A930CB" w:rsidRPr="003C0615" w:rsidRDefault="00A9464B"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BMSK600</w:t>
                </w:r>
                <w:r w:rsidR="00A56FB3" w:rsidRPr="003C0615">
                  <w:rPr>
                    <w:rFonts w:ascii="Tahoma" w:hAnsi="Tahoma" w:cs="Tahoma"/>
                    <w:color w:val="000000" w:themeColor="text1"/>
                    <w:sz w:val="32"/>
                    <w:szCs w:val="32"/>
                  </w:rPr>
                  <w:t>4</w:t>
                </w:r>
              </w:p>
            </w:tc>
          </w:tr>
          <w:tr w:rsidR="003C0615" w:rsidRPr="003C0615" w14:paraId="485DA616" w14:textId="77777777" w:rsidTr="00D07374">
            <w:trPr>
              <w:trHeight w:val="413"/>
            </w:trPr>
            <w:tc>
              <w:tcPr>
                <w:tcW w:w="2820" w:type="dxa"/>
                <w:shd w:val="clear" w:color="auto" w:fill="D9D9D9"/>
              </w:tcPr>
              <w:p w14:paraId="4606D4BD" w14:textId="77777777" w:rsidR="00A930CB" w:rsidRPr="003C0615" w:rsidRDefault="00A930CB"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Module Title:</w:t>
                </w:r>
              </w:p>
            </w:tc>
            <w:tc>
              <w:tcPr>
                <w:tcW w:w="6055" w:type="dxa"/>
              </w:tcPr>
              <w:p w14:paraId="0F1C3659" w14:textId="3AED992F" w:rsidR="00A930CB" w:rsidRPr="003C0615" w:rsidRDefault="00A56FB3" w:rsidP="00A930CB">
                <w:pPr>
                  <w:spacing w:before="120" w:after="120" w:line="360" w:lineRule="auto"/>
                  <w:rPr>
                    <w:rFonts w:ascii="Tahoma" w:hAnsi="Tahoma" w:cs="Tahoma"/>
                    <w:color w:val="000000" w:themeColor="text1"/>
                    <w:sz w:val="32"/>
                    <w:szCs w:val="32"/>
                  </w:rPr>
                </w:pPr>
                <w:r w:rsidRPr="003C0615">
                  <w:rPr>
                    <w:rFonts w:ascii="Tahoma" w:hAnsi="Tahoma" w:cs="Tahoma"/>
                    <w:color w:val="000000" w:themeColor="text1"/>
                    <w:sz w:val="32"/>
                    <w:szCs w:val="32"/>
                  </w:rPr>
                  <w:t>Strategic Management for SMEs</w:t>
                </w:r>
              </w:p>
            </w:tc>
          </w:tr>
        </w:tbl>
        <w:p w14:paraId="4BB964D8" w14:textId="77777777" w:rsidR="00A930CB" w:rsidRPr="003C0615" w:rsidRDefault="00A930CB" w:rsidP="00A930CB">
          <w:pPr>
            <w:spacing w:before="120" w:after="120" w:line="360" w:lineRule="auto"/>
            <w:rPr>
              <w:rFonts w:ascii="Calibri" w:hAnsi="Calibri"/>
              <w:color w:val="000000" w:themeColor="text1"/>
              <w:sz w:val="24"/>
              <w:szCs w:val="24"/>
            </w:rPr>
          </w:pPr>
        </w:p>
        <w:p w14:paraId="225E9DEB" w14:textId="77777777" w:rsidR="00A930CB" w:rsidRPr="003C0615" w:rsidRDefault="00A930CB" w:rsidP="00A930CB">
          <w:pPr>
            <w:spacing w:before="120" w:after="120" w:line="360" w:lineRule="auto"/>
            <w:rPr>
              <w:rFonts w:ascii="Tahoma" w:hAnsi="Tahoma" w:cs="Tahoma"/>
              <w:b/>
              <w:color w:val="000000" w:themeColor="text1"/>
              <w:sz w:val="24"/>
              <w:szCs w:val="24"/>
            </w:rPr>
          </w:pPr>
          <w:r w:rsidRPr="003C0615">
            <w:rPr>
              <w:rFonts w:ascii="Tahoma" w:hAnsi="Tahoma" w:cs="Tahoma"/>
              <w:b/>
              <w:color w:val="000000" w:themeColor="text1"/>
              <w:sz w:val="24"/>
              <w:szCs w:val="24"/>
            </w:rPr>
            <w:t>Statement of Confirmation of Authenticity</w:t>
          </w:r>
        </w:p>
        <w:p w14:paraId="22DD05FB" w14:textId="77777777" w:rsidR="00A930CB" w:rsidRPr="003C0615" w:rsidRDefault="00A930CB" w:rsidP="00A930CB">
          <w:pPr>
            <w:spacing w:before="120" w:after="120" w:line="360" w:lineRule="auto"/>
            <w:rPr>
              <w:rFonts w:ascii="Tahoma" w:hAnsi="Tahoma" w:cs="Tahoma"/>
              <w:color w:val="000000" w:themeColor="text1"/>
              <w:sz w:val="24"/>
              <w:szCs w:val="24"/>
            </w:rPr>
          </w:pPr>
          <w:r w:rsidRPr="003C0615">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Pr="003C0615" w:rsidRDefault="00A930CB" w:rsidP="008346D5">
          <w:pPr>
            <w:spacing w:before="120" w:after="120" w:line="360" w:lineRule="auto"/>
            <w:rPr>
              <w:rFonts w:ascii="Tahoma" w:hAnsi="Tahoma" w:cs="Tahoma"/>
              <w:color w:val="000000" w:themeColor="text1"/>
              <w:sz w:val="24"/>
              <w:szCs w:val="24"/>
            </w:rPr>
          </w:pPr>
          <w:r w:rsidRPr="003C0615">
            <w:rPr>
              <w:rFonts w:ascii="Tahoma" w:hAnsi="Tahoma" w:cs="Tahoma"/>
              <w:color w:val="000000" w:themeColor="text1"/>
              <w:sz w:val="24"/>
              <w:szCs w:val="24"/>
            </w:rPr>
            <w:t>Attention is drawn to the plagiarism and unfair practice policies of both the University and of ILM.</w:t>
          </w:r>
        </w:p>
        <w:p w14:paraId="3DE48541" w14:textId="77777777" w:rsidR="00A45277" w:rsidRPr="003C0615" w:rsidRDefault="00A45277" w:rsidP="00A45277">
          <w:pPr>
            <w:spacing w:before="120" w:after="120"/>
            <w:rPr>
              <w:rFonts w:ascii="Tahoma" w:hAnsi="Tahoma" w:cs="Tahoma"/>
              <w:color w:val="000000" w:themeColor="text1"/>
              <w:sz w:val="24"/>
              <w:szCs w:val="24"/>
            </w:rPr>
          </w:pPr>
          <w:r w:rsidRPr="003C0615">
            <w:rPr>
              <w:b/>
              <w:bCs/>
              <w:color w:val="000000" w:themeColor="text1"/>
              <w:sz w:val="16"/>
              <w:szCs w:val="16"/>
            </w:rPr>
            <w:t>Permission for ILM to use this script</w:t>
          </w:r>
          <w:r w:rsidRPr="003C0615">
            <w:rPr>
              <w:color w:val="000000" w:themeColor="text1"/>
              <w:sz w:val="16"/>
              <w:szCs w:val="16"/>
            </w:rPr>
            <w:br/>
          </w:r>
          <w:r w:rsidRPr="003C0615">
            <w:rPr>
              <w:rFonts w:cs="Arial"/>
              <w:color w:val="000000" w:themeColor="text1"/>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3C0615">
            <w:rPr>
              <w:rFonts w:cs="Arial"/>
              <w:b/>
              <w:bCs/>
              <w:color w:val="000000" w:themeColor="text1"/>
              <w:sz w:val="16"/>
              <w:szCs w:val="16"/>
            </w:rPr>
            <w:t>□</w:t>
          </w:r>
        </w:p>
        <w:p w14:paraId="625660F1" w14:textId="77777777" w:rsidR="00A45277" w:rsidRPr="003C0615" w:rsidRDefault="00A45277" w:rsidP="008346D5">
          <w:pPr>
            <w:spacing w:before="120" w:after="120" w:line="360" w:lineRule="auto"/>
            <w:rPr>
              <w:rFonts w:ascii="Tahoma" w:hAnsi="Tahoma" w:cs="Tahoma"/>
              <w:color w:val="000000" w:themeColor="text1"/>
              <w:sz w:val="24"/>
              <w:szCs w:val="24"/>
            </w:rPr>
          </w:pPr>
        </w:p>
        <w:p w14:paraId="1E8CE651" w14:textId="532740AB" w:rsidR="00885114" w:rsidRPr="003C0615" w:rsidRDefault="00885114" w:rsidP="00A45277">
          <w:pPr>
            <w:rPr>
              <w:rFonts w:ascii="Tahoma" w:hAnsi="Tahoma" w:cs="Tahoma"/>
              <w:color w:val="000000" w:themeColor="text1"/>
              <w:sz w:val="24"/>
              <w:szCs w:val="24"/>
            </w:rPr>
          </w:pPr>
        </w:p>
        <w:sdt>
          <w:sdtPr>
            <w:rPr>
              <w:rFonts w:asciiTheme="minorHAnsi" w:eastAsiaTheme="minorHAnsi" w:hAnsiTheme="minorHAnsi" w:cstheme="minorBidi"/>
              <w:color w:val="000000" w:themeColor="text1"/>
              <w:sz w:val="22"/>
              <w:szCs w:val="22"/>
              <w:lang w:val="en-GB"/>
            </w:rPr>
            <w:id w:val="1199351396"/>
            <w:docPartObj>
              <w:docPartGallery w:val="Table of Contents"/>
              <w:docPartUnique/>
            </w:docPartObj>
          </w:sdtPr>
          <w:sdtEndPr>
            <w:rPr>
              <w:b/>
              <w:bCs/>
              <w:noProof/>
            </w:rPr>
          </w:sdtEndPr>
          <w:sdtContent>
            <w:p w14:paraId="1E6C77B6" w14:textId="6A56EC90" w:rsidR="00885114" w:rsidRPr="003C0615" w:rsidRDefault="00885114">
              <w:pPr>
                <w:pStyle w:val="TOCHeading"/>
                <w:rPr>
                  <w:color w:val="000000" w:themeColor="text1"/>
                </w:rPr>
              </w:pPr>
              <w:r w:rsidRPr="003C0615">
                <w:rPr>
                  <w:color w:val="000000" w:themeColor="text1"/>
                </w:rPr>
                <w:t>Table of Contents</w:t>
              </w:r>
            </w:p>
            <w:p w14:paraId="54C3617C" w14:textId="271E12EC" w:rsidR="00B220CB" w:rsidRPr="003C0615" w:rsidRDefault="00885114">
              <w:pPr>
                <w:pStyle w:val="TOC2"/>
                <w:tabs>
                  <w:tab w:val="right" w:leader="dot" w:pos="9350"/>
                </w:tabs>
                <w:rPr>
                  <w:rFonts w:eastAsiaTheme="minorEastAsia"/>
                  <w:noProof/>
                  <w:color w:val="000000" w:themeColor="text1"/>
                  <w:lang w:eastAsia="en-GB"/>
                </w:rPr>
              </w:pPr>
              <w:r w:rsidRPr="003C0615">
                <w:rPr>
                  <w:color w:val="000000" w:themeColor="text1"/>
                </w:rPr>
                <w:fldChar w:fldCharType="begin"/>
              </w:r>
              <w:r w:rsidRPr="003C0615">
                <w:rPr>
                  <w:color w:val="000000" w:themeColor="text1"/>
                </w:rPr>
                <w:instrText xml:space="preserve"> TOC \o "1-3" \h \z \u </w:instrText>
              </w:r>
              <w:r w:rsidRPr="003C0615">
                <w:rPr>
                  <w:color w:val="000000" w:themeColor="text1"/>
                </w:rPr>
                <w:fldChar w:fldCharType="separate"/>
              </w:r>
              <w:hyperlink w:anchor="_Toc511311653" w:history="1">
                <w:r w:rsidR="00B220CB" w:rsidRPr="003C0615">
                  <w:rPr>
                    <w:rStyle w:val="Hyperlink"/>
                    <w:noProof/>
                    <w:color w:val="000000" w:themeColor="text1"/>
                  </w:rPr>
                  <w:t>Introduction</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_Toc511311653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3</w:t>
                </w:r>
                <w:r w:rsidR="00B220CB" w:rsidRPr="003C0615">
                  <w:rPr>
                    <w:noProof/>
                    <w:webHidden/>
                    <w:color w:val="000000" w:themeColor="text1"/>
                  </w:rPr>
                  <w:fldChar w:fldCharType="end"/>
                </w:r>
              </w:hyperlink>
            </w:p>
            <w:p w14:paraId="667FB879" w14:textId="6D5E158E" w:rsidR="00B220CB" w:rsidRPr="003C0615" w:rsidRDefault="00C40452">
              <w:pPr>
                <w:pStyle w:val="TOC2"/>
                <w:tabs>
                  <w:tab w:val="right" w:leader="dot" w:pos="9350"/>
                </w:tabs>
                <w:rPr>
                  <w:rFonts w:eastAsiaTheme="minorEastAsia"/>
                  <w:noProof/>
                  <w:color w:val="000000" w:themeColor="text1"/>
                  <w:lang w:eastAsia="en-GB"/>
                </w:rPr>
              </w:pPr>
              <w:hyperlink w:anchor="_Toc511311654" w:history="1">
                <w:r w:rsidR="00B220CB" w:rsidRPr="003C0615">
                  <w:rPr>
                    <w:rStyle w:val="Hyperlink"/>
                    <w:noProof/>
                    <w:color w:val="000000" w:themeColor="text1"/>
                  </w:rPr>
                  <w:t>Section 1</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_Toc511311654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3</w:t>
                </w:r>
                <w:r w:rsidR="00B220CB" w:rsidRPr="003C0615">
                  <w:rPr>
                    <w:noProof/>
                    <w:webHidden/>
                    <w:color w:val="000000" w:themeColor="text1"/>
                  </w:rPr>
                  <w:fldChar w:fldCharType="end"/>
                </w:r>
              </w:hyperlink>
            </w:p>
            <w:p w14:paraId="4CD4DF69" w14:textId="2D2A0602" w:rsidR="00B220CB" w:rsidRPr="003C0615" w:rsidRDefault="00C40452">
              <w:pPr>
                <w:pStyle w:val="TOC2"/>
                <w:tabs>
                  <w:tab w:val="right" w:leader="dot" w:pos="9350"/>
                </w:tabs>
                <w:rPr>
                  <w:rFonts w:eastAsiaTheme="minorEastAsia"/>
                  <w:noProof/>
                  <w:color w:val="000000" w:themeColor="text1"/>
                  <w:lang w:eastAsia="en-GB"/>
                </w:rPr>
              </w:pPr>
              <w:hyperlink w:anchor="_Toc511311655" w:history="1">
                <w:r w:rsidR="00B220CB" w:rsidRPr="003C0615">
                  <w:rPr>
                    <w:rStyle w:val="Hyperlink"/>
                    <w:noProof/>
                    <w:color w:val="000000" w:themeColor="text1"/>
                  </w:rPr>
                  <w:t>Section 2</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_Toc511311655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3</w:t>
                </w:r>
                <w:r w:rsidR="00B220CB" w:rsidRPr="003C0615">
                  <w:rPr>
                    <w:noProof/>
                    <w:webHidden/>
                    <w:color w:val="000000" w:themeColor="text1"/>
                  </w:rPr>
                  <w:fldChar w:fldCharType="end"/>
                </w:r>
              </w:hyperlink>
            </w:p>
            <w:p w14:paraId="1D8B96BD" w14:textId="6E1245E4" w:rsidR="00B220CB" w:rsidRPr="003C0615" w:rsidRDefault="00C40452">
              <w:pPr>
                <w:pStyle w:val="TOC2"/>
                <w:tabs>
                  <w:tab w:val="right" w:leader="dot" w:pos="9350"/>
                </w:tabs>
                <w:rPr>
                  <w:rFonts w:eastAsiaTheme="minorEastAsia"/>
                  <w:noProof/>
                  <w:color w:val="000000" w:themeColor="text1"/>
                  <w:lang w:eastAsia="en-GB"/>
                </w:rPr>
              </w:pPr>
              <w:hyperlink w:anchor="_Toc511311656" w:history="1">
                <w:r w:rsidR="00B220CB" w:rsidRPr="003C0615">
                  <w:rPr>
                    <w:rStyle w:val="Hyperlink"/>
                    <w:noProof/>
                    <w:color w:val="000000" w:themeColor="text1"/>
                  </w:rPr>
                  <w:t>Section 3</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_Toc511311656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3</w:t>
                </w:r>
                <w:r w:rsidR="00B220CB" w:rsidRPr="003C0615">
                  <w:rPr>
                    <w:noProof/>
                    <w:webHidden/>
                    <w:color w:val="000000" w:themeColor="text1"/>
                  </w:rPr>
                  <w:fldChar w:fldCharType="end"/>
                </w:r>
              </w:hyperlink>
            </w:p>
            <w:p w14:paraId="0F22911A" w14:textId="76D13DC0" w:rsidR="00B220CB" w:rsidRPr="003C0615" w:rsidRDefault="00C40452">
              <w:pPr>
                <w:pStyle w:val="TOC2"/>
                <w:tabs>
                  <w:tab w:val="right" w:leader="dot" w:pos="9350"/>
                </w:tabs>
                <w:rPr>
                  <w:rFonts w:eastAsiaTheme="minorEastAsia"/>
                  <w:noProof/>
                  <w:color w:val="000000" w:themeColor="text1"/>
                  <w:lang w:eastAsia="en-GB"/>
                </w:rPr>
              </w:pPr>
              <w:hyperlink w:anchor="_Toc511311657" w:history="1">
                <w:r w:rsidR="00B220CB" w:rsidRPr="003C0615">
                  <w:rPr>
                    <w:rStyle w:val="Hyperlink"/>
                    <w:noProof/>
                    <w:color w:val="000000" w:themeColor="text1"/>
                  </w:rPr>
                  <w:t>Section 4</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_Toc511311657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4</w:t>
                </w:r>
                <w:r w:rsidR="00B220CB" w:rsidRPr="003C0615">
                  <w:rPr>
                    <w:noProof/>
                    <w:webHidden/>
                    <w:color w:val="000000" w:themeColor="text1"/>
                  </w:rPr>
                  <w:fldChar w:fldCharType="end"/>
                </w:r>
              </w:hyperlink>
            </w:p>
            <w:p w14:paraId="3C254E04" w14:textId="0DC5756E" w:rsidR="00B220CB" w:rsidRPr="003C0615" w:rsidRDefault="00C40452">
              <w:pPr>
                <w:pStyle w:val="TOC2"/>
                <w:tabs>
                  <w:tab w:val="right" w:leader="dot" w:pos="9350"/>
                </w:tabs>
                <w:rPr>
                  <w:rFonts w:eastAsiaTheme="minorEastAsia"/>
                  <w:noProof/>
                  <w:color w:val="000000" w:themeColor="text1"/>
                  <w:lang w:eastAsia="en-GB"/>
                </w:rPr>
              </w:pPr>
              <w:hyperlink w:anchor="_Toc511311658" w:history="1">
                <w:r w:rsidR="00B220CB" w:rsidRPr="003C0615">
                  <w:rPr>
                    <w:rStyle w:val="Hyperlink"/>
                    <w:noProof/>
                    <w:color w:val="000000" w:themeColor="text1"/>
                  </w:rPr>
                  <w:t>Conclusion</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_Toc511311658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4</w:t>
                </w:r>
                <w:r w:rsidR="00B220CB" w:rsidRPr="003C0615">
                  <w:rPr>
                    <w:noProof/>
                    <w:webHidden/>
                    <w:color w:val="000000" w:themeColor="text1"/>
                  </w:rPr>
                  <w:fldChar w:fldCharType="end"/>
                </w:r>
              </w:hyperlink>
            </w:p>
            <w:p w14:paraId="7E2EB270" w14:textId="6B7A0593" w:rsidR="00B220CB" w:rsidRPr="003C0615" w:rsidRDefault="00C40452">
              <w:pPr>
                <w:pStyle w:val="TOC2"/>
                <w:tabs>
                  <w:tab w:val="right" w:leader="dot" w:pos="9350"/>
                </w:tabs>
                <w:rPr>
                  <w:rFonts w:eastAsiaTheme="minorEastAsia"/>
                  <w:noProof/>
                  <w:color w:val="000000" w:themeColor="text1"/>
                  <w:lang w:eastAsia="en-GB"/>
                </w:rPr>
              </w:pPr>
              <w:hyperlink w:anchor="_Toc511311659" w:history="1">
                <w:r w:rsidR="00B220CB" w:rsidRPr="003C0615">
                  <w:rPr>
                    <w:rStyle w:val="Hyperlink"/>
                    <w:noProof/>
                    <w:color w:val="000000" w:themeColor="text1"/>
                  </w:rPr>
                  <w:t>References</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_Toc511311659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5</w:t>
                </w:r>
                <w:r w:rsidR="00B220CB" w:rsidRPr="003C0615">
                  <w:rPr>
                    <w:noProof/>
                    <w:webHidden/>
                    <w:color w:val="000000" w:themeColor="text1"/>
                  </w:rPr>
                  <w:fldChar w:fldCharType="end"/>
                </w:r>
              </w:hyperlink>
            </w:p>
            <w:p w14:paraId="60805B5C" w14:textId="0BB827C5" w:rsidR="00B220CB" w:rsidRPr="003C0615" w:rsidRDefault="00C40452">
              <w:pPr>
                <w:pStyle w:val="TOC2"/>
                <w:tabs>
                  <w:tab w:val="right" w:leader="dot" w:pos="9350"/>
                </w:tabs>
                <w:rPr>
                  <w:rFonts w:eastAsiaTheme="minorEastAsia"/>
                  <w:noProof/>
                  <w:color w:val="000000" w:themeColor="text1"/>
                  <w:lang w:eastAsia="en-GB"/>
                </w:rPr>
              </w:pPr>
              <w:hyperlink w:anchor="_Toc511311660" w:history="1">
                <w:r w:rsidR="00B220CB" w:rsidRPr="003C0615">
                  <w:rPr>
                    <w:rStyle w:val="Hyperlink"/>
                    <w:noProof/>
                    <w:color w:val="000000" w:themeColor="text1"/>
                  </w:rPr>
                  <w:t>Appendix 1</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_Toc511311660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6</w:t>
                </w:r>
                <w:r w:rsidR="00B220CB" w:rsidRPr="003C0615">
                  <w:rPr>
                    <w:noProof/>
                    <w:webHidden/>
                    <w:color w:val="000000" w:themeColor="text1"/>
                  </w:rPr>
                  <w:fldChar w:fldCharType="end"/>
                </w:r>
              </w:hyperlink>
            </w:p>
            <w:p w14:paraId="373DCF2F" w14:textId="20548520" w:rsidR="00B220CB" w:rsidRPr="003C0615" w:rsidRDefault="00C40452">
              <w:pPr>
                <w:pStyle w:val="TOC2"/>
                <w:tabs>
                  <w:tab w:val="right" w:leader="dot" w:pos="9350"/>
                </w:tabs>
                <w:rPr>
                  <w:rFonts w:eastAsiaTheme="minorEastAsia"/>
                  <w:noProof/>
                  <w:color w:val="000000" w:themeColor="text1"/>
                  <w:lang w:eastAsia="en-GB"/>
                </w:rPr>
              </w:pPr>
              <w:hyperlink w:anchor="_Toc511311661" w:history="1">
                <w:r w:rsidR="00B220CB" w:rsidRPr="003C0615">
                  <w:rPr>
                    <w:rStyle w:val="Hyperlink"/>
                    <w:noProof/>
                    <w:color w:val="000000" w:themeColor="text1"/>
                  </w:rPr>
                  <w:t>Appendix 2</w:t>
                </w:r>
                <w:r w:rsidR="00B220CB" w:rsidRPr="003C0615">
                  <w:rPr>
                    <w:noProof/>
                    <w:webHidden/>
                    <w:color w:val="000000" w:themeColor="text1"/>
                  </w:rPr>
                  <w:tab/>
                </w:r>
                <w:r w:rsidR="00B220CB" w:rsidRPr="003C0615">
                  <w:rPr>
                    <w:noProof/>
                    <w:webHidden/>
                    <w:color w:val="000000" w:themeColor="text1"/>
                  </w:rPr>
                  <w:fldChar w:fldCharType="begin"/>
                </w:r>
                <w:r w:rsidR="00B220CB" w:rsidRPr="003C0615">
                  <w:rPr>
                    <w:noProof/>
                    <w:webHidden/>
                    <w:color w:val="000000" w:themeColor="text1"/>
                  </w:rPr>
                  <w:instrText xml:space="preserve"> PAGEREF _Toc511311661 \h </w:instrText>
                </w:r>
                <w:r w:rsidR="00B220CB" w:rsidRPr="003C0615">
                  <w:rPr>
                    <w:noProof/>
                    <w:webHidden/>
                    <w:color w:val="000000" w:themeColor="text1"/>
                  </w:rPr>
                </w:r>
                <w:r w:rsidR="00B220CB" w:rsidRPr="003C0615">
                  <w:rPr>
                    <w:noProof/>
                    <w:webHidden/>
                    <w:color w:val="000000" w:themeColor="text1"/>
                  </w:rPr>
                  <w:fldChar w:fldCharType="separate"/>
                </w:r>
                <w:r w:rsidR="00B220CB" w:rsidRPr="003C0615">
                  <w:rPr>
                    <w:noProof/>
                    <w:webHidden/>
                    <w:color w:val="000000" w:themeColor="text1"/>
                  </w:rPr>
                  <w:t>7</w:t>
                </w:r>
                <w:r w:rsidR="00B220CB" w:rsidRPr="003C0615">
                  <w:rPr>
                    <w:noProof/>
                    <w:webHidden/>
                    <w:color w:val="000000" w:themeColor="text1"/>
                  </w:rPr>
                  <w:fldChar w:fldCharType="end"/>
                </w:r>
              </w:hyperlink>
            </w:p>
            <w:p w14:paraId="42394321" w14:textId="122FF47F" w:rsidR="00885114" w:rsidRPr="003C0615" w:rsidRDefault="00885114">
              <w:pPr>
                <w:rPr>
                  <w:color w:val="000000" w:themeColor="text1"/>
                </w:rPr>
              </w:pPr>
              <w:r w:rsidRPr="003C0615">
                <w:rPr>
                  <w:b/>
                  <w:bCs/>
                  <w:noProof/>
                  <w:color w:val="000000" w:themeColor="text1"/>
                </w:rPr>
                <w:fldChar w:fldCharType="end"/>
              </w:r>
            </w:p>
          </w:sdtContent>
        </w:sdt>
        <w:p w14:paraId="79077526" w14:textId="08A434DE" w:rsidR="00885114" w:rsidRPr="003C0615" w:rsidRDefault="00885114" w:rsidP="00885114">
          <w:pPr>
            <w:pStyle w:val="TOCHeading"/>
            <w:rPr>
              <w:color w:val="000000" w:themeColor="text1"/>
            </w:rPr>
          </w:pPr>
        </w:p>
        <w:p w14:paraId="68FE57E8" w14:textId="78CB06D9" w:rsidR="00715A8B" w:rsidRPr="003C0615" w:rsidRDefault="00C40452" w:rsidP="00885114">
          <w:pPr>
            <w:spacing w:before="120" w:after="120" w:line="360" w:lineRule="auto"/>
            <w:rPr>
              <w:rFonts w:ascii="Tahoma" w:hAnsi="Tahoma" w:cs="Tahoma"/>
              <w:color w:val="000000" w:themeColor="text1"/>
              <w:sz w:val="24"/>
              <w:szCs w:val="24"/>
            </w:rPr>
          </w:pPr>
        </w:p>
      </w:sdtContent>
    </w:sdt>
    <w:p w14:paraId="1A7CBFC3" w14:textId="18394979" w:rsidR="00F53EF8" w:rsidRPr="003C0615" w:rsidRDefault="007A0F0B" w:rsidP="00885114">
      <w:pPr>
        <w:rPr>
          <w:color w:val="000000" w:themeColor="text1"/>
        </w:rPr>
      </w:pPr>
      <w:r w:rsidRPr="003C0615">
        <w:rPr>
          <w:color w:val="000000" w:themeColor="text1"/>
        </w:rPr>
        <w:br w:type="page"/>
      </w:r>
    </w:p>
    <w:p w14:paraId="3ED55503" w14:textId="79943E29" w:rsidR="00D2291D" w:rsidRPr="00DD63DC" w:rsidRDefault="0006008A" w:rsidP="00703AA7">
      <w:pPr>
        <w:pStyle w:val="Heading2"/>
        <w:spacing w:before="0"/>
        <w:rPr>
          <w:rFonts w:ascii="Arial" w:hAnsi="Arial" w:cs="Arial"/>
          <w:b/>
          <w:bCs/>
          <w:color w:val="000000" w:themeColor="text1"/>
          <w:sz w:val="24"/>
          <w:szCs w:val="24"/>
        </w:rPr>
      </w:pPr>
      <w:bookmarkStart w:id="0" w:name="_Toc456901515"/>
      <w:bookmarkStart w:id="1" w:name="_Toc511311653"/>
      <w:r w:rsidRPr="00DD63DC">
        <w:rPr>
          <w:rFonts w:ascii="Arial" w:hAnsi="Arial" w:cs="Arial"/>
          <w:b/>
          <w:bCs/>
          <w:color w:val="000000" w:themeColor="text1"/>
          <w:sz w:val="24"/>
          <w:szCs w:val="24"/>
        </w:rPr>
        <w:lastRenderedPageBreak/>
        <w:t>Introduction</w:t>
      </w:r>
      <w:bookmarkEnd w:id="0"/>
      <w:bookmarkEnd w:id="1"/>
      <w:r w:rsidRPr="00DD63DC">
        <w:rPr>
          <w:rFonts w:ascii="Arial" w:hAnsi="Arial" w:cs="Arial"/>
          <w:b/>
          <w:bCs/>
          <w:color w:val="000000" w:themeColor="text1"/>
          <w:sz w:val="24"/>
          <w:szCs w:val="24"/>
        </w:rPr>
        <w:t xml:space="preserve"> </w:t>
      </w:r>
    </w:p>
    <w:p w14:paraId="47219298" w14:textId="5F3F39EC" w:rsidR="0030173B" w:rsidRDefault="0030173B" w:rsidP="00703AA7">
      <w:pPr>
        <w:rPr>
          <w:rFonts w:ascii="Arial" w:hAnsi="Arial" w:cs="Arial"/>
          <w:color w:val="000000" w:themeColor="text1"/>
        </w:rPr>
      </w:pPr>
    </w:p>
    <w:p w14:paraId="179DEB4D" w14:textId="221BF8E2" w:rsidR="00FE327C" w:rsidRDefault="00FE327C" w:rsidP="00703AA7">
      <w:pPr>
        <w:rPr>
          <w:rFonts w:ascii="Arial" w:hAnsi="Arial" w:cs="Arial"/>
          <w:color w:val="000000" w:themeColor="text1"/>
        </w:rPr>
      </w:pPr>
      <w:r>
        <w:rPr>
          <w:rFonts w:ascii="Arial" w:hAnsi="Arial" w:cs="Arial"/>
          <w:color w:val="000000" w:themeColor="text1"/>
        </w:rPr>
        <w:t xml:space="preserve">There are several definitions for Strategy </w:t>
      </w:r>
      <w:r w:rsidR="006828C9">
        <w:rPr>
          <w:rFonts w:ascii="Arial" w:hAnsi="Arial" w:cs="Arial"/>
          <w:color w:val="000000" w:themeColor="text1"/>
        </w:rPr>
        <w:t>in various books written by Nickols (2016). The basics of it in reference to</w:t>
      </w:r>
      <w:r w:rsidR="001F3FAF">
        <w:rPr>
          <w:rFonts w:ascii="Arial" w:hAnsi="Arial" w:cs="Arial"/>
          <w:color w:val="000000" w:themeColor="text1"/>
        </w:rPr>
        <w:t>,</w:t>
      </w:r>
      <w:r w:rsidR="006828C9">
        <w:rPr>
          <w:rFonts w:ascii="Arial" w:hAnsi="Arial" w:cs="Arial"/>
          <w:color w:val="000000" w:themeColor="text1"/>
        </w:rPr>
        <w:t xml:space="preserve"> directional decisions</w:t>
      </w:r>
      <w:r w:rsidR="00E03DBE">
        <w:rPr>
          <w:rFonts w:ascii="Arial" w:hAnsi="Arial" w:cs="Arial"/>
          <w:color w:val="000000" w:themeColor="text1"/>
        </w:rPr>
        <w:t xml:space="preserve"> and important actions taken, to meet an end goal.</w:t>
      </w:r>
      <w:r w:rsidR="001F3FAF">
        <w:rPr>
          <w:rFonts w:ascii="Arial" w:hAnsi="Arial" w:cs="Arial"/>
          <w:color w:val="000000" w:themeColor="text1"/>
        </w:rPr>
        <w:t xml:space="preserve"> The report looks at how </w:t>
      </w:r>
      <w:r w:rsidR="000D3894">
        <w:rPr>
          <w:rFonts w:ascii="Arial" w:hAnsi="Arial" w:cs="Arial"/>
          <w:color w:val="000000" w:themeColor="text1"/>
        </w:rPr>
        <w:t xml:space="preserve">an </w:t>
      </w:r>
      <w:r w:rsidR="001F3FAF">
        <w:rPr>
          <w:rFonts w:ascii="Arial" w:hAnsi="Arial" w:cs="Arial"/>
          <w:color w:val="000000" w:themeColor="text1"/>
        </w:rPr>
        <w:t>organisation strategi</w:t>
      </w:r>
      <w:r w:rsidR="000D3894">
        <w:rPr>
          <w:rFonts w:ascii="Arial" w:hAnsi="Arial" w:cs="Arial"/>
          <w:color w:val="000000" w:themeColor="text1"/>
        </w:rPr>
        <w:t>zes</w:t>
      </w:r>
      <w:r w:rsidR="001F3FAF">
        <w:rPr>
          <w:rFonts w:ascii="Arial" w:hAnsi="Arial" w:cs="Arial"/>
          <w:color w:val="000000" w:themeColor="text1"/>
        </w:rPr>
        <w:t xml:space="preserve"> to fulfil goals</w:t>
      </w:r>
      <w:r w:rsidR="000D3894">
        <w:rPr>
          <w:rFonts w:ascii="Arial" w:hAnsi="Arial" w:cs="Arial"/>
          <w:color w:val="000000" w:themeColor="text1"/>
        </w:rPr>
        <w:t>,</w:t>
      </w:r>
      <w:r w:rsidR="001F3FAF">
        <w:rPr>
          <w:rFonts w:ascii="Arial" w:hAnsi="Arial" w:cs="Arial"/>
          <w:color w:val="000000" w:themeColor="text1"/>
        </w:rPr>
        <w:t xml:space="preserve"> for its success and this is carried out by looking at how the organisation</w:t>
      </w:r>
      <w:r w:rsidR="000D3894">
        <w:rPr>
          <w:rFonts w:ascii="Arial" w:hAnsi="Arial" w:cs="Arial"/>
          <w:color w:val="000000" w:themeColor="text1"/>
        </w:rPr>
        <w:t xml:space="preserve"> called Tesco PLC carries this out.</w:t>
      </w:r>
    </w:p>
    <w:p w14:paraId="7EFC4F6B" w14:textId="307FB601" w:rsidR="000D3894" w:rsidRDefault="000D3894" w:rsidP="00703AA7">
      <w:pPr>
        <w:rPr>
          <w:rFonts w:ascii="Arial" w:hAnsi="Arial" w:cs="Arial"/>
          <w:color w:val="000000" w:themeColor="text1"/>
        </w:rPr>
      </w:pPr>
    </w:p>
    <w:p w14:paraId="2E762133" w14:textId="112CBEAF" w:rsidR="000D3894" w:rsidRDefault="000D3894" w:rsidP="00703AA7">
      <w:pPr>
        <w:rPr>
          <w:rFonts w:ascii="Arial" w:hAnsi="Arial" w:cs="Arial"/>
          <w:color w:val="000000" w:themeColor="text1"/>
        </w:rPr>
      </w:pPr>
      <w:r>
        <w:rPr>
          <w:rFonts w:ascii="Arial" w:hAnsi="Arial" w:cs="Arial"/>
          <w:color w:val="000000" w:themeColor="text1"/>
        </w:rPr>
        <w:t>This will be carried out by</w:t>
      </w:r>
      <w:r w:rsidR="00F668DB">
        <w:rPr>
          <w:rFonts w:ascii="Arial" w:hAnsi="Arial" w:cs="Arial"/>
          <w:color w:val="000000" w:themeColor="text1"/>
        </w:rPr>
        <w:t xml:space="preserve"> first</w:t>
      </w:r>
      <w:r>
        <w:rPr>
          <w:rFonts w:ascii="Arial" w:hAnsi="Arial" w:cs="Arial"/>
          <w:color w:val="000000" w:themeColor="text1"/>
        </w:rPr>
        <w:t xml:space="preserve"> looking at the </w:t>
      </w:r>
      <w:r w:rsidR="00F668DB">
        <w:rPr>
          <w:rFonts w:ascii="Arial" w:hAnsi="Arial" w:cs="Arial"/>
          <w:color w:val="000000" w:themeColor="text1"/>
        </w:rPr>
        <w:t xml:space="preserve">internal and external </w:t>
      </w:r>
      <w:r>
        <w:rPr>
          <w:rFonts w:ascii="Arial" w:hAnsi="Arial" w:cs="Arial"/>
          <w:color w:val="000000" w:themeColor="text1"/>
        </w:rPr>
        <w:t>environment</w:t>
      </w:r>
      <w:r w:rsidR="00F668DB">
        <w:rPr>
          <w:rFonts w:ascii="Arial" w:hAnsi="Arial" w:cs="Arial"/>
          <w:color w:val="000000" w:themeColor="text1"/>
        </w:rPr>
        <w:t xml:space="preserve">al affects, followed by a stakeholder analysis of Tesco. Then utilising some strategy models </w:t>
      </w:r>
      <w:r w:rsidR="003F08AB">
        <w:rPr>
          <w:rFonts w:ascii="Arial" w:hAnsi="Arial" w:cs="Arial"/>
          <w:color w:val="000000" w:themeColor="text1"/>
        </w:rPr>
        <w:t>on the organisation with an appraisal of Tesco’s strategic direction. Then finally, recommend new strategies which Tesco could adopt.</w:t>
      </w:r>
    </w:p>
    <w:p w14:paraId="4CAB3354" w14:textId="77777777" w:rsidR="000D3894" w:rsidRPr="003C0615" w:rsidRDefault="000D3894" w:rsidP="00703AA7">
      <w:pPr>
        <w:rPr>
          <w:rFonts w:ascii="Arial" w:hAnsi="Arial" w:cs="Arial"/>
          <w:color w:val="000000" w:themeColor="text1"/>
        </w:rPr>
      </w:pPr>
    </w:p>
    <w:p w14:paraId="39ABF710" w14:textId="75170FA9" w:rsidR="00975CE2" w:rsidRDefault="00975CE2" w:rsidP="00975CE2">
      <w:pPr>
        <w:rPr>
          <w:rFonts w:ascii="Arial" w:hAnsi="Arial" w:cs="Arial"/>
          <w:bCs/>
        </w:rPr>
      </w:pPr>
      <w:r w:rsidRPr="00975CE2">
        <w:rPr>
          <w:rFonts w:ascii="Arial" w:hAnsi="Arial" w:cs="Arial"/>
          <w:bCs/>
        </w:rPr>
        <w:t>Overview of TESCO PLC Company</w:t>
      </w:r>
    </w:p>
    <w:p w14:paraId="10C0BF7B" w14:textId="77777777" w:rsidR="00975CE2" w:rsidRPr="00975CE2" w:rsidRDefault="00975CE2" w:rsidP="00975CE2">
      <w:pPr>
        <w:rPr>
          <w:rFonts w:ascii="Arial" w:hAnsi="Arial" w:cs="Arial"/>
          <w:bCs/>
        </w:rPr>
      </w:pPr>
    </w:p>
    <w:p w14:paraId="1531FBA1" w14:textId="4C9CBEFC" w:rsidR="00975CE2" w:rsidRDefault="00975CE2" w:rsidP="00961DF6">
      <w:pPr>
        <w:ind w:firstLine="720"/>
        <w:rPr>
          <w:rFonts w:ascii="Arial" w:hAnsi="Arial" w:cs="Arial"/>
        </w:rPr>
      </w:pPr>
      <w:r w:rsidRPr="00975CE2">
        <w:rPr>
          <w:rFonts w:ascii="Arial" w:hAnsi="Arial" w:cs="Arial"/>
        </w:rPr>
        <w:t>Tesco PLC Company is Hertfordshire-based retail for grocery and supermarket. Tesco presents itself as the world's third-largest retailer sales-wise and the second-largest in terms of revenue after Wal-Mart. A wide range of other businesses also competes with Tesco other than Wal-Mart and Carrefour on a global scale in the United Kingdom (Moura, 2021). A third of the market in the United Kingdom belongs to this corporation. Tesco PLC has bases in 12 nations throughout Asia, Europe, and beyond. In 1919 Tesco was founded in a set of market stalls by Jack Cohen. Burnt Oak, Middlesex, was the site of the first Tesco store, which opened in 1929. The company now offers a wide variety of high-quality products backed by a strong brand image. More than 537,784 people work for the corporation, which has 6351 locations worldwide. The company's most recent year brought in almost 65 billion pounds, with an operating profit of £3.074 billion (Awadari &amp; Kanwal, 2019). Excellent customer service and strategic execution have propelled the company to new heights, giving it a distinct advantage over its competitors.</w:t>
      </w:r>
    </w:p>
    <w:p w14:paraId="34579740" w14:textId="77777777" w:rsidR="00A07C51" w:rsidRDefault="00A07C51" w:rsidP="00975CE2">
      <w:pPr>
        <w:rPr>
          <w:rFonts w:ascii="Arial" w:hAnsi="Arial" w:cs="Arial"/>
        </w:rPr>
      </w:pPr>
    </w:p>
    <w:p w14:paraId="06366632" w14:textId="77777777" w:rsidR="0030173B" w:rsidRPr="003C0615" w:rsidRDefault="0030173B" w:rsidP="00703AA7">
      <w:pPr>
        <w:rPr>
          <w:rFonts w:ascii="Arial" w:hAnsi="Arial" w:cs="Arial"/>
          <w:color w:val="000000" w:themeColor="text1"/>
          <w:sz w:val="24"/>
          <w:szCs w:val="24"/>
        </w:rPr>
      </w:pPr>
    </w:p>
    <w:p w14:paraId="676C3CB6" w14:textId="71EAC72F" w:rsidR="00975CE2" w:rsidRPr="00DD63DC" w:rsidRDefault="002049FE" w:rsidP="00A07C51">
      <w:pPr>
        <w:pStyle w:val="Heading2"/>
        <w:spacing w:before="0"/>
        <w:rPr>
          <w:rFonts w:ascii="Arial" w:hAnsi="Arial" w:cs="Arial"/>
          <w:b/>
          <w:bCs/>
          <w:color w:val="000000" w:themeColor="text1"/>
          <w:sz w:val="24"/>
          <w:szCs w:val="24"/>
        </w:rPr>
      </w:pPr>
      <w:bookmarkStart w:id="2" w:name="_Toc511311654"/>
      <w:r w:rsidRPr="00DD63DC">
        <w:rPr>
          <w:rFonts w:ascii="Arial" w:hAnsi="Arial" w:cs="Arial"/>
          <w:b/>
          <w:bCs/>
          <w:color w:val="000000" w:themeColor="text1"/>
          <w:sz w:val="24"/>
          <w:szCs w:val="24"/>
        </w:rPr>
        <w:t>Section 1</w:t>
      </w:r>
      <w:bookmarkEnd w:id="2"/>
      <w:r w:rsidR="00A07C51" w:rsidRPr="00DD63DC">
        <w:rPr>
          <w:rFonts w:ascii="Arial" w:hAnsi="Arial" w:cs="Arial"/>
          <w:b/>
          <w:bCs/>
          <w:color w:val="000000" w:themeColor="text1"/>
          <w:sz w:val="24"/>
          <w:szCs w:val="24"/>
        </w:rPr>
        <w:t xml:space="preserve">: </w:t>
      </w:r>
      <w:r w:rsidR="00975CE2" w:rsidRPr="00DD63DC">
        <w:rPr>
          <w:rFonts w:ascii="Arial" w:hAnsi="Arial" w:cs="Arial"/>
          <w:b/>
          <w:bCs/>
          <w:color w:val="000000" w:themeColor="text1"/>
          <w:sz w:val="24"/>
          <w:szCs w:val="24"/>
        </w:rPr>
        <w:t>Depth of critical analysis for Tesco internal and external environment</w:t>
      </w:r>
    </w:p>
    <w:p w14:paraId="604DC8D0" w14:textId="77777777" w:rsidR="00A07C51" w:rsidRPr="00A07C51" w:rsidRDefault="00A07C51" w:rsidP="00A07C51"/>
    <w:p w14:paraId="3E6209C7" w14:textId="2BA467E3" w:rsidR="00975CE2" w:rsidRDefault="00975CE2" w:rsidP="00961DF6">
      <w:pPr>
        <w:ind w:firstLine="720"/>
        <w:rPr>
          <w:rFonts w:ascii="Arial" w:hAnsi="Arial" w:cs="Arial"/>
        </w:rPr>
      </w:pPr>
      <w:r w:rsidRPr="00975CE2">
        <w:rPr>
          <w:rFonts w:ascii="Arial" w:hAnsi="Arial" w:cs="Arial"/>
        </w:rPr>
        <w:t>A company's marketing influence and drive come from its marketing environment, including internal and external factors. Managers in the marketing field must be aware of their surroundings and prepare for any potential hazards or opportunities. The factors that one can control and those one cannot manage are present in the marketing environment. There are two types of marketing environments which are internal and external. Consequently, the micro and macro analysis of Tesco Plc. is as follows:</w:t>
      </w:r>
    </w:p>
    <w:p w14:paraId="5D324A80" w14:textId="77777777" w:rsidR="00A07C51" w:rsidRPr="00975CE2" w:rsidRDefault="00A07C51" w:rsidP="00975CE2">
      <w:pPr>
        <w:rPr>
          <w:rFonts w:ascii="Arial" w:hAnsi="Arial" w:cs="Arial"/>
        </w:rPr>
      </w:pPr>
    </w:p>
    <w:p w14:paraId="521DF434" w14:textId="728F38EE" w:rsidR="00975CE2" w:rsidRDefault="00975CE2" w:rsidP="00975CE2">
      <w:pPr>
        <w:rPr>
          <w:rFonts w:ascii="Arial" w:hAnsi="Arial" w:cs="Arial"/>
          <w:b/>
        </w:rPr>
      </w:pPr>
      <w:r w:rsidRPr="00975CE2">
        <w:rPr>
          <w:rFonts w:ascii="Arial" w:hAnsi="Arial" w:cs="Arial"/>
          <w:b/>
        </w:rPr>
        <w:t>Macro-environment</w:t>
      </w:r>
    </w:p>
    <w:p w14:paraId="7B88013C" w14:textId="77777777" w:rsidR="00A07C51" w:rsidRPr="00975CE2" w:rsidRDefault="00A07C51" w:rsidP="00975CE2">
      <w:pPr>
        <w:rPr>
          <w:rFonts w:ascii="Arial" w:hAnsi="Arial" w:cs="Arial"/>
          <w:b/>
        </w:rPr>
      </w:pPr>
    </w:p>
    <w:p w14:paraId="622E51B8" w14:textId="6778CF6B" w:rsidR="00975CE2" w:rsidRDefault="00975CE2" w:rsidP="00961DF6">
      <w:pPr>
        <w:ind w:firstLine="720"/>
        <w:rPr>
          <w:rFonts w:ascii="Arial" w:hAnsi="Arial" w:cs="Arial"/>
        </w:rPr>
      </w:pPr>
      <w:r w:rsidRPr="00975CE2">
        <w:rPr>
          <w:rFonts w:ascii="Arial" w:hAnsi="Arial" w:cs="Arial"/>
        </w:rPr>
        <w:t>The use of PESTLE analysis can access the macro-environment of Tesco (Sijabat, 2019). Changes that occur in the macro-environment do affect not only Tesco but also cause an impact on other players in the retail market. The macro-environment factors can also cause an effect the Porter Five Forces that shape the competitive and strategic landscape. These factors can impact Tesco's competitive advantage, consumer service industry, and profit levels overall. The PESTEL analysis also talks about how Tesco will be able to run its business in the current macro environment.</w:t>
      </w:r>
    </w:p>
    <w:p w14:paraId="20BA1D0E" w14:textId="77777777" w:rsidR="00211AB8" w:rsidRPr="00975CE2" w:rsidRDefault="00211AB8" w:rsidP="00975CE2">
      <w:pPr>
        <w:rPr>
          <w:rFonts w:ascii="Arial" w:hAnsi="Arial" w:cs="Arial"/>
        </w:rPr>
      </w:pPr>
    </w:p>
    <w:p w14:paraId="2601F017" w14:textId="1518D817" w:rsidR="00975CE2" w:rsidRDefault="00975CE2" w:rsidP="00975CE2">
      <w:pPr>
        <w:rPr>
          <w:rFonts w:ascii="Arial" w:hAnsi="Arial" w:cs="Arial"/>
        </w:rPr>
      </w:pPr>
      <w:r w:rsidRPr="00975CE2">
        <w:rPr>
          <w:rFonts w:ascii="Arial" w:hAnsi="Arial" w:cs="Arial"/>
        </w:rPr>
        <w:t>Political Factors</w:t>
      </w:r>
    </w:p>
    <w:p w14:paraId="7526AAF1" w14:textId="77777777" w:rsidR="00211AB8" w:rsidRPr="00975CE2" w:rsidRDefault="00211AB8" w:rsidP="00975CE2">
      <w:pPr>
        <w:rPr>
          <w:rFonts w:ascii="Arial" w:hAnsi="Arial" w:cs="Arial"/>
        </w:rPr>
      </w:pPr>
    </w:p>
    <w:p w14:paraId="33645994" w14:textId="4DE722DA" w:rsidR="00975CE2" w:rsidRDefault="00975CE2" w:rsidP="00961DF6">
      <w:pPr>
        <w:ind w:firstLine="720"/>
        <w:rPr>
          <w:rFonts w:ascii="Arial" w:hAnsi="Arial" w:cs="Arial"/>
        </w:rPr>
      </w:pPr>
      <w:r w:rsidRPr="00975CE2">
        <w:rPr>
          <w:rFonts w:ascii="Arial" w:hAnsi="Arial" w:cs="Arial"/>
        </w:rPr>
        <w:lastRenderedPageBreak/>
        <w:t>Predictions of Tesco's long-term profitability in a specific location occur with a thorough understanding of local politics. Tesco has outlets in more than a dozen countries, meaning that it faces exposure to a wide range of political risk factors. Spreading out political risks across multiple nations is critical to succeeding in the dynamic retail industry. Since its inception in the United Kingdom, Tesco has expanded across the globe. The company must follow the set of guidelines to cater for compliance and safety of its products as one of the largest retailers in the world. Because the company does a lot of business in numerous nations, it needs to be aware of the political climate in each of those countries.</w:t>
      </w:r>
    </w:p>
    <w:p w14:paraId="3730E1F5" w14:textId="77777777" w:rsidR="00DF14D1" w:rsidRPr="00975CE2" w:rsidRDefault="00DF14D1" w:rsidP="00961DF6">
      <w:pPr>
        <w:ind w:firstLine="720"/>
        <w:rPr>
          <w:rFonts w:ascii="Arial" w:hAnsi="Arial" w:cs="Arial"/>
        </w:rPr>
      </w:pPr>
    </w:p>
    <w:p w14:paraId="2BCD5796" w14:textId="695948E5" w:rsidR="00975CE2" w:rsidRDefault="00975CE2" w:rsidP="00975CE2">
      <w:pPr>
        <w:rPr>
          <w:rFonts w:ascii="Arial" w:hAnsi="Arial" w:cs="Arial"/>
        </w:rPr>
      </w:pPr>
      <w:r w:rsidRPr="00975CE2">
        <w:rPr>
          <w:rFonts w:ascii="Arial" w:hAnsi="Arial" w:cs="Arial"/>
        </w:rPr>
        <w:t xml:space="preserve"> </w:t>
      </w:r>
      <w:r w:rsidR="00DF14D1">
        <w:rPr>
          <w:rFonts w:ascii="Arial" w:hAnsi="Arial" w:cs="Arial"/>
        </w:rPr>
        <w:tab/>
      </w:r>
      <w:r w:rsidRPr="00975CE2">
        <w:rPr>
          <w:rFonts w:ascii="Arial" w:hAnsi="Arial" w:cs="Arial"/>
        </w:rPr>
        <w:t>The political landscape must remain stable. In an unstable political context, commerce is less likely to take place. Sales could be negatively affected or positively affected by Brexit, depending on the level of limitations imposed. Trade conflict between the US and China affects Tesco too (Swanson, 2018). As a result, they have worked hard to devise a successful marketing strategy for their goods. The company's profitability will be affected by changes in tax regulations in the countries from which it obtains its products.</w:t>
      </w:r>
    </w:p>
    <w:p w14:paraId="04B36DFD" w14:textId="77777777" w:rsidR="00A07C51" w:rsidRPr="00975CE2" w:rsidRDefault="00A07C51" w:rsidP="00975CE2">
      <w:pPr>
        <w:rPr>
          <w:rFonts w:ascii="Arial" w:hAnsi="Arial" w:cs="Arial"/>
        </w:rPr>
      </w:pPr>
    </w:p>
    <w:p w14:paraId="7FA5E0A4" w14:textId="711802F0" w:rsidR="00975CE2" w:rsidRDefault="00975CE2" w:rsidP="00975CE2">
      <w:pPr>
        <w:rPr>
          <w:rFonts w:ascii="Arial" w:hAnsi="Arial" w:cs="Arial"/>
        </w:rPr>
      </w:pPr>
      <w:r w:rsidRPr="00975CE2">
        <w:rPr>
          <w:rFonts w:ascii="Arial" w:hAnsi="Arial" w:cs="Arial"/>
        </w:rPr>
        <w:t>Economic Factors</w:t>
      </w:r>
    </w:p>
    <w:p w14:paraId="4135A687" w14:textId="77777777" w:rsidR="00A07C51" w:rsidRPr="00975CE2" w:rsidRDefault="00A07C51" w:rsidP="00975CE2">
      <w:pPr>
        <w:rPr>
          <w:rFonts w:ascii="Arial" w:hAnsi="Arial" w:cs="Arial"/>
        </w:rPr>
      </w:pPr>
    </w:p>
    <w:p w14:paraId="19A7FAE7" w14:textId="3C5800A7" w:rsidR="00975CE2" w:rsidRDefault="00975CE2" w:rsidP="00961DF6">
      <w:pPr>
        <w:ind w:firstLine="720"/>
        <w:rPr>
          <w:rFonts w:ascii="Arial" w:hAnsi="Arial" w:cs="Arial"/>
        </w:rPr>
      </w:pPr>
      <w:r w:rsidRPr="00975CE2">
        <w:rPr>
          <w:rFonts w:ascii="Arial" w:hAnsi="Arial" w:cs="Arial"/>
        </w:rPr>
        <w:t>Various macroeconomic factors, such as interest rates, inflation, economic cycle, and foreign exchange rates, influence an economy's spending and investment levels. For a company to be a market leader, it must be able to deal with micro environmental issues like competitive norms. Tesco can predict how the sector will grow over time by examining economic statistics such as growth rate, inflation, consumer spending and retail growth rate. A corporation must pay close attention to what is happening in the countries where it does business to ensure that its distribution, revenue, sales, and profit do not reduce. The company should be knowledgeable about the various tax policies available to take advantage of them. Despite globalization, the United Kingdom continues to be the most prosperous country globally. Many of the company's distribution methods would be affected, and the price of rebuilding may rise significantly if UK legislation changes. Tesco should also keep in mind that a product's price can influence how many people purchase it. If a product's price rises but the number of consumers falls, sales will drop.</w:t>
      </w:r>
    </w:p>
    <w:p w14:paraId="171DE647" w14:textId="77777777" w:rsidR="00A07C51" w:rsidRPr="00975CE2" w:rsidRDefault="00A07C51" w:rsidP="00975CE2">
      <w:pPr>
        <w:rPr>
          <w:rFonts w:ascii="Arial" w:hAnsi="Arial" w:cs="Arial"/>
        </w:rPr>
      </w:pPr>
    </w:p>
    <w:p w14:paraId="5C512531" w14:textId="304B6036" w:rsidR="00975CE2" w:rsidRDefault="00975CE2" w:rsidP="00975CE2">
      <w:pPr>
        <w:rPr>
          <w:rFonts w:ascii="Arial" w:hAnsi="Arial" w:cs="Arial"/>
        </w:rPr>
      </w:pPr>
      <w:r w:rsidRPr="00975CE2">
        <w:rPr>
          <w:rFonts w:ascii="Arial" w:hAnsi="Arial" w:cs="Arial"/>
        </w:rPr>
        <w:t>Social factors</w:t>
      </w:r>
    </w:p>
    <w:p w14:paraId="56B6C2B2" w14:textId="77777777" w:rsidR="00A07C51" w:rsidRPr="00975CE2" w:rsidRDefault="00A07C51" w:rsidP="00975CE2">
      <w:pPr>
        <w:rPr>
          <w:rFonts w:ascii="Arial" w:hAnsi="Arial" w:cs="Arial"/>
        </w:rPr>
      </w:pPr>
    </w:p>
    <w:p w14:paraId="300CA843" w14:textId="10A66627" w:rsidR="00975CE2" w:rsidRDefault="00975CE2" w:rsidP="00961DF6">
      <w:pPr>
        <w:ind w:firstLine="720"/>
        <w:rPr>
          <w:rFonts w:ascii="Arial" w:hAnsi="Arial" w:cs="Arial"/>
        </w:rPr>
      </w:pPr>
      <w:r w:rsidRPr="00975CE2">
        <w:rPr>
          <w:rFonts w:ascii="Arial" w:hAnsi="Arial" w:cs="Arial"/>
        </w:rPr>
        <w:t xml:space="preserve">As a result of many societal trends, people in the United Kingdom are more likely to buy in bulk and undertake one-stop shopping. There are now more non-food things available for purchase at Tesco. The attitudes and ideas of consumers face influence from society and significantly impact what they want to buy. Tesco's point of view is that organic products are becoming increasingly popular due to the growing interest in one's own health among the general public. Because of the baby boomers, the number of elderly individuals in the United Kingdom has risen. While the birth rate has declined, life expectancy has increased in recent years (Ho &amp; Hendi, 2018). As a result, consumer preferences have evolved, and Tesco should consider this. </w:t>
      </w:r>
    </w:p>
    <w:p w14:paraId="5AA99825" w14:textId="77777777" w:rsidR="00174216" w:rsidRPr="00975CE2" w:rsidRDefault="00174216" w:rsidP="00961DF6">
      <w:pPr>
        <w:ind w:firstLine="720"/>
        <w:rPr>
          <w:rFonts w:ascii="Arial" w:hAnsi="Arial" w:cs="Arial"/>
        </w:rPr>
      </w:pPr>
    </w:p>
    <w:p w14:paraId="709FD58C" w14:textId="373EA333" w:rsidR="00975CE2" w:rsidRDefault="00174216" w:rsidP="00174216">
      <w:pPr>
        <w:rPr>
          <w:rFonts w:ascii="Arial" w:hAnsi="Arial" w:cs="Arial"/>
        </w:rPr>
      </w:pPr>
      <w:r>
        <w:rPr>
          <w:rFonts w:ascii="Arial" w:hAnsi="Arial" w:cs="Arial"/>
        </w:rPr>
        <w:tab/>
      </w:r>
      <w:r w:rsidR="00975CE2" w:rsidRPr="00975CE2">
        <w:rPr>
          <w:rFonts w:ascii="Arial" w:hAnsi="Arial" w:cs="Arial"/>
        </w:rPr>
        <w:t xml:space="preserve">Online grocery shopping takes into account the mobility concerns of senior consumers. Younger people have a positive perspective of the Internet and are ready to use it. Individuals are also more inclined to use the Internet and purchase goods online if they are wealthy. Thus, Tesco has been able to adjust its business model in response to this social shift. Changing the quality and pricing of a company's products, competitor moves, or consumer shopping services can significantly impact customer perceptions of a business. When it comes to business strategies, they must keep up with the trends. For example, Horsemeat was an important topic </w:t>
      </w:r>
      <w:r w:rsidR="00975CE2" w:rsidRPr="00975CE2">
        <w:rPr>
          <w:rFonts w:ascii="Arial" w:hAnsi="Arial" w:cs="Arial"/>
        </w:rPr>
        <w:lastRenderedPageBreak/>
        <w:t>of debate in 2013. Tesco faced implications as Horse jokes were in some of Tesco's hamburger patties, and a result of the firm failing to deliver on its promises, which resulted in a decrease in sales (Smith &amp; McElwee, 2021).</w:t>
      </w:r>
    </w:p>
    <w:p w14:paraId="1EEAC9C5" w14:textId="77777777" w:rsidR="00A07C51" w:rsidRPr="00975CE2" w:rsidRDefault="00A07C51" w:rsidP="00975CE2">
      <w:pPr>
        <w:rPr>
          <w:rFonts w:ascii="Arial" w:hAnsi="Arial" w:cs="Arial"/>
        </w:rPr>
      </w:pPr>
    </w:p>
    <w:p w14:paraId="3ED05971" w14:textId="5E699849" w:rsidR="00975CE2" w:rsidRDefault="00975CE2" w:rsidP="00975CE2">
      <w:pPr>
        <w:rPr>
          <w:rFonts w:ascii="Arial" w:hAnsi="Arial" w:cs="Arial"/>
        </w:rPr>
      </w:pPr>
      <w:r w:rsidRPr="00975CE2">
        <w:rPr>
          <w:rFonts w:ascii="Arial" w:hAnsi="Arial" w:cs="Arial"/>
        </w:rPr>
        <w:t xml:space="preserve">Technological Factors </w:t>
      </w:r>
    </w:p>
    <w:p w14:paraId="14040B81" w14:textId="77777777" w:rsidR="00A07C51" w:rsidRPr="00975CE2" w:rsidRDefault="00A07C51" w:rsidP="00975CE2">
      <w:pPr>
        <w:rPr>
          <w:rFonts w:ascii="Arial" w:hAnsi="Arial" w:cs="Arial"/>
        </w:rPr>
      </w:pPr>
    </w:p>
    <w:p w14:paraId="5A040802" w14:textId="0DECB8B8" w:rsidR="00975CE2" w:rsidRDefault="00975CE2" w:rsidP="00961DF6">
      <w:pPr>
        <w:ind w:firstLine="720"/>
        <w:rPr>
          <w:rFonts w:ascii="Arial" w:hAnsi="Arial" w:cs="Arial"/>
        </w:rPr>
      </w:pPr>
      <w:r w:rsidRPr="00975CE2">
        <w:rPr>
          <w:rFonts w:ascii="Arial" w:hAnsi="Arial" w:cs="Arial"/>
        </w:rPr>
        <w:t>Businesses must keep pace with the rapid evolution of technology to remain competitive in today's market. Tesco has significantly benefited from the use of technology in various ways. One of the most well-known examples is creating and using online shopping with home delivery. It has also reduced labour expenses by making shopping more convenient for customers through self-service checkout kiosks. To reduce its carbon footprint over the long term, Tesco has also invested heavily in energy-saving measures. Almost all of Tesco's supply chain management is automated. Retailers like Tesco utilize supply chain management solutions to keep up with their competitors and save money (Pandey et al., 2021).</w:t>
      </w:r>
    </w:p>
    <w:p w14:paraId="4D772044" w14:textId="77777777" w:rsidR="000F41A5" w:rsidRPr="00975CE2" w:rsidRDefault="000F41A5" w:rsidP="00975CE2">
      <w:pPr>
        <w:rPr>
          <w:rFonts w:ascii="Arial" w:hAnsi="Arial" w:cs="Arial"/>
        </w:rPr>
      </w:pPr>
    </w:p>
    <w:p w14:paraId="67B42B43" w14:textId="07F5B41B" w:rsidR="00975CE2" w:rsidRDefault="00975CE2" w:rsidP="00961DF6">
      <w:pPr>
        <w:ind w:firstLine="720"/>
        <w:rPr>
          <w:rFonts w:ascii="Arial" w:hAnsi="Arial" w:cs="Arial"/>
        </w:rPr>
      </w:pPr>
      <w:r w:rsidRPr="00975CE2">
        <w:rPr>
          <w:rFonts w:ascii="Arial" w:hAnsi="Arial" w:cs="Arial"/>
        </w:rPr>
        <w:t>Competitive advantages that are difficult for competitors to replicate are the most valuable. Tesco should keep an eye on emerging technology since it could benefit the organization. In Tesco's distribution system, customers can choose their preferred wine through their phones, aided by mobile technology. To be successful in the retail industry, Tesco executives must understand the disruptive technologies. When a new technology does not work as well as the old technology, it becomes a disruptive technology. Customer preference for technology already in use over new technology results from this. People are more thrilled about user-friendly disruptive technology that is easier to utilize. While large corporations are concerned about losing market share and revenue, small firms will see disruptive technology as an opportunity to expand. These micro-enterprises will use technological advancements to remain competitive in their respective markets. Over time, as more and more people use this disruptive technology, it will become increasingly helpful to them. Owners of businesses who fail to seize this technical opportunity may suffer financial losses due to their inaction.</w:t>
      </w:r>
    </w:p>
    <w:p w14:paraId="780B23CE" w14:textId="77777777" w:rsidR="00A07C51" w:rsidRPr="00975CE2" w:rsidRDefault="00A07C51" w:rsidP="00975CE2">
      <w:pPr>
        <w:rPr>
          <w:rFonts w:ascii="Arial" w:hAnsi="Arial" w:cs="Arial"/>
        </w:rPr>
      </w:pPr>
    </w:p>
    <w:p w14:paraId="05EC90D2" w14:textId="42B8873C" w:rsidR="00975CE2" w:rsidRDefault="00975CE2" w:rsidP="00975CE2">
      <w:pPr>
        <w:rPr>
          <w:rFonts w:ascii="Arial" w:hAnsi="Arial" w:cs="Arial"/>
        </w:rPr>
      </w:pPr>
      <w:r w:rsidRPr="00975CE2">
        <w:rPr>
          <w:rFonts w:ascii="Arial" w:hAnsi="Arial" w:cs="Arial"/>
        </w:rPr>
        <w:t>Environmental factors</w:t>
      </w:r>
    </w:p>
    <w:p w14:paraId="3C28E569" w14:textId="77777777" w:rsidR="00A07C51" w:rsidRPr="00975CE2" w:rsidRDefault="00A07C51" w:rsidP="00975CE2">
      <w:pPr>
        <w:rPr>
          <w:rFonts w:ascii="Arial" w:hAnsi="Arial" w:cs="Arial"/>
        </w:rPr>
      </w:pPr>
    </w:p>
    <w:p w14:paraId="5F7C75D8" w14:textId="0CDCFE6A" w:rsidR="00975CE2" w:rsidRDefault="00975CE2" w:rsidP="00961DF6">
      <w:pPr>
        <w:ind w:firstLine="720"/>
        <w:rPr>
          <w:rFonts w:ascii="Arial" w:hAnsi="Arial" w:cs="Arial"/>
        </w:rPr>
      </w:pPr>
      <w:r w:rsidRPr="00975CE2">
        <w:rPr>
          <w:rFonts w:ascii="Arial" w:hAnsi="Arial" w:cs="Arial"/>
        </w:rPr>
        <w:t>A company may have difficulty making a profit in multiple markets because each has its own set of environmental standards or regulations to follow. Even within the same country, States may have significantly divergent ecological and liability laws (</w:t>
      </w:r>
      <w:r w:rsidR="00211AB8" w:rsidRPr="00975CE2">
        <w:rPr>
          <w:rFonts w:ascii="Arial" w:hAnsi="Arial" w:cs="Arial"/>
        </w:rPr>
        <w:t>Kostka &amp;</w:t>
      </w:r>
      <w:r w:rsidRPr="00975CE2">
        <w:rPr>
          <w:rFonts w:ascii="Arial" w:hAnsi="Arial" w:cs="Arial"/>
        </w:rPr>
        <w:t xml:space="preserve"> Zhang, 2018). On the other hand, many European governments offer tax benefits to enterprises that use renewable energy. Companies should conduct extensive studies on environmental regulations before expanding into new markets or taking on new business ventures in existing ones. Tesco has been involved in several initiatives to improve the environment and the state of the globe. Part two of Tesco's plan is to eliminate everything that cannot be used, recycled, or reused. Tesco has helped the environment and made the world a better place through several initiatives. As a result, a closed-loop system will reduce the amount of waste sent to landfills.</w:t>
      </w:r>
    </w:p>
    <w:p w14:paraId="5EAD8AF3" w14:textId="77777777" w:rsidR="00A07C51" w:rsidRPr="00975CE2" w:rsidRDefault="00A07C51" w:rsidP="00975CE2">
      <w:pPr>
        <w:rPr>
          <w:rFonts w:ascii="Arial" w:hAnsi="Arial" w:cs="Arial"/>
        </w:rPr>
      </w:pPr>
    </w:p>
    <w:p w14:paraId="44C1CA17" w14:textId="71F3AA7D" w:rsidR="00975CE2" w:rsidRDefault="00975CE2" w:rsidP="00975CE2">
      <w:pPr>
        <w:rPr>
          <w:rFonts w:ascii="Arial" w:hAnsi="Arial" w:cs="Arial"/>
        </w:rPr>
      </w:pPr>
      <w:r w:rsidRPr="00975CE2">
        <w:rPr>
          <w:rFonts w:ascii="Arial" w:hAnsi="Arial" w:cs="Arial"/>
        </w:rPr>
        <w:t>Legal Factors</w:t>
      </w:r>
    </w:p>
    <w:p w14:paraId="2BE07FB6" w14:textId="77777777" w:rsidR="00A07C51" w:rsidRPr="00975CE2" w:rsidRDefault="00A07C51" w:rsidP="00975CE2">
      <w:pPr>
        <w:rPr>
          <w:rFonts w:ascii="Arial" w:hAnsi="Arial" w:cs="Arial"/>
        </w:rPr>
      </w:pPr>
    </w:p>
    <w:p w14:paraId="5972C067" w14:textId="79CC0319" w:rsidR="00975CE2" w:rsidRDefault="00975CE2" w:rsidP="00961DF6">
      <w:pPr>
        <w:ind w:firstLine="720"/>
        <w:rPr>
          <w:rFonts w:ascii="Arial" w:hAnsi="Arial" w:cs="Arial"/>
        </w:rPr>
      </w:pPr>
      <w:r w:rsidRPr="00975CE2">
        <w:rPr>
          <w:rFonts w:ascii="Arial" w:hAnsi="Arial" w:cs="Arial"/>
        </w:rPr>
        <w:t xml:space="preserve">When the government implements new policies, they directly impact businesses. It must adhere to both domestic and international market norms to function correctly. The success of Tesco is also affected by government laws and regulations. The Food Retailing Commission 2004 came up with a Code of Practice that would limit things like price adjustments without notice and the collection of money from suppliers, among many others (Popović et al., 2018). Fuel discounts depend on the money customers spend at Tesco's supermarket stores. In addition, there are numerous bargains to be found. Because Tesco sells so many different </w:t>
      </w:r>
      <w:r w:rsidRPr="00975CE2">
        <w:rPr>
          <w:rFonts w:ascii="Arial" w:hAnsi="Arial" w:cs="Arial"/>
        </w:rPr>
        <w:lastRenderedPageBreak/>
        <w:t>products and services, it must adhere to many regulations. The government is altering how it distributes direct agriculture subsidies. Farmer-supermarket price negotiations may hamper if they cannot meet Tesco's agricultural requirements. Firms like Tesco might face heavy fines if they force farmers to sell their commodities for less than their costs allows.</w:t>
      </w:r>
    </w:p>
    <w:p w14:paraId="229FE054" w14:textId="77777777" w:rsidR="00211AB8" w:rsidRPr="00975CE2" w:rsidRDefault="00211AB8" w:rsidP="00975CE2">
      <w:pPr>
        <w:rPr>
          <w:rFonts w:ascii="Arial" w:hAnsi="Arial" w:cs="Arial"/>
        </w:rPr>
      </w:pPr>
    </w:p>
    <w:p w14:paraId="224C0669" w14:textId="3D38C733" w:rsidR="00975CE2" w:rsidRDefault="00975CE2" w:rsidP="00961DF6">
      <w:pPr>
        <w:ind w:firstLine="720"/>
        <w:rPr>
          <w:rFonts w:ascii="Arial" w:hAnsi="Arial" w:cs="Arial"/>
        </w:rPr>
      </w:pPr>
      <w:r w:rsidRPr="00975CE2">
        <w:rPr>
          <w:rFonts w:ascii="Arial" w:hAnsi="Arial" w:cs="Arial"/>
        </w:rPr>
        <w:t>Credit cards and savings accounts are also available at Tesco. To ensure that small enterprises providing financial services adhere to all regulations, the Prudential Regulatory Authority conducts inspections. The Prudential Regulatory Authority's goal is to ensure that disruptions in financial services do not harm individuals (Chiu et al., 2021).</w:t>
      </w:r>
    </w:p>
    <w:p w14:paraId="463ECAB7" w14:textId="77777777" w:rsidR="00A07C51" w:rsidRPr="00975CE2" w:rsidRDefault="00A07C51" w:rsidP="00975CE2">
      <w:pPr>
        <w:rPr>
          <w:rFonts w:ascii="Arial" w:hAnsi="Arial" w:cs="Arial"/>
        </w:rPr>
      </w:pPr>
    </w:p>
    <w:p w14:paraId="599EBF90" w14:textId="30D8AE22" w:rsidR="00975CE2" w:rsidRDefault="00975CE2" w:rsidP="00975CE2">
      <w:pPr>
        <w:rPr>
          <w:rFonts w:ascii="Arial" w:hAnsi="Arial" w:cs="Arial"/>
          <w:b/>
        </w:rPr>
      </w:pPr>
      <w:r w:rsidRPr="00975CE2">
        <w:rPr>
          <w:rFonts w:ascii="Arial" w:hAnsi="Arial" w:cs="Arial"/>
          <w:b/>
        </w:rPr>
        <w:t>Microenvironment</w:t>
      </w:r>
    </w:p>
    <w:p w14:paraId="039D1B9B" w14:textId="77777777" w:rsidR="00A07C51" w:rsidRPr="00975CE2" w:rsidRDefault="00A07C51" w:rsidP="00975CE2">
      <w:pPr>
        <w:rPr>
          <w:rFonts w:ascii="Arial" w:hAnsi="Arial" w:cs="Arial"/>
          <w:b/>
        </w:rPr>
      </w:pPr>
    </w:p>
    <w:p w14:paraId="3A27D3DA" w14:textId="60DD7DC8" w:rsidR="00975CE2" w:rsidRDefault="00975CE2" w:rsidP="00961DF6">
      <w:pPr>
        <w:ind w:firstLine="720"/>
        <w:rPr>
          <w:rFonts w:ascii="Arial" w:hAnsi="Arial" w:cs="Arial"/>
        </w:rPr>
      </w:pPr>
      <w:r w:rsidRPr="00975CE2">
        <w:rPr>
          <w:rFonts w:ascii="Arial" w:hAnsi="Arial" w:cs="Arial"/>
        </w:rPr>
        <w:t>The microenvironment directly impacts a company's competitive advantage and strategy. In today's competitive business world, businesses must be able to survive, expand, and make money to succeed. Porter's Five Forces analysis and SWOT analysis will examine the market environment where Tesco operates. Using Porter's framework, one can see how to change the competitive environment and get into an industry's competitive and opportunity structures. SWOT stands for strengths, weaknesses, opportunities, and threats for a particular organization. SWOT analysis of Tesco is relevant in examining its strengths compared to its competitors and its disadvantages that lender it to have competitive disadvantages against its competitors.</w:t>
      </w:r>
    </w:p>
    <w:p w14:paraId="2C2F47B6" w14:textId="77777777" w:rsidR="00A07C51" w:rsidRPr="00975CE2" w:rsidRDefault="00A07C51" w:rsidP="00975CE2">
      <w:pPr>
        <w:rPr>
          <w:rFonts w:ascii="Arial" w:hAnsi="Arial" w:cs="Arial"/>
        </w:rPr>
      </w:pPr>
    </w:p>
    <w:p w14:paraId="24F71230" w14:textId="2CDED3BB" w:rsidR="00975CE2" w:rsidRDefault="00975CE2" w:rsidP="00975CE2">
      <w:pPr>
        <w:rPr>
          <w:rFonts w:ascii="Arial" w:hAnsi="Arial" w:cs="Arial"/>
          <w:b/>
        </w:rPr>
      </w:pPr>
      <w:r w:rsidRPr="00975CE2">
        <w:rPr>
          <w:rFonts w:ascii="Arial" w:hAnsi="Arial" w:cs="Arial"/>
          <w:b/>
        </w:rPr>
        <w:t>Tesco's SWOT analysis</w:t>
      </w:r>
    </w:p>
    <w:p w14:paraId="7B6D72C3" w14:textId="77777777" w:rsidR="00A07C51" w:rsidRPr="00975CE2" w:rsidRDefault="00A07C51" w:rsidP="00975CE2">
      <w:pPr>
        <w:rPr>
          <w:rFonts w:ascii="Arial" w:hAnsi="Arial" w:cs="Arial"/>
          <w:b/>
        </w:rPr>
      </w:pPr>
    </w:p>
    <w:p w14:paraId="3581738F" w14:textId="01D8671B" w:rsidR="00975CE2" w:rsidRDefault="00975CE2" w:rsidP="00975CE2">
      <w:pPr>
        <w:rPr>
          <w:rFonts w:ascii="Arial" w:hAnsi="Arial" w:cs="Arial"/>
        </w:rPr>
      </w:pPr>
      <w:r w:rsidRPr="00975CE2">
        <w:rPr>
          <w:rFonts w:ascii="Arial" w:hAnsi="Arial" w:cs="Arial"/>
        </w:rPr>
        <w:t>Strengths</w:t>
      </w:r>
    </w:p>
    <w:p w14:paraId="65F81860" w14:textId="77777777" w:rsidR="00211AB8" w:rsidRPr="00975CE2" w:rsidRDefault="00211AB8" w:rsidP="00975CE2">
      <w:pPr>
        <w:rPr>
          <w:rFonts w:ascii="Arial" w:hAnsi="Arial" w:cs="Arial"/>
        </w:rPr>
      </w:pPr>
    </w:p>
    <w:p w14:paraId="423B10A9" w14:textId="770F41AE" w:rsidR="00975CE2" w:rsidRDefault="00975CE2" w:rsidP="00961DF6">
      <w:pPr>
        <w:ind w:firstLine="720"/>
        <w:rPr>
          <w:rFonts w:ascii="Arial" w:hAnsi="Arial" w:cs="Arial"/>
        </w:rPr>
      </w:pPr>
      <w:r w:rsidRPr="00975CE2">
        <w:rPr>
          <w:rFonts w:ascii="Arial" w:hAnsi="Arial" w:cs="Arial"/>
        </w:rPr>
        <w:t>Tesco can keep costs low because it has many stores in the United Kingdom and strong negotiation power. As a result, the corporation has negotiated favourable terms with its suppliers and always looks out for its bottom line. Also, Customers of Tesco pay taxes to the government in sales taxes and VAT. Tesco is responsible for collecting and remitting these taxes on behalf of the federal and state governments. Multinational enterprises generate only a small percentage of net sales (Moura, 2021).</w:t>
      </w:r>
    </w:p>
    <w:p w14:paraId="1F57AEC4" w14:textId="77777777" w:rsidR="00211AB8" w:rsidRPr="00975CE2" w:rsidRDefault="00211AB8" w:rsidP="00975CE2">
      <w:pPr>
        <w:rPr>
          <w:rFonts w:ascii="Arial" w:hAnsi="Arial" w:cs="Arial"/>
        </w:rPr>
      </w:pPr>
    </w:p>
    <w:p w14:paraId="6EFB09D2" w14:textId="452CC844" w:rsidR="00975CE2" w:rsidRDefault="00975CE2" w:rsidP="00961DF6">
      <w:pPr>
        <w:ind w:firstLine="720"/>
        <w:rPr>
          <w:rFonts w:ascii="Arial" w:hAnsi="Arial" w:cs="Arial"/>
        </w:rPr>
      </w:pPr>
      <w:r w:rsidRPr="00975CE2">
        <w:rPr>
          <w:rFonts w:ascii="Arial" w:hAnsi="Arial" w:cs="Arial"/>
        </w:rPr>
        <w:t>Tesco faces strength where the expansion into new markets was a success for the business; Taobao.com and the Chinese e-commerce platform. There is a lot of technology in Tesco supermarkets, making them the supermarkets of the future; the corporation has developed automated barcode stocktaking technologies and an App to make it easier for customers to shop. Customers have faith in a product's longevity, which increases the brand's value. Shoppers can get everything from clothing to home furnishings to school supplies at Tesco. Health care, pensions, and training programs, among other perks, are high on the list of priorities for firm employees. Tesco has also begun utilizing technology to enhance customer service and operational efficiency. There are now automated parking systems installations by the corporation. They have invested a lot of money in technology and operations to keep their consumers.</w:t>
      </w:r>
    </w:p>
    <w:p w14:paraId="620BBAEF" w14:textId="77777777" w:rsidR="00211AB8" w:rsidRPr="00975CE2" w:rsidRDefault="00211AB8" w:rsidP="00975CE2">
      <w:pPr>
        <w:rPr>
          <w:rFonts w:ascii="Arial" w:hAnsi="Arial" w:cs="Arial"/>
        </w:rPr>
      </w:pPr>
    </w:p>
    <w:p w14:paraId="2FB4A2BE" w14:textId="130D3F1F" w:rsidR="00975CE2" w:rsidRDefault="00975CE2" w:rsidP="00975CE2">
      <w:pPr>
        <w:rPr>
          <w:rFonts w:ascii="Arial" w:hAnsi="Arial" w:cs="Arial"/>
        </w:rPr>
      </w:pPr>
      <w:r w:rsidRPr="00975CE2">
        <w:rPr>
          <w:rFonts w:ascii="Arial" w:hAnsi="Arial" w:cs="Arial"/>
        </w:rPr>
        <w:t>Weaknesses</w:t>
      </w:r>
    </w:p>
    <w:p w14:paraId="7E3B54AF" w14:textId="77777777" w:rsidR="00211AB8" w:rsidRPr="00975CE2" w:rsidRDefault="00211AB8" w:rsidP="00975CE2">
      <w:pPr>
        <w:rPr>
          <w:rFonts w:ascii="Arial" w:hAnsi="Arial" w:cs="Arial"/>
        </w:rPr>
      </w:pPr>
    </w:p>
    <w:p w14:paraId="3FD42AC4" w14:textId="77777777" w:rsidR="00975CE2" w:rsidRPr="00975CE2" w:rsidRDefault="00975CE2" w:rsidP="00961DF6">
      <w:pPr>
        <w:ind w:firstLine="720"/>
        <w:rPr>
          <w:rFonts w:ascii="Arial" w:hAnsi="Arial" w:cs="Arial"/>
        </w:rPr>
      </w:pPr>
      <w:r w:rsidRPr="00975CE2">
        <w:rPr>
          <w:rFonts w:ascii="Arial" w:hAnsi="Arial" w:cs="Arial"/>
        </w:rPr>
        <w:t xml:space="preserve">Tesco had to quit the United States and Japan in 2012 due to several operational issues. After five years in the US and nine years in Japan, Tesco was forcefully closed in these locations due to a decline in export business (bin Mohd Shah, 2018). Tesco was penalized for not disclosing its actual earnings in its financial reports. As a result of falling operating profits, </w:t>
      </w:r>
      <w:r w:rsidRPr="00975CE2">
        <w:rPr>
          <w:rFonts w:ascii="Arial" w:hAnsi="Arial" w:cs="Arial"/>
        </w:rPr>
        <w:lastRenderedPageBreak/>
        <w:t>stock prices fell by almost 9% in 2018 October. In the first six months of 2020, the company's shares declined by 6 per cent (Moura, 2021). There have been financial errors. Tesco's economic performance has suffered due to its numerous debt and credit card issues. The low-cost strategy of Tesco may affect profits in the long run, even though it is the cheapest shop in the United Kingdom. Several markets have seen a lack of operational performance. Numerous regions of Tesco's retail and grocery businesses have struggled. A lack of market research is to blame for Tesco's poor performance in this area, according to analysts (bin Mohd Shah, 2018). Club cards were at the centre of a controversy. Tesco quietly changed its Club card program without anyone's notice. Clients were enraged, and the public was outraged as well.</w:t>
      </w:r>
    </w:p>
    <w:p w14:paraId="49796F94" w14:textId="79BBCE38" w:rsidR="00975CE2" w:rsidRDefault="00975CE2" w:rsidP="00975CE2">
      <w:pPr>
        <w:rPr>
          <w:rFonts w:ascii="Arial" w:hAnsi="Arial" w:cs="Arial"/>
        </w:rPr>
      </w:pPr>
      <w:r w:rsidRPr="00975CE2">
        <w:rPr>
          <w:rFonts w:ascii="Arial" w:hAnsi="Arial" w:cs="Arial"/>
        </w:rPr>
        <w:t>Forbidding landlords from renting their facilities to rival supermarkets near Tesco outlets has been dubbed dishonest business practices. When rivals are restricted, they break the spirit of fairness in the marketplace, which is illegal and unethical. It did not work out well for Tesco since they did not prepare effectively for their global expansion. Consequently, the company's global market share got lost. Tesco will return to being a British retailer in 2020 after withdrawing from the worldwide market (Tirawatnapong &amp; Fernando, 2018). People from Malaysia, the Czech Republic, China, Thailand, and Slovakia Poland have invested in this business. However, Tesco is no longer active outside of the United Kingdom and Ireland due to regulatory restrictions.</w:t>
      </w:r>
    </w:p>
    <w:p w14:paraId="34E32604" w14:textId="77777777" w:rsidR="00211AB8" w:rsidRPr="00975CE2" w:rsidRDefault="00211AB8" w:rsidP="00975CE2">
      <w:pPr>
        <w:rPr>
          <w:rFonts w:ascii="Arial" w:hAnsi="Arial" w:cs="Arial"/>
        </w:rPr>
      </w:pPr>
    </w:p>
    <w:p w14:paraId="52BA5A74" w14:textId="77777777" w:rsidR="00975CE2" w:rsidRPr="00975CE2" w:rsidRDefault="00975CE2" w:rsidP="00961DF6">
      <w:pPr>
        <w:ind w:firstLine="720"/>
        <w:rPr>
          <w:rFonts w:ascii="Arial" w:hAnsi="Arial" w:cs="Arial"/>
        </w:rPr>
      </w:pPr>
      <w:r w:rsidRPr="00975CE2">
        <w:rPr>
          <w:rFonts w:ascii="Arial" w:hAnsi="Arial" w:cs="Arial"/>
        </w:rPr>
        <w:t>Abuse and exploitation were committed against workers at Tesco's distribution sites in Malaysia and Thailand, which affected the company. Even when the economy is terrible, consumers dislike companies with greedy CEOs. Additionally, to the dismay of Tesco shareholders, the wish to enhance a departing CEO's remuneration from $1.98 million in June 2020 up to over $2.8 million in 2020 June faced rejection (Tirawatnapong &amp; Fernando, 2018).</w:t>
      </w:r>
    </w:p>
    <w:p w14:paraId="522CFE3D" w14:textId="0936420C" w:rsidR="00975CE2" w:rsidRDefault="00975CE2" w:rsidP="00975CE2">
      <w:pPr>
        <w:rPr>
          <w:rFonts w:ascii="Arial" w:hAnsi="Arial" w:cs="Arial"/>
        </w:rPr>
      </w:pPr>
      <w:r w:rsidRPr="00975CE2">
        <w:rPr>
          <w:rFonts w:ascii="Arial" w:hAnsi="Arial" w:cs="Arial"/>
        </w:rPr>
        <w:t>Opportunities</w:t>
      </w:r>
    </w:p>
    <w:p w14:paraId="01906AA1" w14:textId="77777777" w:rsidR="00211AB8" w:rsidRPr="00975CE2" w:rsidRDefault="00211AB8" w:rsidP="00975CE2">
      <w:pPr>
        <w:rPr>
          <w:rFonts w:ascii="Arial" w:hAnsi="Arial" w:cs="Arial"/>
        </w:rPr>
      </w:pPr>
    </w:p>
    <w:p w14:paraId="23224BCB" w14:textId="1C5752AB" w:rsidR="00975CE2" w:rsidRDefault="00975CE2" w:rsidP="00961DF6">
      <w:pPr>
        <w:ind w:firstLine="720"/>
        <w:rPr>
          <w:rFonts w:ascii="Arial" w:hAnsi="Arial" w:cs="Arial"/>
        </w:rPr>
      </w:pPr>
      <w:r w:rsidRPr="00975CE2">
        <w:rPr>
          <w:rFonts w:ascii="Arial" w:hAnsi="Arial" w:cs="Arial"/>
        </w:rPr>
        <w:t>Tesco Company has just performed the launching of a new low-cost convenience store called Jacks. The store has grown quite swiftly. As a low-cost competitor to Aldi and Lidl, it has the potential to grow this business. There are much potential for Tesco to profit from strategic partnerships with well-known companies. That means more products and more consumers for Tesco.</w:t>
      </w:r>
    </w:p>
    <w:p w14:paraId="5D0B3C18" w14:textId="77777777" w:rsidR="00211AB8" w:rsidRPr="00975CE2" w:rsidRDefault="00211AB8" w:rsidP="00975CE2">
      <w:pPr>
        <w:rPr>
          <w:rFonts w:ascii="Arial" w:hAnsi="Arial" w:cs="Arial"/>
        </w:rPr>
      </w:pPr>
    </w:p>
    <w:p w14:paraId="75C27838" w14:textId="77777777" w:rsidR="00975CE2" w:rsidRPr="00975CE2" w:rsidRDefault="00975CE2" w:rsidP="00961DF6">
      <w:pPr>
        <w:ind w:firstLine="720"/>
        <w:rPr>
          <w:rFonts w:ascii="Arial" w:hAnsi="Arial" w:cs="Arial"/>
        </w:rPr>
      </w:pPr>
      <w:r w:rsidRPr="00975CE2">
        <w:rPr>
          <w:rFonts w:ascii="Arial" w:hAnsi="Arial" w:cs="Arial"/>
        </w:rPr>
        <w:t>Joint ventures may be a good option in locations where Tesco stores are not earning good profits. In these areas, local firms can help because they have knowledge and expertise. Tesco might strengthen and expand its online and home delivery services (Soegoto, 2021).</w:t>
      </w:r>
    </w:p>
    <w:p w14:paraId="408AF581" w14:textId="4629937A" w:rsidR="00975CE2" w:rsidRDefault="00975CE2" w:rsidP="00975CE2">
      <w:pPr>
        <w:rPr>
          <w:rFonts w:ascii="Arial" w:hAnsi="Arial" w:cs="Arial"/>
        </w:rPr>
      </w:pPr>
      <w:r w:rsidRPr="00975CE2">
        <w:rPr>
          <w:rFonts w:ascii="Arial" w:hAnsi="Arial" w:cs="Arial"/>
        </w:rPr>
        <w:t>Tesco already operates outlets in several countries that are not very well-off. The store could benefit from entering new areas, including South Korea, Indonesia, and Turkey. Coins and dollars, as well as other seemingly innocuous objects, can be dangerous when handled carelessly. A majority of customers are unwilling to pay with cash. Tesco has established its first cashless store. It wants to open more stores shortly. Consequently, for a while, Tesco promised to begin matching Aldi's pricing on a wide range of items. If Aldi's market share continues to decline, Tesco can employ this strategy to reverse the trend (Soegoto, 2021).</w:t>
      </w:r>
    </w:p>
    <w:p w14:paraId="440B8DF4" w14:textId="77777777" w:rsidR="00135359" w:rsidRPr="00975CE2" w:rsidRDefault="00135359" w:rsidP="00975CE2">
      <w:pPr>
        <w:rPr>
          <w:rFonts w:ascii="Arial" w:hAnsi="Arial" w:cs="Arial"/>
        </w:rPr>
      </w:pPr>
    </w:p>
    <w:p w14:paraId="2DF924C4" w14:textId="0A51B34B" w:rsidR="00975CE2" w:rsidRDefault="00975CE2" w:rsidP="00975CE2">
      <w:pPr>
        <w:rPr>
          <w:rFonts w:ascii="Arial" w:hAnsi="Arial" w:cs="Arial"/>
        </w:rPr>
      </w:pPr>
      <w:r w:rsidRPr="00975CE2">
        <w:rPr>
          <w:rFonts w:ascii="Arial" w:hAnsi="Arial" w:cs="Arial"/>
        </w:rPr>
        <w:t>Threats</w:t>
      </w:r>
    </w:p>
    <w:p w14:paraId="7B57FC10" w14:textId="77777777" w:rsidR="00135359" w:rsidRPr="00975CE2" w:rsidRDefault="00135359" w:rsidP="00975CE2">
      <w:pPr>
        <w:rPr>
          <w:rFonts w:ascii="Arial" w:hAnsi="Arial" w:cs="Arial"/>
        </w:rPr>
      </w:pPr>
    </w:p>
    <w:p w14:paraId="4A0430F2" w14:textId="796DFE60" w:rsidR="00975CE2" w:rsidRDefault="00975CE2" w:rsidP="00961DF6">
      <w:pPr>
        <w:ind w:firstLine="720"/>
        <w:rPr>
          <w:rFonts w:ascii="Arial" w:hAnsi="Arial" w:cs="Arial"/>
        </w:rPr>
      </w:pPr>
      <w:r w:rsidRPr="00975CE2">
        <w:rPr>
          <w:rFonts w:ascii="Arial" w:hAnsi="Arial" w:cs="Arial"/>
        </w:rPr>
        <w:t>Tesco drew criticism on social media after releasing its 2017 Christmas ad. People protested Tesco, claiming that the company did not adhere to Christian values (Mogaji, 2018). It has also been allegations that Tesco has deceived customers by selling its products as "Woodside Farms" and utilizing fictitious farm names to market them to customers. The company was sued in 2017 for the issue.</w:t>
      </w:r>
    </w:p>
    <w:p w14:paraId="0BC49FCA" w14:textId="77777777" w:rsidR="00135359" w:rsidRPr="00975CE2" w:rsidRDefault="00135359" w:rsidP="00975CE2">
      <w:pPr>
        <w:rPr>
          <w:rFonts w:ascii="Arial" w:hAnsi="Arial" w:cs="Arial"/>
        </w:rPr>
      </w:pPr>
    </w:p>
    <w:p w14:paraId="1DD6812B" w14:textId="1132C60D" w:rsidR="00975CE2" w:rsidRDefault="00975CE2" w:rsidP="00961DF6">
      <w:pPr>
        <w:ind w:firstLine="720"/>
        <w:rPr>
          <w:rFonts w:ascii="Arial" w:hAnsi="Arial" w:cs="Arial"/>
        </w:rPr>
      </w:pPr>
      <w:r w:rsidRPr="00975CE2">
        <w:rPr>
          <w:rFonts w:ascii="Arial" w:hAnsi="Arial" w:cs="Arial"/>
        </w:rPr>
        <w:lastRenderedPageBreak/>
        <w:t>There will be trade disputes and higher expenses for Tesco due to the United Kingdom's departure from the European Union. Also, some of the most popular supermarkets are vying for customers' attention. Wal-Mart, Carrefour, and Aldi's rapid development and performance may threaten Tesco's market dominance.</w:t>
      </w:r>
    </w:p>
    <w:p w14:paraId="63E4A701" w14:textId="77777777" w:rsidR="00135359" w:rsidRPr="00975CE2" w:rsidRDefault="00135359" w:rsidP="00975CE2">
      <w:pPr>
        <w:rPr>
          <w:rFonts w:ascii="Arial" w:hAnsi="Arial" w:cs="Arial"/>
        </w:rPr>
      </w:pPr>
    </w:p>
    <w:p w14:paraId="49260C83" w14:textId="55E7B9BD" w:rsidR="00975CE2" w:rsidRDefault="00975CE2" w:rsidP="00961DF6">
      <w:pPr>
        <w:ind w:firstLine="720"/>
        <w:rPr>
          <w:rFonts w:ascii="Arial" w:hAnsi="Arial" w:cs="Arial"/>
        </w:rPr>
      </w:pPr>
      <w:r w:rsidRPr="00975CE2">
        <w:rPr>
          <w:rFonts w:ascii="Arial" w:hAnsi="Arial" w:cs="Arial"/>
        </w:rPr>
        <w:t>Because of government restrictions, credit crunches, legal and tax concerns, and changes in the economy, it can be difficult for Tesco stores to operate efficiently and effectively in critical areas. There has been a threat where many businesses have seen their profits dwindle due to the recent developments that have raised the cost of doing business. In addition, supply chain issues are in jeopardy at Tesco. The store's supply chain was disrupted by a recent health pandemic, resulting in a limited selection of products for customers.</w:t>
      </w:r>
    </w:p>
    <w:p w14:paraId="35CD6279" w14:textId="77777777" w:rsidR="00135359" w:rsidRPr="00975CE2" w:rsidRDefault="00135359" w:rsidP="00975CE2">
      <w:pPr>
        <w:rPr>
          <w:rFonts w:ascii="Arial" w:hAnsi="Arial" w:cs="Arial"/>
        </w:rPr>
      </w:pPr>
    </w:p>
    <w:p w14:paraId="53BAD8C7" w14:textId="23479B7E" w:rsidR="00975CE2" w:rsidRDefault="00975CE2" w:rsidP="00975CE2">
      <w:pPr>
        <w:rPr>
          <w:rFonts w:ascii="Arial" w:hAnsi="Arial" w:cs="Arial"/>
          <w:b/>
        </w:rPr>
      </w:pPr>
      <w:r w:rsidRPr="00975CE2">
        <w:rPr>
          <w:rFonts w:ascii="Arial" w:hAnsi="Arial" w:cs="Arial"/>
          <w:b/>
        </w:rPr>
        <w:t>Porter's five forces in Tesco</w:t>
      </w:r>
    </w:p>
    <w:p w14:paraId="0D24FAF5" w14:textId="77777777" w:rsidR="00135359" w:rsidRPr="00975CE2" w:rsidRDefault="00135359" w:rsidP="00975CE2">
      <w:pPr>
        <w:rPr>
          <w:rFonts w:ascii="Arial" w:hAnsi="Arial" w:cs="Arial"/>
          <w:b/>
        </w:rPr>
      </w:pPr>
    </w:p>
    <w:p w14:paraId="421B264E" w14:textId="2E626CA2" w:rsidR="00975CE2" w:rsidRDefault="00975CE2" w:rsidP="00975CE2">
      <w:pPr>
        <w:rPr>
          <w:rFonts w:ascii="Arial" w:hAnsi="Arial" w:cs="Arial"/>
        </w:rPr>
      </w:pPr>
      <w:r w:rsidRPr="00975CE2">
        <w:rPr>
          <w:rFonts w:ascii="Arial" w:hAnsi="Arial" w:cs="Arial"/>
        </w:rPr>
        <w:t xml:space="preserve">The </w:t>
      </w:r>
      <w:r w:rsidR="00961DF6">
        <w:rPr>
          <w:rFonts w:ascii="Arial" w:hAnsi="Arial" w:cs="Arial"/>
        </w:rPr>
        <w:t>T</w:t>
      </w:r>
      <w:r w:rsidRPr="00975CE2">
        <w:rPr>
          <w:rFonts w:ascii="Arial" w:hAnsi="Arial" w:cs="Arial"/>
        </w:rPr>
        <w:t xml:space="preserve">hreat of </w:t>
      </w:r>
      <w:r w:rsidR="00961DF6">
        <w:rPr>
          <w:rFonts w:ascii="Arial" w:hAnsi="Arial" w:cs="Arial"/>
        </w:rPr>
        <w:t>N</w:t>
      </w:r>
      <w:r w:rsidRPr="00975CE2">
        <w:rPr>
          <w:rFonts w:ascii="Arial" w:hAnsi="Arial" w:cs="Arial"/>
        </w:rPr>
        <w:t xml:space="preserve">ew </w:t>
      </w:r>
      <w:r w:rsidR="00961DF6">
        <w:rPr>
          <w:rFonts w:ascii="Arial" w:hAnsi="Arial" w:cs="Arial"/>
        </w:rPr>
        <w:t>E</w:t>
      </w:r>
      <w:r w:rsidRPr="00975CE2">
        <w:rPr>
          <w:rFonts w:ascii="Arial" w:hAnsi="Arial" w:cs="Arial"/>
        </w:rPr>
        <w:t>ntrants</w:t>
      </w:r>
    </w:p>
    <w:p w14:paraId="31CD1945" w14:textId="77777777" w:rsidR="00211AB8" w:rsidRPr="00975CE2" w:rsidRDefault="00211AB8" w:rsidP="00975CE2">
      <w:pPr>
        <w:rPr>
          <w:rFonts w:ascii="Arial" w:hAnsi="Arial" w:cs="Arial"/>
        </w:rPr>
      </w:pPr>
    </w:p>
    <w:p w14:paraId="26995A46" w14:textId="724A9E49" w:rsidR="00975CE2" w:rsidRDefault="00975CE2" w:rsidP="00961DF6">
      <w:pPr>
        <w:ind w:firstLine="720"/>
        <w:rPr>
          <w:rFonts w:ascii="Arial" w:hAnsi="Arial" w:cs="Arial"/>
        </w:rPr>
      </w:pPr>
      <w:r w:rsidRPr="00975CE2">
        <w:rPr>
          <w:rFonts w:ascii="Arial" w:hAnsi="Arial" w:cs="Arial"/>
        </w:rPr>
        <w:t>Tesco is a British retailer with a broad product line. New market entrants may threaten Tesco's business. It would also be necessary to compete against Tesco's exceptional sales and marketing efforts to compete with them. Large corporations may permanently save money and negotiate better deals for themselves. A new business cannot give substantial discounts on its items, which disadvantages them.</w:t>
      </w:r>
    </w:p>
    <w:p w14:paraId="33A74FD4" w14:textId="77777777" w:rsidR="00135359" w:rsidRPr="00975CE2" w:rsidRDefault="00135359" w:rsidP="00975CE2">
      <w:pPr>
        <w:rPr>
          <w:rFonts w:ascii="Arial" w:hAnsi="Arial" w:cs="Arial"/>
        </w:rPr>
      </w:pPr>
    </w:p>
    <w:p w14:paraId="64290466" w14:textId="5EBC35BC" w:rsidR="00975CE2" w:rsidRDefault="00975CE2" w:rsidP="00961DF6">
      <w:pPr>
        <w:ind w:firstLine="720"/>
        <w:rPr>
          <w:rFonts w:ascii="Arial" w:hAnsi="Arial" w:cs="Arial"/>
        </w:rPr>
      </w:pPr>
      <w:r w:rsidRPr="00975CE2">
        <w:rPr>
          <w:rFonts w:ascii="Arial" w:hAnsi="Arial" w:cs="Arial"/>
        </w:rPr>
        <w:t>In contrast to established enterprises, emerging businesses might not gain access to distribution channels and supply chains already under the control of large corporations (Adelakun, 2020). In addition, massive companies have a lot of customers, money, and a lot of other advantages that smaller enterprises do not have. There is little influence from competitors entering the market on Tesco.</w:t>
      </w:r>
    </w:p>
    <w:p w14:paraId="756657FE" w14:textId="77777777" w:rsidR="00135359" w:rsidRPr="00975CE2" w:rsidRDefault="00135359" w:rsidP="00975CE2">
      <w:pPr>
        <w:rPr>
          <w:rFonts w:ascii="Arial" w:hAnsi="Arial" w:cs="Arial"/>
        </w:rPr>
      </w:pPr>
    </w:p>
    <w:p w14:paraId="149A9626" w14:textId="34AE54DA" w:rsidR="00975CE2" w:rsidRDefault="00975CE2" w:rsidP="00975CE2">
      <w:pPr>
        <w:rPr>
          <w:rFonts w:ascii="Arial" w:hAnsi="Arial" w:cs="Arial"/>
        </w:rPr>
      </w:pPr>
      <w:r w:rsidRPr="00975CE2">
        <w:rPr>
          <w:rFonts w:ascii="Arial" w:hAnsi="Arial" w:cs="Arial"/>
        </w:rPr>
        <w:t>The Threat of Substitutes</w:t>
      </w:r>
    </w:p>
    <w:p w14:paraId="1EFA0B0F" w14:textId="77777777" w:rsidR="00135359" w:rsidRPr="00975CE2" w:rsidRDefault="00135359" w:rsidP="00975CE2">
      <w:pPr>
        <w:rPr>
          <w:rFonts w:ascii="Arial" w:hAnsi="Arial" w:cs="Arial"/>
        </w:rPr>
      </w:pPr>
    </w:p>
    <w:p w14:paraId="097EE229" w14:textId="79870C72" w:rsidR="00975CE2" w:rsidRDefault="00975CE2" w:rsidP="00961DF6">
      <w:pPr>
        <w:ind w:firstLine="720"/>
        <w:rPr>
          <w:rFonts w:ascii="Arial" w:hAnsi="Arial" w:cs="Arial"/>
        </w:rPr>
      </w:pPr>
      <w:r w:rsidRPr="00975CE2">
        <w:rPr>
          <w:rFonts w:ascii="Arial" w:hAnsi="Arial" w:cs="Arial"/>
        </w:rPr>
        <w:t>On the other hand, Tesco's products suit the most basic demands. There is a lesser chance of competition because of it. Items such as grocery staples, clothing, gasoline, and electronic devices are all-year-round hot sellers for Tesco. New ones are immediately added to the shelves whenever a store runs out of a particular item. Many people will buy from a low-cost vendor if the products are what they need daily. Since there is less competition, there is less chance of substitutions. Tesco has a huge advantage in the market because they sell the most things. In other words, Tesco's overall operations will not be affected by the threat of alternatives.</w:t>
      </w:r>
    </w:p>
    <w:p w14:paraId="4CF574FD" w14:textId="77777777" w:rsidR="00135359" w:rsidRPr="00975CE2" w:rsidRDefault="00135359" w:rsidP="00975CE2">
      <w:pPr>
        <w:rPr>
          <w:rFonts w:ascii="Arial" w:hAnsi="Arial" w:cs="Arial"/>
        </w:rPr>
      </w:pPr>
    </w:p>
    <w:p w14:paraId="63B6F4C4" w14:textId="7F95E63F" w:rsidR="00975CE2" w:rsidRDefault="00975CE2" w:rsidP="00975CE2">
      <w:pPr>
        <w:rPr>
          <w:rFonts w:ascii="Arial" w:hAnsi="Arial" w:cs="Arial"/>
        </w:rPr>
      </w:pPr>
      <w:r w:rsidRPr="00975CE2">
        <w:rPr>
          <w:rFonts w:ascii="Arial" w:hAnsi="Arial" w:cs="Arial"/>
        </w:rPr>
        <w:t>Bargaining Power of Customers:</w:t>
      </w:r>
    </w:p>
    <w:p w14:paraId="34AF0502" w14:textId="77777777" w:rsidR="00135359" w:rsidRPr="00975CE2" w:rsidRDefault="00135359" w:rsidP="00975CE2">
      <w:pPr>
        <w:rPr>
          <w:rFonts w:ascii="Arial" w:hAnsi="Arial" w:cs="Arial"/>
        </w:rPr>
      </w:pPr>
    </w:p>
    <w:p w14:paraId="7CD8F40B" w14:textId="395FFCF6" w:rsidR="00975CE2" w:rsidRDefault="00975CE2" w:rsidP="00961DF6">
      <w:pPr>
        <w:ind w:firstLine="720"/>
        <w:rPr>
          <w:rFonts w:ascii="Arial" w:hAnsi="Arial" w:cs="Arial"/>
        </w:rPr>
      </w:pPr>
      <w:r w:rsidRPr="00975CE2">
        <w:rPr>
          <w:rFonts w:ascii="Arial" w:hAnsi="Arial" w:cs="Arial"/>
        </w:rPr>
        <w:t>Customers' bargaining power faces influence from several competing merchants in the market (Bhattacharyya, 2019). It is simple to get the finest deals because the store mainly carries items individuals need to meet their fundamental necessities. On the other hand, primary commodity prices do not fluctuate considerably from store to store. The products in each location should be of the same high quality. Product design makes it challenging to develop a strong attachment to them. When you shop at Tesco, you save money on moving from one store to another. As a result, Tesco's customers have little influence over the company's operations.</w:t>
      </w:r>
    </w:p>
    <w:p w14:paraId="32783E0A" w14:textId="77777777" w:rsidR="00135359" w:rsidRPr="00975CE2" w:rsidRDefault="00135359" w:rsidP="00975CE2">
      <w:pPr>
        <w:rPr>
          <w:rFonts w:ascii="Arial" w:hAnsi="Arial" w:cs="Arial"/>
        </w:rPr>
      </w:pPr>
    </w:p>
    <w:p w14:paraId="2A1738F7" w14:textId="49F0C2D9" w:rsidR="00975CE2" w:rsidRDefault="00975CE2" w:rsidP="00975CE2">
      <w:pPr>
        <w:rPr>
          <w:rFonts w:ascii="Arial" w:hAnsi="Arial" w:cs="Arial"/>
        </w:rPr>
      </w:pPr>
      <w:r w:rsidRPr="00975CE2">
        <w:rPr>
          <w:rFonts w:ascii="Arial" w:hAnsi="Arial" w:cs="Arial"/>
        </w:rPr>
        <w:t>Bargaining Power of Suppliers:</w:t>
      </w:r>
    </w:p>
    <w:p w14:paraId="346FE808" w14:textId="77777777" w:rsidR="00135359" w:rsidRPr="00975CE2" w:rsidRDefault="00135359" w:rsidP="00975CE2">
      <w:pPr>
        <w:rPr>
          <w:rFonts w:ascii="Arial" w:hAnsi="Arial" w:cs="Arial"/>
        </w:rPr>
      </w:pPr>
    </w:p>
    <w:p w14:paraId="57F13605" w14:textId="442555A5" w:rsidR="00975CE2" w:rsidRDefault="00975CE2" w:rsidP="00961DF6">
      <w:pPr>
        <w:ind w:firstLine="720"/>
        <w:rPr>
          <w:rFonts w:ascii="Arial" w:hAnsi="Arial" w:cs="Arial"/>
        </w:rPr>
      </w:pPr>
      <w:r w:rsidRPr="00975CE2">
        <w:rPr>
          <w:rFonts w:ascii="Arial" w:hAnsi="Arial" w:cs="Arial"/>
        </w:rPr>
        <w:t>The power suppliers have over Tesco's products is significantly reduced. Often, shops get their items from a variety of sources. Tesco, for example, can easily switch suppliers with its incredible strategies. People who work in retail can bargain in this situation. They will be able to negotiate a price that will determine the ultimate terms of the deal—the identical item source from each retailer's slew of different businesses. As long as the products' quality does not degrade, retailers can buy from suppliers who provide the most outstanding deal, which implies that suppliers have less clout when it comes to Tesco operations.</w:t>
      </w:r>
    </w:p>
    <w:p w14:paraId="67537381" w14:textId="77777777" w:rsidR="00135359" w:rsidRPr="00975CE2" w:rsidRDefault="00135359" w:rsidP="00975CE2">
      <w:pPr>
        <w:rPr>
          <w:rFonts w:ascii="Arial" w:hAnsi="Arial" w:cs="Arial"/>
        </w:rPr>
      </w:pPr>
    </w:p>
    <w:p w14:paraId="5BB232EF" w14:textId="07831088" w:rsidR="00975CE2" w:rsidRDefault="00975CE2" w:rsidP="00975CE2">
      <w:pPr>
        <w:rPr>
          <w:rFonts w:ascii="Arial" w:hAnsi="Arial" w:cs="Arial"/>
        </w:rPr>
      </w:pPr>
      <w:r w:rsidRPr="00975CE2">
        <w:rPr>
          <w:rFonts w:ascii="Arial" w:hAnsi="Arial" w:cs="Arial"/>
        </w:rPr>
        <w:t>Competitive Rivalry:</w:t>
      </w:r>
    </w:p>
    <w:p w14:paraId="4A1DDDC3" w14:textId="77777777" w:rsidR="00135359" w:rsidRPr="00975CE2" w:rsidRDefault="00135359" w:rsidP="00975CE2">
      <w:pPr>
        <w:rPr>
          <w:rFonts w:ascii="Arial" w:hAnsi="Arial" w:cs="Arial"/>
        </w:rPr>
      </w:pPr>
    </w:p>
    <w:p w14:paraId="010E1490" w14:textId="76D1700E" w:rsidR="00885114" w:rsidRPr="00135359" w:rsidRDefault="00975CE2" w:rsidP="00961DF6">
      <w:pPr>
        <w:ind w:firstLine="720"/>
        <w:rPr>
          <w:rFonts w:ascii="Arial" w:hAnsi="Arial" w:cs="Arial"/>
        </w:rPr>
      </w:pPr>
      <w:r w:rsidRPr="00975CE2">
        <w:rPr>
          <w:rFonts w:ascii="Arial" w:hAnsi="Arial" w:cs="Arial"/>
        </w:rPr>
        <w:t>Among Tesco's many competitors are Carrefour, Wal-Mart, ASDA, and Sainsbury's (Hallsworth &amp; Coca-Stefaniak, 2018). The supply chains and logistical networks of these well-established companies are nearly identical. Advertising and other types of marketing spur positive social change for the firms. Price wars between competing firms allow these companies to save money by employing more workers. Because most business products address basic human requirements, price wars are critical in today's competitive market. Any strategy the company chooses will be met with the same response from the competition, no matter how innovative it tries to be. The fierce competition significantly impacts Tesco's company it faces.</w:t>
      </w:r>
    </w:p>
    <w:p w14:paraId="0354B88A" w14:textId="5BC4D0B4" w:rsidR="0030173B" w:rsidRDefault="0030173B" w:rsidP="00703AA7">
      <w:pPr>
        <w:rPr>
          <w:rFonts w:ascii="Arial" w:hAnsi="Arial" w:cs="Arial"/>
          <w:color w:val="000000" w:themeColor="text1"/>
        </w:rPr>
      </w:pPr>
      <w:bookmarkStart w:id="3" w:name="_Toc456901517"/>
    </w:p>
    <w:p w14:paraId="288780E7" w14:textId="77777777" w:rsidR="00135359" w:rsidRPr="003C0615" w:rsidRDefault="00135359" w:rsidP="00703AA7">
      <w:pPr>
        <w:rPr>
          <w:rFonts w:ascii="Arial" w:hAnsi="Arial" w:cs="Arial"/>
          <w:color w:val="000000" w:themeColor="text1"/>
        </w:rPr>
      </w:pPr>
    </w:p>
    <w:p w14:paraId="0BD703B0" w14:textId="6D5F8597" w:rsidR="00A07C51" w:rsidRPr="00DD63DC" w:rsidRDefault="002049FE" w:rsidP="00A07C51">
      <w:pPr>
        <w:pStyle w:val="Heading2"/>
        <w:spacing w:before="0"/>
        <w:rPr>
          <w:rFonts w:ascii="Arial" w:hAnsi="Arial" w:cs="Arial"/>
          <w:b/>
          <w:bCs/>
          <w:color w:val="000000" w:themeColor="text1"/>
          <w:sz w:val="24"/>
          <w:szCs w:val="24"/>
        </w:rPr>
      </w:pPr>
      <w:bookmarkStart w:id="4" w:name="_Toc511311655"/>
      <w:bookmarkEnd w:id="3"/>
      <w:r w:rsidRPr="00DD63DC">
        <w:rPr>
          <w:rFonts w:ascii="Arial" w:hAnsi="Arial" w:cs="Arial"/>
          <w:b/>
          <w:bCs/>
          <w:color w:val="000000" w:themeColor="text1"/>
          <w:sz w:val="24"/>
          <w:szCs w:val="24"/>
        </w:rPr>
        <w:t>Section 2</w:t>
      </w:r>
      <w:bookmarkEnd w:id="4"/>
      <w:r w:rsidR="00A07C51" w:rsidRPr="00DD63DC">
        <w:rPr>
          <w:rFonts w:ascii="Arial" w:hAnsi="Arial" w:cs="Arial"/>
          <w:b/>
          <w:bCs/>
          <w:color w:val="000000" w:themeColor="text1"/>
          <w:sz w:val="24"/>
          <w:szCs w:val="24"/>
        </w:rPr>
        <w:t xml:space="preserve"> Stakeholder analysis for Tesco Plc.</w:t>
      </w:r>
    </w:p>
    <w:p w14:paraId="0494F090" w14:textId="77777777" w:rsidR="00A07C51" w:rsidRPr="00A07C51" w:rsidRDefault="00A07C51" w:rsidP="00A07C51"/>
    <w:p w14:paraId="52B53DBE" w14:textId="27B6573B" w:rsidR="00A07C51" w:rsidRDefault="00A07C51" w:rsidP="00961DF6">
      <w:pPr>
        <w:ind w:firstLine="720"/>
        <w:rPr>
          <w:rFonts w:ascii="Arial" w:hAnsi="Arial" w:cs="Arial"/>
        </w:rPr>
      </w:pPr>
      <w:r w:rsidRPr="00975CE2">
        <w:rPr>
          <w:rFonts w:ascii="Arial" w:hAnsi="Arial" w:cs="Arial"/>
        </w:rPr>
        <w:t>In a stakeholder analysis, the names and organizations of those crucial to the project are included, together with information on what they do and how significant they are (Raum et al., 2021). Anyone interested in the company and interacts with it is considered a stakeholder. When Tesco wants to know what its stakeholders want and need, it can conduct a stakeholder analysis</w:t>
      </w:r>
    </w:p>
    <w:p w14:paraId="193D478E" w14:textId="77777777" w:rsidR="004861E0" w:rsidRPr="00975CE2" w:rsidRDefault="004861E0" w:rsidP="00A07C51">
      <w:pPr>
        <w:rPr>
          <w:rFonts w:ascii="Arial" w:hAnsi="Arial" w:cs="Arial"/>
        </w:rPr>
      </w:pPr>
    </w:p>
    <w:p w14:paraId="0E0E94D1" w14:textId="5EEED33F" w:rsidR="00A07C51" w:rsidRDefault="00A07C51" w:rsidP="00A07C51">
      <w:pPr>
        <w:rPr>
          <w:rFonts w:ascii="Arial" w:hAnsi="Arial" w:cs="Arial"/>
        </w:rPr>
      </w:pPr>
      <w:r w:rsidRPr="00975CE2">
        <w:rPr>
          <w:rFonts w:ascii="Arial" w:hAnsi="Arial" w:cs="Arial"/>
        </w:rPr>
        <w:t>Shareholders</w:t>
      </w:r>
    </w:p>
    <w:p w14:paraId="0B2B0EBA" w14:textId="77777777" w:rsidR="004861E0" w:rsidRPr="00975CE2" w:rsidRDefault="004861E0" w:rsidP="00A07C51">
      <w:pPr>
        <w:rPr>
          <w:rFonts w:ascii="Arial" w:hAnsi="Arial" w:cs="Arial"/>
        </w:rPr>
      </w:pPr>
    </w:p>
    <w:p w14:paraId="606FD3E4" w14:textId="0DE0AC32" w:rsidR="00A07C51" w:rsidRDefault="00A07C51" w:rsidP="00961DF6">
      <w:pPr>
        <w:ind w:firstLine="720"/>
        <w:rPr>
          <w:rFonts w:ascii="Arial" w:hAnsi="Arial" w:cs="Arial"/>
        </w:rPr>
      </w:pPr>
      <w:r w:rsidRPr="00975CE2">
        <w:rPr>
          <w:rFonts w:ascii="Arial" w:hAnsi="Arial" w:cs="Arial"/>
        </w:rPr>
        <w:t>Someone or something that holds at least one share of stock in a firm is known as a shareholder. Those who own a company are known as shareholders. The most significant people in Tesco are its stockholders, who have put their time and money into making it a success. As the stock price of Tesco rises, so do shareholder expectations for their profit share.</w:t>
      </w:r>
    </w:p>
    <w:p w14:paraId="7F3ABD99" w14:textId="77777777" w:rsidR="004861E0" w:rsidRPr="00975CE2" w:rsidRDefault="004861E0" w:rsidP="00A07C51">
      <w:pPr>
        <w:rPr>
          <w:rFonts w:ascii="Arial" w:hAnsi="Arial" w:cs="Arial"/>
        </w:rPr>
      </w:pPr>
    </w:p>
    <w:p w14:paraId="3D20B3FC" w14:textId="0B8882B5" w:rsidR="00A07C51" w:rsidRDefault="00A07C51" w:rsidP="00A07C51">
      <w:pPr>
        <w:rPr>
          <w:rFonts w:ascii="Arial" w:hAnsi="Arial" w:cs="Arial"/>
        </w:rPr>
      </w:pPr>
      <w:r w:rsidRPr="00975CE2">
        <w:rPr>
          <w:rFonts w:ascii="Arial" w:hAnsi="Arial" w:cs="Arial"/>
        </w:rPr>
        <w:t>Customers</w:t>
      </w:r>
    </w:p>
    <w:p w14:paraId="0F0B116E" w14:textId="77777777" w:rsidR="004861E0" w:rsidRPr="00975CE2" w:rsidRDefault="004861E0" w:rsidP="00A07C51">
      <w:pPr>
        <w:rPr>
          <w:rFonts w:ascii="Arial" w:hAnsi="Arial" w:cs="Arial"/>
        </w:rPr>
      </w:pPr>
    </w:p>
    <w:p w14:paraId="2AA5A270" w14:textId="36A85ADD" w:rsidR="00A07C51" w:rsidRDefault="00A07C51" w:rsidP="00961DF6">
      <w:pPr>
        <w:ind w:firstLine="720"/>
        <w:rPr>
          <w:rFonts w:ascii="Arial" w:hAnsi="Arial" w:cs="Arial"/>
        </w:rPr>
      </w:pPr>
      <w:r w:rsidRPr="00975CE2">
        <w:rPr>
          <w:rFonts w:ascii="Arial" w:hAnsi="Arial" w:cs="Arial"/>
        </w:rPr>
        <w:t>A wide range of options is available to those who purchase or utilize commodities (goods and services). They're looking for a company that can produce high-end products at a premium price. Customers want businesses to improve their branding, production, and customer service to keep them coming back for more. Those who buy at Tesco know they'll receive a decent deal on high-quality products and services. Improved products and services that are worth their money are what Tesco's customers demand (Muli, 2019).</w:t>
      </w:r>
    </w:p>
    <w:p w14:paraId="73B2A913" w14:textId="77777777" w:rsidR="004861E0" w:rsidRPr="00975CE2" w:rsidRDefault="004861E0" w:rsidP="00A07C51">
      <w:pPr>
        <w:rPr>
          <w:rFonts w:ascii="Arial" w:hAnsi="Arial" w:cs="Arial"/>
        </w:rPr>
      </w:pPr>
    </w:p>
    <w:p w14:paraId="2F557F00" w14:textId="280D211C" w:rsidR="00A07C51" w:rsidRDefault="00A07C51" w:rsidP="00A07C51">
      <w:pPr>
        <w:rPr>
          <w:rFonts w:ascii="Arial" w:hAnsi="Arial" w:cs="Arial"/>
        </w:rPr>
      </w:pPr>
      <w:r w:rsidRPr="00975CE2">
        <w:rPr>
          <w:rFonts w:ascii="Arial" w:hAnsi="Arial" w:cs="Arial"/>
        </w:rPr>
        <w:t>Employees</w:t>
      </w:r>
    </w:p>
    <w:p w14:paraId="1ABBF588" w14:textId="77777777" w:rsidR="004861E0" w:rsidRPr="00975CE2" w:rsidRDefault="004861E0" w:rsidP="00A07C51">
      <w:pPr>
        <w:rPr>
          <w:rFonts w:ascii="Arial" w:hAnsi="Arial" w:cs="Arial"/>
        </w:rPr>
      </w:pPr>
    </w:p>
    <w:p w14:paraId="7DF5F472" w14:textId="37C72B63" w:rsidR="00A07C51" w:rsidRDefault="00A07C51" w:rsidP="00961DF6">
      <w:pPr>
        <w:ind w:firstLine="720"/>
        <w:rPr>
          <w:rFonts w:ascii="Arial" w:hAnsi="Arial" w:cs="Arial"/>
        </w:rPr>
      </w:pPr>
      <w:r w:rsidRPr="00975CE2">
        <w:rPr>
          <w:rFonts w:ascii="Arial" w:hAnsi="Arial" w:cs="Arial"/>
        </w:rPr>
        <w:t>A written or oral employment contract entitles workers to certain rights and duties, whether they are employed full or part-time. In return for their financial support, they want the company to provide them with a stable work environment, advancement chances, and pay that is not excessively high or low.</w:t>
      </w:r>
    </w:p>
    <w:p w14:paraId="6ED84BA8" w14:textId="77777777" w:rsidR="004861E0" w:rsidRPr="00975CE2" w:rsidRDefault="004861E0" w:rsidP="00A07C51">
      <w:pPr>
        <w:rPr>
          <w:rFonts w:ascii="Arial" w:hAnsi="Arial" w:cs="Arial"/>
        </w:rPr>
      </w:pPr>
    </w:p>
    <w:p w14:paraId="5FAFA443" w14:textId="7ADB4BF0" w:rsidR="00A07C51" w:rsidRDefault="00A07C51" w:rsidP="00A07C51">
      <w:pPr>
        <w:rPr>
          <w:rFonts w:ascii="Arial" w:hAnsi="Arial" w:cs="Arial"/>
        </w:rPr>
      </w:pPr>
      <w:r w:rsidRPr="00975CE2">
        <w:rPr>
          <w:rFonts w:ascii="Arial" w:hAnsi="Arial" w:cs="Arial"/>
        </w:rPr>
        <w:t>Local community</w:t>
      </w:r>
    </w:p>
    <w:p w14:paraId="49FD2335" w14:textId="77777777" w:rsidR="004861E0" w:rsidRPr="00975CE2" w:rsidRDefault="004861E0" w:rsidP="00A07C51">
      <w:pPr>
        <w:rPr>
          <w:rFonts w:ascii="Arial" w:hAnsi="Arial" w:cs="Arial"/>
        </w:rPr>
      </w:pPr>
    </w:p>
    <w:p w14:paraId="703D7913" w14:textId="4A350BE5" w:rsidR="00A07C51" w:rsidRDefault="00A07C51" w:rsidP="00961DF6">
      <w:pPr>
        <w:ind w:firstLine="720"/>
        <w:rPr>
          <w:rFonts w:ascii="Arial" w:hAnsi="Arial" w:cs="Arial"/>
        </w:rPr>
      </w:pPr>
      <w:r w:rsidRPr="00975CE2">
        <w:rPr>
          <w:rFonts w:ascii="Arial" w:hAnsi="Arial" w:cs="Arial"/>
        </w:rPr>
        <w:t xml:space="preserve">Nearby </w:t>
      </w:r>
      <w:r w:rsidR="00A636F6">
        <w:rPr>
          <w:rFonts w:ascii="Arial" w:hAnsi="Arial" w:cs="Arial"/>
        </w:rPr>
        <w:t>neighbours</w:t>
      </w:r>
      <w:r w:rsidRPr="00975CE2">
        <w:rPr>
          <w:rFonts w:ascii="Arial" w:hAnsi="Arial" w:cs="Arial"/>
        </w:rPr>
        <w:t xml:space="preserve"> construct what is known as a "local community." Business owners, government leaders, and regular citizens make up most local communities. Local firms and their customers benefit from their efforts because they may pool their resources, exchange information, and strengthen their economic links. Community members can be affected by Tesco's conduct. Tesco is under pressure from the local community to do more to protect the environment, such as by donating computers to nearby schools or hiring locals (Muli, 2019).</w:t>
      </w:r>
    </w:p>
    <w:p w14:paraId="21011141" w14:textId="77777777" w:rsidR="004861E0" w:rsidRPr="00975CE2" w:rsidRDefault="004861E0" w:rsidP="00A07C51">
      <w:pPr>
        <w:rPr>
          <w:rFonts w:ascii="Arial" w:hAnsi="Arial" w:cs="Arial"/>
        </w:rPr>
      </w:pPr>
    </w:p>
    <w:p w14:paraId="015ACCD6" w14:textId="40FFA189" w:rsidR="00A07C51" w:rsidRDefault="00A07C51" w:rsidP="00A07C51">
      <w:pPr>
        <w:rPr>
          <w:rFonts w:ascii="Arial" w:hAnsi="Arial" w:cs="Arial"/>
        </w:rPr>
      </w:pPr>
      <w:r w:rsidRPr="00975CE2">
        <w:rPr>
          <w:rFonts w:ascii="Arial" w:hAnsi="Arial" w:cs="Arial"/>
        </w:rPr>
        <w:t>Government</w:t>
      </w:r>
    </w:p>
    <w:p w14:paraId="29E4E414" w14:textId="77777777" w:rsidR="004861E0" w:rsidRPr="00975CE2" w:rsidRDefault="004861E0" w:rsidP="00A07C51">
      <w:pPr>
        <w:rPr>
          <w:rFonts w:ascii="Arial" w:hAnsi="Arial" w:cs="Arial"/>
        </w:rPr>
      </w:pPr>
    </w:p>
    <w:p w14:paraId="1370D5D5" w14:textId="10EE53B4" w:rsidR="00A07C51" w:rsidRDefault="00A07C51" w:rsidP="00A07C51">
      <w:pPr>
        <w:rPr>
          <w:rFonts w:ascii="Arial" w:hAnsi="Arial" w:cs="Arial"/>
        </w:rPr>
      </w:pPr>
      <w:r w:rsidRPr="00975CE2">
        <w:rPr>
          <w:rFonts w:ascii="Arial" w:hAnsi="Arial" w:cs="Arial"/>
        </w:rPr>
        <w:t xml:space="preserve"> </w:t>
      </w:r>
      <w:r w:rsidR="00961DF6">
        <w:rPr>
          <w:rFonts w:ascii="Arial" w:hAnsi="Arial" w:cs="Arial"/>
        </w:rPr>
        <w:tab/>
      </w:r>
      <w:r w:rsidRPr="00975CE2">
        <w:rPr>
          <w:rFonts w:ascii="Arial" w:hAnsi="Arial" w:cs="Arial"/>
        </w:rPr>
        <w:t>Public policy is established and maintained through customs institutions and laws, and political and sovereign power occurs within a state. As Tesco expands, it will pay taxes and recruit more employees, which will benefit the government. When it comes to addressing the requirements of the people in a given area, government officials have an interest in Tesco.</w:t>
      </w:r>
    </w:p>
    <w:p w14:paraId="4758B360" w14:textId="77777777" w:rsidR="004861E0" w:rsidRPr="00975CE2" w:rsidRDefault="004861E0" w:rsidP="00A07C51">
      <w:pPr>
        <w:rPr>
          <w:rFonts w:ascii="Arial" w:hAnsi="Arial" w:cs="Arial"/>
        </w:rPr>
      </w:pPr>
    </w:p>
    <w:p w14:paraId="6AC806AC" w14:textId="30E65373" w:rsidR="00A07C51" w:rsidRDefault="00A07C51" w:rsidP="00A07C51">
      <w:pPr>
        <w:rPr>
          <w:rFonts w:ascii="Arial" w:hAnsi="Arial" w:cs="Arial"/>
        </w:rPr>
      </w:pPr>
      <w:r w:rsidRPr="00975CE2">
        <w:rPr>
          <w:rFonts w:ascii="Arial" w:hAnsi="Arial" w:cs="Arial"/>
        </w:rPr>
        <w:t>Trade Union</w:t>
      </w:r>
    </w:p>
    <w:p w14:paraId="0F1C39FF" w14:textId="77777777" w:rsidR="004861E0" w:rsidRPr="00975CE2" w:rsidRDefault="004861E0" w:rsidP="00A07C51">
      <w:pPr>
        <w:rPr>
          <w:rFonts w:ascii="Arial" w:hAnsi="Arial" w:cs="Arial"/>
        </w:rPr>
      </w:pPr>
    </w:p>
    <w:p w14:paraId="16B4E5F7" w14:textId="77777777" w:rsidR="00A07C51" w:rsidRPr="00975CE2" w:rsidRDefault="00A07C51" w:rsidP="00961DF6">
      <w:pPr>
        <w:ind w:firstLine="720"/>
        <w:rPr>
          <w:rFonts w:ascii="Arial" w:hAnsi="Arial" w:cs="Arial"/>
        </w:rPr>
      </w:pPr>
      <w:r w:rsidRPr="00975CE2">
        <w:rPr>
          <w:rFonts w:ascii="Arial" w:hAnsi="Arial" w:cs="Arial"/>
        </w:rPr>
        <w:t>Trade unions occur when a group of employees and their union official's come together to promote and preserve their common interests. Working together to benefit one another is the goal of trade unions. Tesco's trade unions are primarily concerned with improving the wages and working conditions of Tesco employees.</w:t>
      </w:r>
    </w:p>
    <w:p w14:paraId="0C57A8FC" w14:textId="4BD82F87" w:rsidR="0030173B" w:rsidRPr="003C0615" w:rsidRDefault="0030173B" w:rsidP="00703AA7">
      <w:pPr>
        <w:rPr>
          <w:rFonts w:ascii="Arial" w:hAnsi="Arial" w:cs="Arial"/>
          <w:color w:val="000000" w:themeColor="text1"/>
          <w:sz w:val="24"/>
          <w:szCs w:val="24"/>
        </w:rPr>
      </w:pPr>
    </w:p>
    <w:p w14:paraId="3FA41E5E" w14:textId="688287FB" w:rsidR="0030173B" w:rsidRPr="003C0615" w:rsidRDefault="0030173B" w:rsidP="00703AA7">
      <w:pPr>
        <w:rPr>
          <w:rFonts w:ascii="Arial" w:hAnsi="Arial" w:cs="Arial"/>
          <w:color w:val="000000" w:themeColor="text1"/>
          <w:sz w:val="24"/>
          <w:szCs w:val="24"/>
        </w:rPr>
      </w:pPr>
    </w:p>
    <w:p w14:paraId="72A7A396" w14:textId="77777777" w:rsidR="0030173B" w:rsidRPr="003C0615" w:rsidRDefault="0030173B" w:rsidP="00703AA7">
      <w:pPr>
        <w:rPr>
          <w:rFonts w:ascii="Arial" w:hAnsi="Arial" w:cs="Arial"/>
          <w:color w:val="000000" w:themeColor="text1"/>
          <w:sz w:val="24"/>
          <w:szCs w:val="24"/>
        </w:rPr>
      </w:pPr>
    </w:p>
    <w:p w14:paraId="264A0044" w14:textId="4932A39D" w:rsidR="00A07C51" w:rsidRPr="00DD63DC" w:rsidRDefault="002049FE" w:rsidP="00A07C51">
      <w:pPr>
        <w:pStyle w:val="Heading2"/>
        <w:spacing w:before="0"/>
        <w:rPr>
          <w:rFonts w:ascii="Arial" w:hAnsi="Arial" w:cs="Arial"/>
          <w:b/>
          <w:color w:val="000000" w:themeColor="text1"/>
          <w:sz w:val="24"/>
          <w:szCs w:val="24"/>
        </w:rPr>
      </w:pPr>
      <w:bookmarkStart w:id="5" w:name="_Toc511311656"/>
      <w:r w:rsidRPr="00DD63DC">
        <w:rPr>
          <w:rFonts w:ascii="Arial" w:hAnsi="Arial" w:cs="Arial"/>
          <w:b/>
          <w:bCs/>
          <w:color w:val="000000" w:themeColor="text1"/>
          <w:sz w:val="24"/>
          <w:szCs w:val="24"/>
        </w:rPr>
        <w:t>Section 3</w:t>
      </w:r>
      <w:bookmarkEnd w:id="5"/>
      <w:r w:rsidR="00A07C51" w:rsidRPr="00DD63DC">
        <w:rPr>
          <w:rFonts w:ascii="Arial" w:hAnsi="Arial" w:cs="Arial"/>
          <w:color w:val="000000" w:themeColor="text1"/>
          <w:sz w:val="24"/>
          <w:szCs w:val="24"/>
        </w:rPr>
        <w:t xml:space="preserve"> </w:t>
      </w:r>
      <w:r w:rsidR="00A07C51" w:rsidRPr="00DD63DC">
        <w:rPr>
          <w:rFonts w:ascii="Arial" w:hAnsi="Arial" w:cs="Arial"/>
          <w:b/>
          <w:color w:val="000000" w:themeColor="text1"/>
          <w:sz w:val="24"/>
          <w:szCs w:val="24"/>
        </w:rPr>
        <w:t>Application of a range of relevant academic theories/models</w:t>
      </w:r>
    </w:p>
    <w:p w14:paraId="36BB8DE9" w14:textId="77777777" w:rsidR="00A07C51" w:rsidRPr="00A07C51" w:rsidRDefault="00A07C51" w:rsidP="00A07C51"/>
    <w:p w14:paraId="7FF90A3D" w14:textId="40C50F27" w:rsidR="00A07C51" w:rsidRPr="004861E0" w:rsidRDefault="004861E0" w:rsidP="004861E0">
      <w:pPr>
        <w:rPr>
          <w:rFonts w:ascii="Arial" w:hAnsi="Arial" w:cs="Arial"/>
          <w:b/>
        </w:rPr>
      </w:pPr>
      <w:r w:rsidRPr="004861E0">
        <w:rPr>
          <w:rFonts w:ascii="Arial" w:hAnsi="Arial" w:cs="Arial"/>
          <w:b/>
        </w:rPr>
        <w:t>(i</w:t>
      </w:r>
      <w:r>
        <w:rPr>
          <w:rFonts w:ascii="Arial" w:hAnsi="Arial" w:cs="Arial"/>
          <w:b/>
        </w:rPr>
        <w:t xml:space="preserve">)  </w:t>
      </w:r>
      <w:r w:rsidR="00A07C51" w:rsidRPr="004861E0">
        <w:rPr>
          <w:rFonts w:ascii="Arial" w:hAnsi="Arial" w:cs="Arial"/>
          <w:b/>
        </w:rPr>
        <w:t>Porters' Generic strategies:</w:t>
      </w:r>
    </w:p>
    <w:p w14:paraId="29150E45" w14:textId="77777777" w:rsidR="004861E0" w:rsidRPr="00975CE2" w:rsidRDefault="004861E0" w:rsidP="00A07C51">
      <w:pPr>
        <w:rPr>
          <w:rFonts w:ascii="Arial" w:hAnsi="Arial" w:cs="Arial"/>
          <w:b/>
        </w:rPr>
      </w:pPr>
    </w:p>
    <w:p w14:paraId="100AC8B0" w14:textId="4B7E99B7" w:rsidR="00A07C51" w:rsidRDefault="00A07C51" w:rsidP="00961DF6">
      <w:pPr>
        <w:ind w:firstLine="720"/>
        <w:rPr>
          <w:rFonts w:ascii="Arial" w:hAnsi="Arial" w:cs="Arial"/>
        </w:rPr>
      </w:pPr>
      <w:r w:rsidRPr="00975CE2">
        <w:rPr>
          <w:rFonts w:ascii="Arial" w:hAnsi="Arial" w:cs="Arial"/>
        </w:rPr>
        <w:t>These strategies outline the three main concepts used by Tesco that significantly enable it to achieve sustainable competitive advantage. These concepts of this strategy are leadership, differentiation, and focus/niche strategy (Islami et al., 2020).</w:t>
      </w:r>
      <w:r w:rsidR="00B758C0">
        <w:rPr>
          <w:rFonts w:ascii="Arial" w:hAnsi="Arial" w:cs="Arial"/>
        </w:rPr>
        <w:t xml:space="preserve"> (See Appendix 1).</w:t>
      </w:r>
    </w:p>
    <w:p w14:paraId="222CDFDF" w14:textId="77777777" w:rsidR="004861E0" w:rsidRPr="00975CE2" w:rsidRDefault="004861E0" w:rsidP="00A07C51">
      <w:pPr>
        <w:rPr>
          <w:rFonts w:ascii="Arial" w:hAnsi="Arial" w:cs="Arial"/>
        </w:rPr>
      </w:pPr>
    </w:p>
    <w:p w14:paraId="08C1CB9A" w14:textId="2E95417C" w:rsidR="00A07C51" w:rsidRDefault="00A07C51" w:rsidP="00A07C51">
      <w:pPr>
        <w:rPr>
          <w:rFonts w:ascii="Arial" w:hAnsi="Arial" w:cs="Arial"/>
        </w:rPr>
      </w:pPr>
      <w:r w:rsidRPr="00975CE2">
        <w:rPr>
          <w:rFonts w:ascii="Arial" w:hAnsi="Arial" w:cs="Arial"/>
        </w:rPr>
        <w:t>Cost leadership.</w:t>
      </w:r>
    </w:p>
    <w:p w14:paraId="2EFDF2DC" w14:textId="77777777" w:rsidR="004861E0" w:rsidRPr="00975CE2" w:rsidRDefault="004861E0" w:rsidP="00A07C51">
      <w:pPr>
        <w:rPr>
          <w:rFonts w:ascii="Arial" w:hAnsi="Arial" w:cs="Arial"/>
        </w:rPr>
      </w:pPr>
    </w:p>
    <w:p w14:paraId="0DAC8740" w14:textId="5F5AC054" w:rsidR="00A07C51" w:rsidRDefault="00A07C51" w:rsidP="00961DF6">
      <w:pPr>
        <w:ind w:firstLine="720"/>
        <w:rPr>
          <w:rFonts w:ascii="Arial" w:hAnsi="Arial" w:cs="Arial"/>
        </w:rPr>
      </w:pPr>
      <w:r w:rsidRPr="00975CE2">
        <w:rPr>
          <w:rFonts w:ascii="Arial" w:hAnsi="Arial" w:cs="Arial"/>
        </w:rPr>
        <w:t xml:space="preserve">The company's profitability is the primary goal of a cost leadership plan. It is Tesco's primary strategy in several consumer sectors to be cost-leaders. Keeping the organization on top in the market by improving value chain management is crucial. It is possible to increase Tesco's market share in most countries by focusing on the middle class, which accounts for a large portion of the overall consumer market mix. When customers can buy Tesco items at a lower price point, they are more likely to become familiar with the company, increasing sales and giving Tesco a competitive edge. To accomplish sales goals and fend off competition from its nearest rival, Tesco frequently offers discounts and coupons. Reducing production costs and increasing supply chain efficiency achieve low prices. These sales and discounts aim to raise consumer awareness of the brand and encourage them to make additional purchases. The increase in brand awareness, diversification of the customer base, consumption, and achievement of sales focuses on affordability and accessibility of goods. </w:t>
      </w:r>
    </w:p>
    <w:p w14:paraId="379151A0" w14:textId="77777777" w:rsidR="004861E0" w:rsidRPr="00975CE2" w:rsidRDefault="004861E0" w:rsidP="00A07C51">
      <w:pPr>
        <w:rPr>
          <w:rFonts w:ascii="Arial" w:hAnsi="Arial" w:cs="Arial"/>
        </w:rPr>
      </w:pPr>
    </w:p>
    <w:p w14:paraId="2ECD4D7C" w14:textId="5CF52B4F" w:rsidR="00A07C51" w:rsidRDefault="00A07C51" w:rsidP="00A07C51">
      <w:pPr>
        <w:rPr>
          <w:rFonts w:ascii="Arial" w:hAnsi="Arial" w:cs="Arial"/>
        </w:rPr>
      </w:pPr>
      <w:r w:rsidRPr="00975CE2">
        <w:rPr>
          <w:rFonts w:ascii="Arial" w:hAnsi="Arial" w:cs="Arial"/>
        </w:rPr>
        <w:t>Diversification</w:t>
      </w:r>
    </w:p>
    <w:p w14:paraId="448B5AC7" w14:textId="77777777" w:rsidR="004861E0" w:rsidRPr="00975CE2" w:rsidRDefault="004861E0" w:rsidP="00A07C51">
      <w:pPr>
        <w:rPr>
          <w:rFonts w:ascii="Arial" w:hAnsi="Arial" w:cs="Arial"/>
        </w:rPr>
      </w:pPr>
    </w:p>
    <w:p w14:paraId="15226079" w14:textId="31265F68" w:rsidR="00A07C51" w:rsidRDefault="00A07C51" w:rsidP="00961DF6">
      <w:pPr>
        <w:ind w:firstLine="720"/>
        <w:rPr>
          <w:rFonts w:ascii="Arial" w:hAnsi="Arial" w:cs="Arial"/>
        </w:rPr>
      </w:pPr>
      <w:r w:rsidRPr="00975CE2">
        <w:rPr>
          <w:rFonts w:ascii="Arial" w:hAnsi="Arial" w:cs="Arial"/>
        </w:rPr>
        <w:t>Another approach to acquiring an advantage over competitors is strong differentiation. To achieve its growth ambitions, Tesco relies on its ability to differentiate and minimize costs. Tesco can expand its customer base by emphasizing the distinctive features of its products as part of its overall marketing plan. To distinguish out, Tesco plans to incorporate new ideas and respond to people's increasing concerns about their health (Islami et al., 2020). Tesco, for example, has introduced more products to its line as a result of shifting consumer expectations to distinguish out from its competitors and make more money. Tesco was unique and the best in its field; it was able to establish a loyal client base. Tesco employs a generic differentiation strategy to differentiate its products from its rivals. To keep competitors at bay, the company uses a differentiation strategy to distinguish itself from its competitors; Tesco dedicates a lot of money to advertising, marketing, and celebrity endorsements. Customers can easily recognize a company by its logo. Because of the logo's odd and unique design has led to a strong brand image in the consumers' minds. Customers can choose from a wide variety of flavours to satisfy their preferences. Customers are more satisfied and more inclined to stick with Tesco as a result of the company's innovative use of new technology.</w:t>
      </w:r>
    </w:p>
    <w:p w14:paraId="2826EDD4" w14:textId="77777777" w:rsidR="004861E0" w:rsidRPr="00975CE2" w:rsidRDefault="004861E0" w:rsidP="00A07C51">
      <w:pPr>
        <w:rPr>
          <w:rFonts w:ascii="Arial" w:hAnsi="Arial" w:cs="Arial"/>
        </w:rPr>
      </w:pPr>
    </w:p>
    <w:p w14:paraId="62DBADF0" w14:textId="787E97B5" w:rsidR="00A07C51" w:rsidRDefault="00A07C51" w:rsidP="00A07C51">
      <w:pPr>
        <w:rPr>
          <w:rFonts w:ascii="Arial" w:hAnsi="Arial" w:cs="Arial"/>
        </w:rPr>
      </w:pPr>
      <w:r w:rsidRPr="00975CE2">
        <w:rPr>
          <w:rFonts w:ascii="Arial" w:hAnsi="Arial" w:cs="Arial"/>
        </w:rPr>
        <w:t>Niche</w:t>
      </w:r>
    </w:p>
    <w:p w14:paraId="2B8EF5B6" w14:textId="77777777" w:rsidR="004861E0" w:rsidRPr="00975CE2" w:rsidRDefault="004861E0" w:rsidP="00A07C51">
      <w:pPr>
        <w:rPr>
          <w:rFonts w:ascii="Arial" w:hAnsi="Arial" w:cs="Arial"/>
        </w:rPr>
      </w:pPr>
    </w:p>
    <w:p w14:paraId="20ACC1EE" w14:textId="267523CE" w:rsidR="00A07C51" w:rsidRDefault="00A07C51" w:rsidP="00961DF6">
      <w:pPr>
        <w:ind w:firstLine="720"/>
        <w:rPr>
          <w:rFonts w:ascii="Arial" w:hAnsi="Arial" w:cs="Arial"/>
        </w:rPr>
      </w:pPr>
      <w:r w:rsidRPr="00975CE2">
        <w:rPr>
          <w:rFonts w:ascii="Arial" w:hAnsi="Arial" w:cs="Arial"/>
        </w:rPr>
        <w:t>Focusing on a small number of key markets is the third generic competitive approach. Specialization marketing helps companies follow a focused approach to better compete in fewer target areas. It is essential to Tesco that prices are a minimum without compromising the quality of the products offered to customers. The low-cost focus strategy focuses on a particular market segment while keeping costs as low as feasible. There are two types of design: one that focuses on getting the most value for the money and one that focuses on getting what the clients want and need. When it comes to product design and packaging, Tesco is continually looking at its branding strategy and making adjustments to ensure that its consumers are getting the best value for their money (Firoz et al., 2019).</w:t>
      </w:r>
    </w:p>
    <w:p w14:paraId="76EB63C2" w14:textId="77777777" w:rsidR="004861E0" w:rsidRPr="00975CE2" w:rsidRDefault="004861E0" w:rsidP="00A07C51">
      <w:pPr>
        <w:rPr>
          <w:rFonts w:ascii="Arial" w:hAnsi="Arial" w:cs="Arial"/>
        </w:rPr>
      </w:pPr>
    </w:p>
    <w:p w14:paraId="1E9896F6" w14:textId="62E31951" w:rsidR="00A07C51" w:rsidRDefault="004861E0" w:rsidP="00A07C51">
      <w:pPr>
        <w:rPr>
          <w:rFonts w:ascii="Arial" w:hAnsi="Arial" w:cs="Arial"/>
          <w:b/>
        </w:rPr>
      </w:pPr>
      <w:r>
        <w:rPr>
          <w:rFonts w:ascii="Arial" w:hAnsi="Arial" w:cs="Arial"/>
          <w:b/>
        </w:rPr>
        <w:t>(</w:t>
      </w:r>
      <w:r w:rsidR="00A07C51" w:rsidRPr="00975CE2">
        <w:rPr>
          <w:rFonts w:ascii="Arial" w:hAnsi="Arial" w:cs="Arial"/>
          <w:b/>
        </w:rPr>
        <w:t>ii) 4Ps Marketing Mix</w:t>
      </w:r>
    </w:p>
    <w:p w14:paraId="3B79302A" w14:textId="77777777" w:rsidR="004861E0" w:rsidRPr="00975CE2" w:rsidRDefault="004861E0" w:rsidP="00A07C51">
      <w:pPr>
        <w:rPr>
          <w:rFonts w:ascii="Arial" w:hAnsi="Arial" w:cs="Arial"/>
          <w:b/>
        </w:rPr>
      </w:pPr>
    </w:p>
    <w:p w14:paraId="5EE42A7D" w14:textId="3D4F2393" w:rsidR="00A07C51" w:rsidRDefault="00A07C51" w:rsidP="00961DF6">
      <w:pPr>
        <w:ind w:firstLine="720"/>
        <w:rPr>
          <w:rFonts w:ascii="Arial" w:hAnsi="Arial" w:cs="Arial"/>
        </w:rPr>
      </w:pPr>
      <w:r w:rsidRPr="00975CE2">
        <w:rPr>
          <w:rFonts w:ascii="Arial" w:hAnsi="Arial" w:cs="Arial"/>
        </w:rPr>
        <w:t>Marketers use the marketing mix as a common strategy to reach their marketing objectives more swiftly and efficiently. The marketing mix, commonly known as the 4Ps, represents the product, pricing, place, and promotion. Firms can examine these aspects and adjust their marketing tactics to keep their products relevant to their customers (Karim et al., 2021).</w:t>
      </w:r>
    </w:p>
    <w:p w14:paraId="20148E81" w14:textId="77777777" w:rsidR="004861E0" w:rsidRPr="00975CE2" w:rsidRDefault="004861E0" w:rsidP="00A07C51">
      <w:pPr>
        <w:rPr>
          <w:rFonts w:ascii="Arial" w:hAnsi="Arial" w:cs="Arial"/>
        </w:rPr>
      </w:pPr>
    </w:p>
    <w:p w14:paraId="723EF66B" w14:textId="4FABA502" w:rsidR="00A07C51" w:rsidRDefault="00A07C51" w:rsidP="00A07C51">
      <w:pPr>
        <w:rPr>
          <w:rFonts w:ascii="Arial" w:hAnsi="Arial" w:cs="Arial"/>
        </w:rPr>
      </w:pPr>
      <w:r w:rsidRPr="00975CE2">
        <w:rPr>
          <w:rFonts w:ascii="Arial" w:hAnsi="Arial" w:cs="Arial"/>
        </w:rPr>
        <w:t>Product</w:t>
      </w:r>
    </w:p>
    <w:p w14:paraId="06E615C5" w14:textId="77777777" w:rsidR="004861E0" w:rsidRPr="00975CE2" w:rsidRDefault="004861E0" w:rsidP="00A07C51">
      <w:pPr>
        <w:rPr>
          <w:rFonts w:ascii="Arial" w:hAnsi="Arial" w:cs="Arial"/>
        </w:rPr>
      </w:pPr>
    </w:p>
    <w:p w14:paraId="74804E1F" w14:textId="43DDEA74" w:rsidR="00A07C51" w:rsidRDefault="00A07C51" w:rsidP="00961DF6">
      <w:pPr>
        <w:ind w:firstLine="720"/>
        <w:rPr>
          <w:rFonts w:ascii="Arial" w:hAnsi="Arial" w:cs="Arial"/>
        </w:rPr>
      </w:pPr>
      <w:r w:rsidRPr="00975CE2">
        <w:rPr>
          <w:rFonts w:ascii="Arial" w:hAnsi="Arial" w:cs="Arial"/>
        </w:rPr>
        <w:t>This move makes sense, intending to be a one-stop-shop for consumers' shopping, banking, communication, and other requirements at the forefront of Tesco's strategy. Because of this, Tesco can compete in a wide range of price points, from its Everyday Value line to its own high-end, most acceptable label. Two of the country's most famous food brands have risen to the top of the list (Karim et al., 2021). In increasing economic conditions, Tesco has attempted to reduce its reliance on third-party items and instead focus on building its brands. In addition, this sudden decline in the range demonstrates that the range expansion technique was not sufficient in the first place, and the corporation should look into its supply management. Additionally, competitors like Wal-Mart, Sainsbury's, and Ads threaten Tesco's competitive position, which provides a wider variety of products.</w:t>
      </w:r>
    </w:p>
    <w:p w14:paraId="33782D59" w14:textId="77777777" w:rsidR="004861E0" w:rsidRPr="00975CE2" w:rsidRDefault="004861E0" w:rsidP="00A07C51">
      <w:pPr>
        <w:rPr>
          <w:rFonts w:ascii="Arial" w:hAnsi="Arial" w:cs="Arial"/>
        </w:rPr>
      </w:pPr>
    </w:p>
    <w:p w14:paraId="7941E0C9" w14:textId="24707491" w:rsidR="00A07C51" w:rsidRDefault="00A07C51" w:rsidP="00A07C51">
      <w:pPr>
        <w:rPr>
          <w:rFonts w:ascii="Arial" w:hAnsi="Arial" w:cs="Arial"/>
        </w:rPr>
      </w:pPr>
      <w:r w:rsidRPr="00975CE2">
        <w:rPr>
          <w:rFonts w:ascii="Arial" w:hAnsi="Arial" w:cs="Arial"/>
        </w:rPr>
        <w:t>Price</w:t>
      </w:r>
    </w:p>
    <w:p w14:paraId="0934B239" w14:textId="77777777" w:rsidR="004861E0" w:rsidRPr="00975CE2" w:rsidRDefault="004861E0" w:rsidP="00A07C51">
      <w:pPr>
        <w:rPr>
          <w:rFonts w:ascii="Arial" w:hAnsi="Arial" w:cs="Arial"/>
        </w:rPr>
      </w:pPr>
    </w:p>
    <w:p w14:paraId="6F598404" w14:textId="45A5FC7D" w:rsidR="00A07C51" w:rsidRDefault="00A07C51" w:rsidP="00961DF6">
      <w:pPr>
        <w:ind w:firstLine="720"/>
        <w:rPr>
          <w:rFonts w:ascii="Arial" w:hAnsi="Arial" w:cs="Arial"/>
        </w:rPr>
      </w:pPr>
      <w:r w:rsidRPr="00975CE2">
        <w:rPr>
          <w:rFonts w:ascii="Arial" w:hAnsi="Arial" w:cs="Arial"/>
        </w:rPr>
        <w:t>The management of Tesco commits to keeping its prices as low as possible, which reflects throughout the organization. The accomplishment of Low prices occurs by closely examining each store and product. Utilizing economies of scale and thorough analysis is crucial (Corona et al., 2019). Tesco's vegan Wicked Kitchen brand and the 2016 shelf optimization initiative serve as two good instances of this technique. The Brand Guarantee program ensures customers get the best pricing and endeavours to modify marketing spending based on customer feedback to round out the strategy. Finest products, such as those from Tesco's most acceptable label, are one of Tesco's main weaknesses. This issue might alleviate if stores establish high-end sections.</w:t>
      </w:r>
    </w:p>
    <w:p w14:paraId="0BD421B4" w14:textId="77777777" w:rsidR="004861E0" w:rsidRPr="00975CE2" w:rsidRDefault="004861E0" w:rsidP="00A07C51">
      <w:pPr>
        <w:rPr>
          <w:rFonts w:ascii="Arial" w:hAnsi="Arial" w:cs="Arial"/>
        </w:rPr>
      </w:pPr>
    </w:p>
    <w:p w14:paraId="582A772D" w14:textId="641DA525" w:rsidR="00A07C51" w:rsidRDefault="00A07C51" w:rsidP="00A07C51">
      <w:pPr>
        <w:rPr>
          <w:rFonts w:ascii="Arial" w:hAnsi="Arial" w:cs="Arial"/>
        </w:rPr>
      </w:pPr>
      <w:r w:rsidRPr="00975CE2">
        <w:rPr>
          <w:rFonts w:ascii="Arial" w:hAnsi="Arial" w:cs="Arial"/>
        </w:rPr>
        <w:t>Place</w:t>
      </w:r>
    </w:p>
    <w:p w14:paraId="60556377" w14:textId="77777777" w:rsidR="004861E0" w:rsidRPr="00975CE2" w:rsidRDefault="004861E0" w:rsidP="00A07C51">
      <w:pPr>
        <w:rPr>
          <w:rFonts w:ascii="Arial" w:hAnsi="Arial" w:cs="Arial"/>
        </w:rPr>
      </w:pPr>
    </w:p>
    <w:p w14:paraId="702ADE93" w14:textId="46D5C311" w:rsidR="00A07C51" w:rsidRDefault="00A07C51" w:rsidP="00961DF6">
      <w:pPr>
        <w:ind w:firstLine="720"/>
        <w:rPr>
          <w:rFonts w:ascii="Arial" w:hAnsi="Arial" w:cs="Arial"/>
        </w:rPr>
      </w:pPr>
      <w:r w:rsidRPr="00975CE2">
        <w:rPr>
          <w:rFonts w:ascii="Arial" w:hAnsi="Arial" w:cs="Arial"/>
        </w:rPr>
        <w:t>In the United Kingdom, Tesco employs more than 310,000 people and has 3,400 stores (Jones &amp; Comfort, 2019). Several kinds of stores can satisfy your needs, depending on where you reside. It is possible to get a coffee on the go at each location. In contrast to Tesco Express, Tesco Supermarket offers more options and more significant discounts. Tesco also sells goods and services online, such as Tesco Delivery Saver, Tesco Bank, and its physical locations. Even though Tesco has a significant physical presence, the company's digital presence may use some improvement, and management should do more to remedy this situation. Problems include outdated apps, and a lack of services like order scheduling affects Tesco's ability to satisfy consumer expectations.</w:t>
      </w:r>
    </w:p>
    <w:p w14:paraId="11A9402A" w14:textId="77777777" w:rsidR="004861E0" w:rsidRPr="00975CE2" w:rsidRDefault="004861E0" w:rsidP="00A07C51">
      <w:pPr>
        <w:rPr>
          <w:rFonts w:ascii="Arial" w:hAnsi="Arial" w:cs="Arial"/>
        </w:rPr>
      </w:pPr>
    </w:p>
    <w:p w14:paraId="37A99674" w14:textId="250F4EB2" w:rsidR="00A07C51" w:rsidRDefault="00A07C51" w:rsidP="00A07C51">
      <w:pPr>
        <w:rPr>
          <w:rFonts w:ascii="Arial" w:hAnsi="Arial" w:cs="Arial"/>
        </w:rPr>
      </w:pPr>
      <w:r w:rsidRPr="00975CE2">
        <w:rPr>
          <w:rFonts w:ascii="Arial" w:hAnsi="Arial" w:cs="Arial"/>
        </w:rPr>
        <w:t>Promotion</w:t>
      </w:r>
    </w:p>
    <w:p w14:paraId="574AC86C" w14:textId="77777777" w:rsidR="004861E0" w:rsidRPr="00975CE2" w:rsidRDefault="004861E0" w:rsidP="00A07C51">
      <w:pPr>
        <w:rPr>
          <w:rFonts w:ascii="Arial" w:hAnsi="Arial" w:cs="Arial"/>
        </w:rPr>
      </w:pPr>
    </w:p>
    <w:p w14:paraId="7FFDAD17" w14:textId="77777777" w:rsidR="00A07C51" w:rsidRPr="00975CE2" w:rsidRDefault="00A07C51" w:rsidP="00961DF6">
      <w:pPr>
        <w:ind w:firstLine="720"/>
        <w:rPr>
          <w:rFonts w:ascii="Arial" w:hAnsi="Arial" w:cs="Arial"/>
        </w:rPr>
      </w:pPr>
      <w:r w:rsidRPr="00975CE2">
        <w:rPr>
          <w:rFonts w:ascii="Arial" w:hAnsi="Arial" w:cs="Arial"/>
        </w:rPr>
        <w:t>To promote Tesco, the company uses the cost-leadership strategy of focusing on cheap pricing, which is in line with the company's brand image. A focus on Tesco's low prices is part of Tesco's overall marketing plan, which also includes print, television, and YouTube. The retailer's customer loyalty program aids Tesco's cost-cutting strategy, the Club card, which offers members discounts and freebies (Monte, 2021). Using this technology, the company can better manage its inventory and target clients with customized promotions. Loyalty reward programs offered by Tesco's competitors reward customers for their loyalty with money and other benefits. Tesco needs to develop a reward program that is more inventive and modern to attract new customers and promote brand loyalty.</w:t>
      </w:r>
    </w:p>
    <w:p w14:paraId="0E37732C" w14:textId="77777777" w:rsidR="0030173B" w:rsidRPr="003C0615" w:rsidRDefault="0030173B" w:rsidP="00703AA7">
      <w:pPr>
        <w:rPr>
          <w:rFonts w:ascii="Arial" w:hAnsi="Arial" w:cs="Arial"/>
          <w:color w:val="000000" w:themeColor="text1"/>
          <w:sz w:val="24"/>
          <w:szCs w:val="24"/>
        </w:rPr>
      </w:pPr>
    </w:p>
    <w:p w14:paraId="2C17348C" w14:textId="3A4294F4" w:rsidR="00DD63DC" w:rsidRPr="00975CE2" w:rsidRDefault="00DD63DC" w:rsidP="00DD63DC">
      <w:pPr>
        <w:rPr>
          <w:rFonts w:ascii="Arial" w:hAnsi="Arial" w:cs="Arial"/>
          <w:b/>
        </w:rPr>
      </w:pPr>
      <w:r>
        <w:rPr>
          <w:rFonts w:ascii="Arial" w:hAnsi="Arial" w:cs="Arial"/>
          <w:color w:val="000000" w:themeColor="text1"/>
        </w:rPr>
        <w:t xml:space="preserve"> </w:t>
      </w:r>
    </w:p>
    <w:p w14:paraId="0FF317D1" w14:textId="086E1274" w:rsidR="008C2930" w:rsidRPr="00DD63DC" w:rsidRDefault="00DD63DC" w:rsidP="00703AA7">
      <w:pPr>
        <w:pStyle w:val="Heading2"/>
        <w:spacing w:before="0"/>
        <w:rPr>
          <w:rFonts w:ascii="Arial" w:hAnsi="Arial" w:cs="Arial"/>
          <w:b/>
          <w:bCs/>
          <w:color w:val="000000" w:themeColor="text1"/>
          <w:sz w:val="24"/>
          <w:szCs w:val="24"/>
        </w:rPr>
      </w:pPr>
      <w:r w:rsidRPr="00DD63DC">
        <w:rPr>
          <w:rFonts w:ascii="Arial" w:hAnsi="Arial" w:cs="Arial"/>
          <w:b/>
          <w:bCs/>
          <w:color w:val="000000" w:themeColor="text1"/>
          <w:sz w:val="24"/>
          <w:szCs w:val="24"/>
        </w:rPr>
        <w:t>Section 4 Critical appraisal of Tesco’s current strategic direction</w:t>
      </w:r>
    </w:p>
    <w:p w14:paraId="01C694AE" w14:textId="77777777" w:rsidR="00DD63DC" w:rsidRPr="00DD63DC" w:rsidRDefault="00DD63DC" w:rsidP="00DD63DC"/>
    <w:p w14:paraId="275B17B4" w14:textId="24779719" w:rsidR="00A07C51" w:rsidRDefault="00A07C51" w:rsidP="00961DF6">
      <w:pPr>
        <w:ind w:firstLine="720"/>
        <w:rPr>
          <w:rFonts w:ascii="Arial" w:hAnsi="Arial" w:cs="Arial"/>
        </w:rPr>
      </w:pPr>
      <w:r w:rsidRPr="00975CE2">
        <w:rPr>
          <w:rFonts w:ascii="Arial" w:hAnsi="Arial" w:cs="Arial"/>
        </w:rPr>
        <w:t xml:space="preserve">Ansoff's matrix model is relevant to making an appraisal of the current strategy of Tesco. The design put in place by the Tesco Company for assessing the retail market and growth can be </w:t>
      </w:r>
      <w:r w:rsidR="004861E0" w:rsidRPr="00975CE2">
        <w:rPr>
          <w:rFonts w:ascii="Arial" w:hAnsi="Arial" w:cs="Arial"/>
        </w:rPr>
        <w:t>analysed</w:t>
      </w:r>
      <w:r w:rsidRPr="00975CE2">
        <w:rPr>
          <w:rFonts w:ascii="Arial" w:hAnsi="Arial" w:cs="Arial"/>
        </w:rPr>
        <w:t xml:space="preserve"> with Ansoff's Matrix.</w:t>
      </w:r>
      <w:r w:rsidR="005B6895">
        <w:rPr>
          <w:rFonts w:ascii="Arial" w:hAnsi="Arial" w:cs="Arial"/>
        </w:rPr>
        <w:t xml:space="preserve"> (See Appendix 2)</w:t>
      </w:r>
      <w:r w:rsidR="00395AE3">
        <w:rPr>
          <w:rFonts w:ascii="Arial" w:hAnsi="Arial" w:cs="Arial"/>
        </w:rPr>
        <w:t>.</w:t>
      </w:r>
    </w:p>
    <w:p w14:paraId="3BEF1076" w14:textId="77777777" w:rsidR="004861E0" w:rsidRPr="00975CE2" w:rsidRDefault="004861E0" w:rsidP="00A07C51">
      <w:pPr>
        <w:rPr>
          <w:rFonts w:ascii="Arial" w:hAnsi="Arial" w:cs="Arial"/>
        </w:rPr>
      </w:pPr>
    </w:p>
    <w:p w14:paraId="6CA92310" w14:textId="5D575BDA" w:rsidR="00A07C51" w:rsidRDefault="00A07C51" w:rsidP="00A07C51">
      <w:pPr>
        <w:rPr>
          <w:rFonts w:ascii="Arial" w:hAnsi="Arial" w:cs="Arial"/>
        </w:rPr>
      </w:pPr>
      <w:r w:rsidRPr="00975CE2">
        <w:rPr>
          <w:rFonts w:ascii="Arial" w:hAnsi="Arial" w:cs="Arial"/>
        </w:rPr>
        <w:t>Market penetration</w:t>
      </w:r>
    </w:p>
    <w:p w14:paraId="7B6BA3FE" w14:textId="77777777" w:rsidR="004861E0" w:rsidRPr="00975CE2" w:rsidRDefault="004861E0" w:rsidP="00A07C51">
      <w:pPr>
        <w:rPr>
          <w:rFonts w:ascii="Arial" w:hAnsi="Arial" w:cs="Arial"/>
        </w:rPr>
      </w:pPr>
    </w:p>
    <w:p w14:paraId="2FB31260" w14:textId="09B00F8A" w:rsidR="00A07C51" w:rsidRDefault="00A07C51" w:rsidP="00A44E3E">
      <w:pPr>
        <w:ind w:firstLine="720"/>
        <w:rPr>
          <w:rFonts w:ascii="Arial" w:hAnsi="Arial" w:cs="Arial"/>
        </w:rPr>
      </w:pPr>
      <w:r w:rsidRPr="00975CE2">
        <w:rPr>
          <w:rFonts w:ascii="Arial" w:hAnsi="Arial" w:cs="Arial"/>
        </w:rPr>
        <w:t xml:space="preserve">When a business continues to sell its current items in a well-established market, it has achieved market penetration. However, if the company wants to remain in operation for an extended period, it will have to drastically alter its products' appearance, packaging, and cost. If this does not happen, the company will go out of business soon. Tesco made its debut in the real estate market with the launch of Tesco Property Market. Tesco also distributed a booklet to promote its products and services in its stores. Tesco overtook Sainsbury's as the United </w:t>
      </w:r>
      <w:r w:rsidRPr="00975CE2">
        <w:rPr>
          <w:rFonts w:ascii="Arial" w:hAnsi="Arial" w:cs="Arial"/>
        </w:rPr>
        <w:lastRenderedPageBreak/>
        <w:t>Kingdom's largest retailer in 1995. Tesco could expand its retail market share even further after implementing the Club card loyalty program (</w:t>
      </w:r>
      <w:r w:rsidR="00390AA1">
        <w:rPr>
          <w:rFonts w:ascii="Arial" w:hAnsi="Arial" w:cs="Arial"/>
        </w:rPr>
        <w:t>Al</w:t>
      </w:r>
      <w:r w:rsidRPr="00975CE2">
        <w:rPr>
          <w:rFonts w:ascii="Arial" w:hAnsi="Arial" w:cs="Arial"/>
        </w:rPr>
        <w:t xml:space="preserve"> Habibi, 2019).</w:t>
      </w:r>
    </w:p>
    <w:p w14:paraId="7B744466" w14:textId="77777777" w:rsidR="004861E0" w:rsidRPr="00975CE2" w:rsidRDefault="004861E0" w:rsidP="00A07C51">
      <w:pPr>
        <w:rPr>
          <w:rFonts w:ascii="Arial" w:hAnsi="Arial" w:cs="Arial"/>
        </w:rPr>
      </w:pPr>
    </w:p>
    <w:p w14:paraId="03D4C691" w14:textId="367102A7" w:rsidR="00A07C51" w:rsidRDefault="00A07C51" w:rsidP="00A07C51">
      <w:pPr>
        <w:rPr>
          <w:rFonts w:ascii="Arial" w:hAnsi="Arial" w:cs="Arial"/>
        </w:rPr>
      </w:pPr>
      <w:r w:rsidRPr="00975CE2">
        <w:rPr>
          <w:rFonts w:ascii="Arial" w:hAnsi="Arial" w:cs="Arial"/>
        </w:rPr>
        <w:t>New product and services</w:t>
      </w:r>
    </w:p>
    <w:p w14:paraId="287F956A" w14:textId="77777777" w:rsidR="004861E0" w:rsidRPr="00975CE2" w:rsidRDefault="004861E0" w:rsidP="00A07C51">
      <w:pPr>
        <w:rPr>
          <w:rFonts w:ascii="Arial" w:hAnsi="Arial" w:cs="Arial"/>
        </w:rPr>
      </w:pPr>
    </w:p>
    <w:p w14:paraId="14D26C6A" w14:textId="4193C7B1" w:rsidR="00A07C51" w:rsidRDefault="00A07C51" w:rsidP="00A44E3E">
      <w:pPr>
        <w:ind w:firstLine="720"/>
        <w:rPr>
          <w:rFonts w:ascii="Arial" w:hAnsi="Arial" w:cs="Arial"/>
        </w:rPr>
      </w:pPr>
      <w:r w:rsidRPr="00975CE2">
        <w:rPr>
          <w:rFonts w:ascii="Arial" w:hAnsi="Arial" w:cs="Arial"/>
        </w:rPr>
        <w:t>For a business to thrive and remain competitive, it must continually develop new products and services that satisfy the demands and needs of its customers. Tesco does many things: credit cards, insurance, mortgages, and various investment and savings programs. Tesco has developed biofuels, including butane and methanol, to alternative traditional fossil fuels (Kaňa et al., 2020). Tesco is also working to raise the bar on their products' quality. By expanding into new sectors like mobile and tablet computers, the corporation hopes to diversify its revenue streams. They are gaining ground in the telecommunications and technology industries.</w:t>
      </w:r>
    </w:p>
    <w:p w14:paraId="5D60B661" w14:textId="77777777" w:rsidR="004861E0" w:rsidRPr="00975CE2" w:rsidRDefault="004861E0" w:rsidP="00A07C51">
      <w:pPr>
        <w:rPr>
          <w:rFonts w:ascii="Arial" w:hAnsi="Arial" w:cs="Arial"/>
        </w:rPr>
      </w:pPr>
    </w:p>
    <w:p w14:paraId="6795D9C6" w14:textId="62418259" w:rsidR="00A07C51" w:rsidRDefault="00A07C51" w:rsidP="00A07C51">
      <w:pPr>
        <w:rPr>
          <w:rFonts w:ascii="Arial" w:hAnsi="Arial" w:cs="Arial"/>
        </w:rPr>
      </w:pPr>
      <w:r w:rsidRPr="00975CE2">
        <w:rPr>
          <w:rFonts w:ascii="Arial" w:hAnsi="Arial" w:cs="Arial"/>
        </w:rPr>
        <w:t>Diversification</w:t>
      </w:r>
    </w:p>
    <w:p w14:paraId="06328BBE" w14:textId="77777777" w:rsidR="004861E0" w:rsidRPr="00975CE2" w:rsidRDefault="004861E0" w:rsidP="00A07C51">
      <w:pPr>
        <w:rPr>
          <w:rFonts w:ascii="Arial" w:hAnsi="Arial" w:cs="Arial"/>
        </w:rPr>
      </w:pPr>
    </w:p>
    <w:p w14:paraId="7AD074C4" w14:textId="5C27B1B8" w:rsidR="00A07C51" w:rsidRDefault="00A07C51" w:rsidP="00A44E3E">
      <w:pPr>
        <w:ind w:firstLine="720"/>
        <w:rPr>
          <w:rFonts w:ascii="Arial" w:hAnsi="Arial" w:cs="Arial"/>
        </w:rPr>
      </w:pPr>
      <w:r w:rsidRPr="00975CE2">
        <w:rPr>
          <w:rFonts w:ascii="Arial" w:hAnsi="Arial" w:cs="Arial"/>
        </w:rPr>
        <w:t>Selling new products to a new market is one option of diversification. Getting innovative products into the hands of customers takes time. Tesco has recently expanded its product line to include non-food items. Formerly, Tesco was the most significant food store chain in the world. Tesco created the apparel labels Cherokee and F+F. Many non-food products, including health care, electronics, and cosmetics, employ Tesco's most exemplary and valuable brands (Mooney, 2019).</w:t>
      </w:r>
    </w:p>
    <w:p w14:paraId="79D9B46F" w14:textId="77777777" w:rsidR="004861E0" w:rsidRPr="00975CE2" w:rsidRDefault="004861E0" w:rsidP="00A07C51">
      <w:pPr>
        <w:rPr>
          <w:rFonts w:ascii="Arial" w:hAnsi="Arial" w:cs="Arial"/>
        </w:rPr>
      </w:pPr>
    </w:p>
    <w:p w14:paraId="2A1C7C5D" w14:textId="2FEC094D" w:rsidR="00A07C51" w:rsidRDefault="00A07C51" w:rsidP="00A07C51">
      <w:pPr>
        <w:rPr>
          <w:rFonts w:ascii="Arial" w:hAnsi="Arial" w:cs="Arial"/>
        </w:rPr>
      </w:pPr>
      <w:r w:rsidRPr="00975CE2">
        <w:rPr>
          <w:rFonts w:ascii="Arial" w:hAnsi="Arial" w:cs="Arial"/>
        </w:rPr>
        <w:t>Market development</w:t>
      </w:r>
    </w:p>
    <w:p w14:paraId="0D2D95EF" w14:textId="77777777" w:rsidR="004861E0" w:rsidRPr="00975CE2" w:rsidRDefault="004861E0" w:rsidP="00A07C51">
      <w:pPr>
        <w:rPr>
          <w:rFonts w:ascii="Arial" w:hAnsi="Arial" w:cs="Arial"/>
        </w:rPr>
      </w:pPr>
    </w:p>
    <w:p w14:paraId="21DBCAB0" w14:textId="28DDA5D4" w:rsidR="00A07C51" w:rsidRDefault="00A07C51" w:rsidP="00A44E3E">
      <w:pPr>
        <w:ind w:firstLine="720"/>
        <w:rPr>
          <w:rFonts w:ascii="Arial" w:hAnsi="Arial" w:cs="Arial"/>
        </w:rPr>
      </w:pPr>
      <w:r w:rsidRPr="00975CE2">
        <w:rPr>
          <w:rFonts w:ascii="Arial" w:hAnsi="Arial" w:cs="Arial"/>
        </w:rPr>
        <w:t>Market development refers to reaching out to new demographics to sell your products. Market research costs a lot of money for small businesses, but it is essential for large corporations. The company was renamed William Low after Tesco Plc. purchased the well-known Scottish supermarket brand in 1994. It bought an interest in 1997 in the Associated British Foods chain, including Quinn worth, Crazy Prices, Stewarts, and other brands. In the middle of 2006, Tesco purchased Casino's Leader Price supermarkets in mid-2006 (Stanton, 2018). Tesco is continually making adjustments to remain competitive in today's industry.</w:t>
      </w:r>
    </w:p>
    <w:p w14:paraId="06249415" w14:textId="77777777" w:rsidR="004861E0" w:rsidRPr="003C0615" w:rsidRDefault="004861E0" w:rsidP="004861E0">
      <w:pPr>
        <w:rPr>
          <w:rFonts w:ascii="Arial" w:eastAsiaTheme="majorEastAsia" w:hAnsi="Arial" w:cs="Arial"/>
          <w:color w:val="000000" w:themeColor="text1"/>
          <w:sz w:val="26"/>
          <w:szCs w:val="26"/>
        </w:rPr>
      </w:pPr>
      <w:r w:rsidRPr="003C0615">
        <w:rPr>
          <w:rFonts w:ascii="Arial" w:hAnsi="Arial" w:cs="Arial"/>
          <w:color w:val="000000" w:themeColor="text1"/>
        </w:rPr>
        <w:br w:type="page"/>
      </w:r>
    </w:p>
    <w:p w14:paraId="4451AC3D" w14:textId="5750188D" w:rsidR="004861E0" w:rsidRPr="0036460D" w:rsidRDefault="0036460D" w:rsidP="004861E0">
      <w:pPr>
        <w:pStyle w:val="Heading2"/>
        <w:spacing w:before="0"/>
        <w:rPr>
          <w:rFonts w:ascii="Arial" w:hAnsi="Arial" w:cs="Arial"/>
          <w:b/>
          <w:bCs/>
          <w:color w:val="000000" w:themeColor="text1"/>
          <w:sz w:val="24"/>
          <w:szCs w:val="24"/>
        </w:rPr>
      </w:pPr>
      <w:r w:rsidRPr="0036460D">
        <w:rPr>
          <w:rFonts w:ascii="Arial" w:hAnsi="Arial" w:cs="Arial"/>
          <w:b/>
          <w:bCs/>
          <w:color w:val="000000" w:themeColor="text1"/>
          <w:sz w:val="24"/>
          <w:szCs w:val="24"/>
        </w:rPr>
        <w:lastRenderedPageBreak/>
        <w:t>Section 5 New Strategy recommendations</w:t>
      </w:r>
    </w:p>
    <w:p w14:paraId="719E3B36" w14:textId="77777777" w:rsidR="00A07C51" w:rsidRPr="00975CE2" w:rsidRDefault="00A07C51" w:rsidP="00A07C51">
      <w:pPr>
        <w:rPr>
          <w:rFonts w:ascii="Arial" w:hAnsi="Arial" w:cs="Arial"/>
          <w:b/>
        </w:rPr>
      </w:pPr>
    </w:p>
    <w:p w14:paraId="11D1FF86" w14:textId="04531646" w:rsidR="00513050" w:rsidRPr="002A045D" w:rsidRDefault="00A07C51" w:rsidP="002A045D">
      <w:pPr>
        <w:ind w:firstLine="720"/>
        <w:rPr>
          <w:rFonts w:ascii="Arial" w:hAnsi="Arial" w:cs="Arial"/>
        </w:rPr>
      </w:pPr>
      <w:r w:rsidRPr="00975CE2">
        <w:rPr>
          <w:rFonts w:ascii="Arial" w:hAnsi="Arial" w:cs="Arial"/>
        </w:rPr>
        <w:t xml:space="preserve">Rather than promoting non-food things, Tesco should emphasize food products to encourage customers to eat more of the healthy foods that Tesco sells. The quality of Tesco's products needs links to the quality of the company's personnel. Tesco's items must be of excellent quality and numerous to be successful. Tesco should provide its staff with hands-on training to improve their skills and credentials. Tesco should offer a large selection of high-quality goods at a fair price. Low-cost products will allow them to operate in a highly competitive industry. Tesco should increase the number of outlets and implement additional well-being initiatives. Increased productivity is achievable by encouraging employees to communicate with one another and build a sense of community. Tesco should expand its current network of outlets. Tesco's website can be more secure than ever before if it is </w:t>
      </w:r>
      <w:r w:rsidR="006C3C05" w:rsidRPr="00975CE2">
        <w:rPr>
          <w:rFonts w:ascii="Arial" w:hAnsi="Arial" w:cs="Arial"/>
        </w:rPr>
        <w:t>protected,</w:t>
      </w:r>
      <w:r w:rsidRPr="00975CE2">
        <w:rPr>
          <w:rFonts w:ascii="Arial" w:hAnsi="Arial" w:cs="Arial"/>
        </w:rPr>
        <w:t xml:space="preserve"> and its customers are confident when shopping online. By adding more individuals who speak other languages, Tesco may make its selection more traditional or ethnic so that customers from other nations can comprehend what they are saying. Tesco may save money by implementing this new technique, which is less expensive.</w:t>
      </w:r>
    </w:p>
    <w:p w14:paraId="0E73F40E" w14:textId="77777777" w:rsidR="00513050" w:rsidRPr="008C7A17" w:rsidRDefault="00513050" w:rsidP="008C7A17">
      <w:pPr>
        <w:rPr>
          <w:rFonts w:ascii="Arial" w:hAnsi="Arial" w:cs="Arial"/>
          <w:color w:val="000000" w:themeColor="text1"/>
          <w:sz w:val="24"/>
          <w:szCs w:val="24"/>
        </w:rPr>
      </w:pPr>
    </w:p>
    <w:p w14:paraId="747EDDAD" w14:textId="77320C71" w:rsidR="005225BF" w:rsidRDefault="00513050" w:rsidP="00703AA7">
      <w:pPr>
        <w:pStyle w:val="Heading2"/>
        <w:spacing w:before="0"/>
        <w:rPr>
          <w:rFonts w:ascii="Arial" w:hAnsi="Arial" w:cs="Arial"/>
          <w:color w:val="000000" w:themeColor="text1"/>
        </w:rPr>
      </w:pPr>
      <w:bookmarkStart w:id="6" w:name="_Toc511311658"/>
      <w:r w:rsidRPr="003C0615">
        <w:rPr>
          <w:rFonts w:ascii="Arial" w:hAnsi="Arial" w:cs="Arial"/>
          <w:color w:val="000000" w:themeColor="text1"/>
        </w:rPr>
        <w:t>Conclusion</w:t>
      </w:r>
      <w:bookmarkEnd w:id="6"/>
    </w:p>
    <w:p w14:paraId="56143F90" w14:textId="61D76288" w:rsidR="00D86FA6" w:rsidRDefault="00D86FA6" w:rsidP="00D86FA6"/>
    <w:p w14:paraId="1EEBF8D7" w14:textId="0CD6FA09" w:rsidR="00D86FA6" w:rsidRPr="00D86FA6" w:rsidRDefault="00F27148" w:rsidP="00D86FA6">
      <w:pPr>
        <w:rPr>
          <w:rFonts w:ascii="Arial" w:hAnsi="Arial" w:cs="Arial"/>
        </w:rPr>
      </w:pPr>
      <w:r>
        <w:rPr>
          <w:rFonts w:ascii="Arial" w:hAnsi="Arial" w:cs="Arial"/>
        </w:rPr>
        <w:tab/>
      </w:r>
      <w:r w:rsidR="00D86FA6" w:rsidRPr="00D86FA6">
        <w:rPr>
          <w:rFonts w:ascii="Arial" w:hAnsi="Arial" w:cs="Arial"/>
        </w:rPr>
        <w:t xml:space="preserve">Despite </w:t>
      </w:r>
      <w:r w:rsidR="00816CE0">
        <w:rPr>
          <w:rFonts w:ascii="Arial" w:hAnsi="Arial" w:cs="Arial"/>
        </w:rPr>
        <w:t>Tesco’s</w:t>
      </w:r>
      <w:r w:rsidR="00D86FA6">
        <w:rPr>
          <w:rFonts w:ascii="Arial" w:hAnsi="Arial" w:cs="Arial"/>
        </w:rPr>
        <w:t xml:space="preserve"> current success, constant change is required to remain in the competitive market</w:t>
      </w:r>
      <w:r w:rsidR="00111C36">
        <w:rPr>
          <w:rFonts w:ascii="Arial" w:hAnsi="Arial" w:cs="Arial"/>
        </w:rPr>
        <w:t xml:space="preserve"> and allow further global expansion. In the digital age, the ease of access to the market is of great consideration and therefore security is of great importance for Tesco and its customers. With the recommendations in place</w:t>
      </w:r>
      <w:r w:rsidR="003B42D8">
        <w:rPr>
          <w:rFonts w:ascii="Arial" w:hAnsi="Arial" w:cs="Arial"/>
        </w:rPr>
        <w:t>,</w:t>
      </w:r>
      <w:r w:rsidR="00111C36">
        <w:rPr>
          <w:rFonts w:ascii="Arial" w:hAnsi="Arial" w:cs="Arial"/>
        </w:rPr>
        <w:t xml:space="preserve"> </w:t>
      </w:r>
      <w:r w:rsidR="005573DA">
        <w:rPr>
          <w:rFonts w:ascii="Arial" w:hAnsi="Arial" w:cs="Arial"/>
        </w:rPr>
        <w:t>further expansion globally could be carried out.</w:t>
      </w:r>
      <w:r w:rsidR="00816CE0">
        <w:rPr>
          <w:rFonts w:ascii="Arial" w:hAnsi="Arial" w:cs="Arial"/>
        </w:rPr>
        <w:t xml:space="preserve"> Due to its increasing size</w:t>
      </w:r>
      <w:r w:rsidR="00594105">
        <w:rPr>
          <w:rFonts w:ascii="Arial" w:hAnsi="Arial" w:cs="Arial"/>
        </w:rPr>
        <w:t>,</w:t>
      </w:r>
      <w:r w:rsidR="00816CE0">
        <w:rPr>
          <w:rFonts w:ascii="Arial" w:hAnsi="Arial" w:cs="Arial"/>
        </w:rPr>
        <w:t xml:space="preserve"> </w:t>
      </w:r>
      <w:r w:rsidR="00594105">
        <w:rPr>
          <w:rFonts w:ascii="Arial" w:hAnsi="Arial" w:cs="Arial"/>
        </w:rPr>
        <w:t xml:space="preserve">I believe that to further increase productivity, further initiatives should be carried out to ensure a sense of pride in belonging to the Tesco organisation. This could be achieved by encouraging and enticing customers </w:t>
      </w:r>
      <w:r w:rsidR="00146F45">
        <w:rPr>
          <w:rFonts w:ascii="Arial" w:hAnsi="Arial" w:cs="Arial"/>
        </w:rPr>
        <w:t xml:space="preserve">towards healthier living as well further promotions for its part in helping the planet. An increase on its social profile, learning from past mistakes would </w:t>
      </w:r>
      <w:r w:rsidR="00CF6E38">
        <w:rPr>
          <w:rFonts w:ascii="Arial" w:hAnsi="Arial" w:cs="Arial"/>
        </w:rPr>
        <w:t>further</w:t>
      </w:r>
      <w:r w:rsidR="00146F45">
        <w:rPr>
          <w:rFonts w:ascii="Arial" w:hAnsi="Arial" w:cs="Arial"/>
        </w:rPr>
        <w:t xml:space="preserve"> </w:t>
      </w:r>
      <w:r w:rsidR="00CF6E38">
        <w:rPr>
          <w:rFonts w:ascii="Arial" w:hAnsi="Arial" w:cs="Arial"/>
        </w:rPr>
        <w:t>increase</w:t>
      </w:r>
      <w:r w:rsidR="00146F45">
        <w:rPr>
          <w:rFonts w:ascii="Arial" w:hAnsi="Arial" w:cs="Arial"/>
        </w:rPr>
        <w:t xml:space="preserve"> support from the public</w:t>
      </w:r>
      <w:r w:rsidR="00CF6E38">
        <w:rPr>
          <w:rFonts w:ascii="Arial" w:hAnsi="Arial" w:cs="Arial"/>
        </w:rPr>
        <w:t>,</w:t>
      </w:r>
      <w:r w:rsidR="00146F45">
        <w:rPr>
          <w:rFonts w:ascii="Arial" w:hAnsi="Arial" w:cs="Arial"/>
        </w:rPr>
        <w:t xml:space="preserve"> </w:t>
      </w:r>
      <w:r w:rsidR="00CF6E38">
        <w:rPr>
          <w:rFonts w:ascii="Arial" w:hAnsi="Arial" w:cs="Arial"/>
        </w:rPr>
        <w:t>which would only contribute to Tesco’s success, cementing its place in the marketing world.</w:t>
      </w:r>
    </w:p>
    <w:p w14:paraId="420B21F8" w14:textId="77777777" w:rsidR="005225BF" w:rsidRPr="003C0615" w:rsidRDefault="005225BF" w:rsidP="00703AA7">
      <w:pPr>
        <w:rPr>
          <w:rFonts w:ascii="Arial" w:hAnsi="Arial" w:cs="Arial"/>
          <w:color w:val="000000" w:themeColor="text1"/>
          <w:sz w:val="24"/>
          <w:szCs w:val="24"/>
        </w:rPr>
      </w:pPr>
    </w:p>
    <w:p w14:paraId="1202B5C4" w14:textId="77777777" w:rsidR="00885114" w:rsidRPr="003C0615" w:rsidRDefault="00885114" w:rsidP="00703AA7">
      <w:pPr>
        <w:pStyle w:val="Heading2"/>
        <w:spacing w:before="0"/>
        <w:rPr>
          <w:rFonts w:ascii="Arial" w:hAnsi="Arial" w:cs="Arial"/>
          <w:color w:val="000000" w:themeColor="text1"/>
        </w:rPr>
      </w:pPr>
      <w:bookmarkStart w:id="7" w:name="_Toc456901523"/>
    </w:p>
    <w:p w14:paraId="1A43F908" w14:textId="44F8B533" w:rsidR="003F69D6" w:rsidRPr="003C0615" w:rsidRDefault="00B220CB" w:rsidP="00703AA7">
      <w:pPr>
        <w:pStyle w:val="Heading2"/>
        <w:spacing w:before="0"/>
        <w:rPr>
          <w:rFonts w:ascii="Arial" w:hAnsi="Arial" w:cs="Arial"/>
          <w:color w:val="000000" w:themeColor="text1"/>
        </w:rPr>
      </w:pPr>
      <w:bookmarkStart w:id="8" w:name="_Toc511311659"/>
      <w:bookmarkEnd w:id="7"/>
      <w:r w:rsidRPr="003C0615">
        <w:rPr>
          <w:rFonts w:ascii="Arial" w:hAnsi="Arial" w:cs="Arial"/>
          <w:color w:val="000000" w:themeColor="text1"/>
        </w:rPr>
        <w:t>References</w:t>
      </w:r>
      <w:bookmarkEnd w:id="8"/>
    </w:p>
    <w:p w14:paraId="3CB5583D" w14:textId="77777777" w:rsidR="003F69D6" w:rsidRPr="00703AA7" w:rsidRDefault="003F69D6" w:rsidP="002E2668">
      <w:pPr>
        <w:rPr>
          <w:rFonts w:ascii="Arial" w:hAnsi="Arial" w:cs="Arial"/>
          <w:color w:val="000000" w:themeColor="text1"/>
          <w:sz w:val="20"/>
          <w:szCs w:val="20"/>
        </w:rPr>
      </w:pPr>
    </w:p>
    <w:p w14:paraId="0440B380" w14:textId="20DE7195"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Adelakun, A. (2020). Should Porters Five Forces have value in Businesses today. Computing for Business (BSC) Aston University Birmingham. </w:t>
      </w:r>
      <w:hyperlink r:id="rId10" w:history="1">
        <w:r w:rsidRPr="00601845">
          <w:rPr>
            <w:rStyle w:val="Hyperlink"/>
            <w:rFonts w:ascii="Arial" w:hAnsi="Arial" w:cs="Arial"/>
            <w:sz w:val="20"/>
            <w:szCs w:val="20"/>
          </w:rPr>
          <w:t>https://doi.org/10.23912/978-1-910158-78-4-2922</w:t>
        </w:r>
      </w:hyperlink>
      <w:r w:rsidRPr="00601845">
        <w:rPr>
          <w:rFonts w:ascii="Arial" w:hAnsi="Arial" w:cs="Arial"/>
          <w:color w:val="000000" w:themeColor="text1"/>
          <w:sz w:val="20"/>
          <w:szCs w:val="20"/>
        </w:rPr>
        <w:t xml:space="preserve"> </w:t>
      </w:r>
    </w:p>
    <w:p w14:paraId="10B82817" w14:textId="77777777" w:rsidR="00703AA7" w:rsidRPr="00601845" w:rsidRDefault="00703AA7" w:rsidP="002E2668">
      <w:pPr>
        <w:rPr>
          <w:rFonts w:ascii="Arial" w:hAnsi="Arial" w:cs="Arial"/>
          <w:color w:val="000000" w:themeColor="text1"/>
          <w:sz w:val="20"/>
          <w:szCs w:val="20"/>
        </w:rPr>
      </w:pPr>
    </w:p>
    <w:p w14:paraId="4132F351" w14:textId="03E6AE5C"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Al Habibi, B. (2019). HR practices of Marks &amp; Spencer, Selfridges, Primark, and Sainsbury’s (Doctoral dissertation, University of Science &amp; Technology). </w:t>
      </w:r>
      <w:hyperlink r:id="rId11" w:history="1">
        <w:r w:rsidRPr="00601845">
          <w:rPr>
            <w:rStyle w:val="Hyperlink"/>
            <w:rFonts w:ascii="Arial" w:hAnsi="Arial" w:cs="Arial"/>
            <w:sz w:val="20"/>
            <w:szCs w:val="20"/>
          </w:rPr>
          <w:t>https://doi.org/10.26634/jsch.9.4.2708</w:t>
        </w:r>
      </w:hyperlink>
      <w:r w:rsidRPr="00601845">
        <w:rPr>
          <w:rFonts w:ascii="Arial" w:hAnsi="Arial" w:cs="Arial"/>
          <w:color w:val="000000" w:themeColor="text1"/>
          <w:sz w:val="20"/>
          <w:szCs w:val="20"/>
        </w:rPr>
        <w:t xml:space="preserve"> </w:t>
      </w:r>
    </w:p>
    <w:p w14:paraId="43BBB525" w14:textId="77777777" w:rsidR="00703AA7" w:rsidRPr="00601845" w:rsidRDefault="00703AA7" w:rsidP="002E2668">
      <w:pPr>
        <w:rPr>
          <w:rFonts w:ascii="Arial" w:hAnsi="Arial" w:cs="Arial"/>
          <w:color w:val="000000" w:themeColor="text1"/>
          <w:sz w:val="20"/>
          <w:szCs w:val="20"/>
        </w:rPr>
      </w:pPr>
    </w:p>
    <w:p w14:paraId="5AAD3EA5" w14:textId="3FAA57E5"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Awadari, A. C., &amp; Kanwal, S. (2019). Employee participation in </w:t>
      </w:r>
      <w:r w:rsidR="00001976">
        <w:rPr>
          <w:rFonts w:ascii="Arial" w:hAnsi="Arial" w:cs="Arial"/>
          <w:color w:val="000000" w:themeColor="text1"/>
          <w:sz w:val="20"/>
          <w:szCs w:val="20"/>
        </w:rPr>
        <w:t>organisational</w:t>
      </w:r>
      <w:r w:rsidRPr="00601845">
        <w:rPr>
          <w:rFonts w:ascii="Arial" w:hAnsi="Arial" w:cs="Arial"/>
          <w:color w:val="000000" w:themeColor="text1"/>
          <w:sz w:val="20"/>
          <w:szCs w:val="20"/>
        </w:rPr>
        <w:t xml:space="preserve"> change: A case of Tesco PLC. International Journal of Financial, Accounting, and Management, 1(2), 91-99. </w:t>
      </w:r>
      <w:hyperlink r:id="rId12" w:history="1">
        <w:r w:rsidRPr="00601845">
          <w:rPr>
            <w:rStyle w:val="Hyperlink"/>
            <w:rFonts w:ascii="Arial" w:hAnsi="Arial" w:cs="Arial"/>
            <w:sz w:val="20"/>
            <w:szCs w:val="20"/>
          </w:rPr>
          <w:t>https://doi.org/10.35912/ijfam.v1i2.93</w:t>
        </w:r>
      </w:hyperlink>
      <w:r w:rsidRPr="00601845">
        <w:rPr>
          <w:rStyle w:val="Hyperlink"/>
          <w:rFonts w:ascii="Arial" w:hAnsi="Arial" w:cs="Arial"/>
        </w:rPr>
        <w:t xml:space="preserve"> </w:t>
      </w:r>
    </w:p>
    <w:p w14:paraId="7B223A2D" w14:textId="77777777" w:rsidR="00703AA7" w:rsidRPr="00601845" w:rsidRDefault="00703AA7" w:rsidP="002E2668">
      <w:pPr>
        <w:rPr>
          <w:rFonts w:ascii="Arial" w:hAnsi="Arial" w:cs="Arial"/>
          <w:color w:val="000000" w:themeColor="text1"/>
          <w:sz w:val="20"/>
          <w:szCs w:val="20"/>
        </w:rPr>
      </w:pPr>
    </w:p>
    <w:p w14:paraId="43492013" w14:textId="2A83D50F"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Bhattacharyya, S. S. (2019). Study of </w:t>
      </w:r>
      <w:r w:rsidR="00001976">
        <w:rPr>
          <w:rFonts w:ascii="Arial" w:hAnsi="Arial" w:cs="Arial"/>
          <w:color w:val="000000" w:themeColor="text1"/>
          <w:sz w:val="20"/>
          <w:szCs w:val="20"/>
        </w:rPr>
        <w:t>industry-level</w:t>
      </w:r>
      <w:r w:rsidRPr="00601845">
        <w:rPr>
          <w:rFonts w:ascii="Arial" w:hAnsi="Arial" w:cs="Arial"/>
          <w:color w:val="000000" w:themeColor="text1"/>
          <w:sz w:val="20"/>
          <w:szCs w:val="20"/>
        </w:rPr>
        <w:t xml:space="preserve"> bargaining power: Quest for value capture versus value creation. Journal of Services Research, 19(2). </w:t>
      </w:r>
      <w:hyperlink r:id="rId13" w:history="1">
        <w:r w:rsidRPr="00601845">
          <w:rPr>
            <w:rStyle w:val="Hyperlink"/>
            <w:rFonts w:ascii="Arial" w:hAnsi="Arial" w:cs="Arial"/>
            <w:sz w:val="20"/>
            <w:szCs w:val="20"/>
          </w:rPr>
          <w:t>https://doi.org/10.4337/9781788116695.00008</w:t>
        </w:r>
      </w:hyperlink>
      <w:r w:rsidRPr="00601845">
        <w:rPr>
          <w:rStyle w:val="Hyperlink"/>
          <w:rFonts w:ascii="Arial" w:hAnsi="Arial" w:cs="Arial"/>
        </w:rPr>
        <w:t xml:space="preserve"> </w:t>
      </w:r>
    </w:p>
    <w:p w14:paraId="182523B2" w14:textId="77777777" w:rsidR="00703AA7" w:rsidRPr="00601845" w:rsidRDefault="00703AA7" w:rsidP="002E2668">
      <w:pPr>
        <w:rPr>
          <w:rFonts w:ascii="Arial" w:hAnsi="Arial" w:cs="Arial"/>
          <w:color w:val="000000" w:themeColor="text1"/>
          <w:sz w:val="20"/>
          <w:szCs w:val="20"/>
        </w:rPr>
      </w:pPr>
    </w:p>
    <w:p w14:paraId="67605476" w14:textId="7E0F8B30" w:rsidR="00703AA7" w:rsidRPr="00601845" w:rsidRDefault="00C10B85" w:rsidP="002E2668">
      <w:pPr>
        <w:rPr>
          <w:rFonts w:ascii="Arial" w:hAnsi="Arial" w:cs="Arial"/>
          <w:color w:val="000000" w:themeColor="text1"/>
          <w:sz w:val="20"/>
          <w:szCs w:val="20"/>
        </w:rPr>
      </w:pPr>
      <w:r>
        <w:rPr>
          <w:rFonts w:ascii="Arial" w:hAnsi="Arial" w:cs="Arial"/>
          <w:color w:val="000000" w:themeColor="text1"/>
          <w:sz w:val="20"/>
          <w:szCs w:val="20"/>
        </w:rPr>
        <w:t>B</w:t>
      </w:r>
      <w:r w:rsidR="00703AA7" w:rsidRPr="00601845">
        <w:rPr>
          <w:rFonts w:ascii="Arial" w:hAnsi="Arial" w:cs="Arial"/>
          <w:color w:val="000000" w:themeColor="text1"/>
          <w:sz w:val="20"/>
          <w:szCs w:val="20"/>
        </w:rPr>
        <w:t xml:space="preserve">in Mohd Shah, M. A. S. (2018). The viability of halal food industry for Brunei economic diversification: SWOT analysis. Journal of Social Sciences, 3(3), 1220-1233. </w:t>
      </w:r>
      <w:hyperlink r:id="rId14" w:history="1">
        <w:r w:rsidR="00703AA7" w:rsidRPr="00601845">
          <w:rPr>
            <w:rStyle w:val="Hyperlink"/>
            <w:rFonts w:ascii="Arial" w:hAnsi="Arial" w:cs="Arial"/>
            <w:sz w:val="20"/>
            <w:szCs w:val="20"/>
          </w:rPr>
          <w:t>https://doi.org/10.20319/pijss.2018.33.12201233</w:t>
        </w:r>
      </w:hyperlink>
      <w:r w:rsidR="00703AA7" w:rsidRPr="00601845">
        <w:rPr>
          <w:rStyle w:val="Hyperlink"/>
          <w:rFonts w:ascii="Arial" w:hAnsi="Arial" w:cs="Arial"/>
          <w:sz w:val="20"/>
          <w:szCs w:val="20"/>
        </w:rPr>
        <w:t xml:space="preserve"> </w:t>
      </w:r>
    </w:p>
    <w:p w14:paraId="4CFE98FE" w14:textId="355BAB3F" w:rsidR="00703AA7" w:rsidRDefault="00703AA7" w:rsidP="002E2668">
      <w:pPr>
        <w:rPr>
          <w:rFonts w:ascii="Arial" w:hAnsi="Arial" w:cs="Arial"/>
          <w:color w:val="000000" w:themeColor="text1"/>
          <w:sz w:val="20"/>
          <w:szCs w:val="20"/>
        </w:rPr>
      </w:pPr>
    </w:p>
    <w:p w14:paraId="18C55EA4" w14:textId="169D9D93" w:rsidR="00C10B85" w:rsidRDefault="00C10B85" w:rsidP="002E2668">
      <w:pPr>
        <w:rPr>
          <w:rFonts w:ascii="Arial" w:hAnsi="Arial" w:cs="Arial"/>
          <w:color w:val="000000" w:themeColor="text1"/>
          <w:sz w:val="20"/>
          <w:szCs w:val="20"/>
        </w:rPr>
      </w:pPr>
      <w:r>
        <w:rPr>
          <w:rFonts w:ascii="Arial" w:hAnsi="Arial" w:cs="Arial"/>
          <w:color w:val="000000" w:themeColor="text1"/>
          <w:sz w:val="20"/>
          <w:szCs w:val="20"/>
        </w:rPr>
        <w:t>Bush, T., (2020). PESTLE Analysis: Ansoff Matrix: How to use for business</w:t>
      </w:r>
      <w:r w:rsidR="00396DB7">
        <w:rPr>
          <w:rFonts w:ascii="Arial" w:hAnsi="Arial" w:cs="Arial"/>
          <w:color w:val="000000" w:themeColor="text1"/>
          <w:sz w:val="20"/>
          <w:szCs w:val="20"/>
        </w:rPr>
        <w:t xml:space="preserve">. Available at: </w:t>
      </w:r>
      <w:hyperlink r:id="rId15" w:history="1">
        <w:r w:rsidR="00396DB7" w:rsidRPr="005C0969">
          <w:rPr>
            <w:rStyle w:val="Hyperlink"/>
            <w:rFonts w:ascii="Arial" w:hAnsi="Arial" w:cs="Arial"/>
            <w:sz w:val="20"/>
            <w:szCs w:val="20"/>
          </w:rPr>
          <w:t>https://pestleanalysis.com/ansoff-matrix/</w:t>
        </w:r>
      </w:hyperlink>
      <w:r w:rsidR="00396DB7">
        <w:rPr>
          <w:rFonts w:ascii="Arial" w:hAnsi="Arial" w:cs="Arial"/>
          <w:color w:val="000000" w:themeColor="text1"/>
          <w:sz w:val="20"/>
          <w:szCs w:val="20"/>
        </w:rPr>
        <w:t xml:space="preserve"> . (Accessed on 01 April 2022).</w:t>
      </w:r>
    </w:p>
    <w:p w14:paraId="4AF3AA18" w14:textId="77777777" w:rsidR="00C10B85" w:rsidRPr="00601845" w:rsidRDefault="00C10B85" w:rsidP="002E2668">
      <w:pPr>
        <w:rPr>
          <w:rFonts w:ascii="Arial" w:hAnsi="Arial" w:cs="Arial"/>
          <w:color w:val="000000" w:themeColor="text1"/>
          <w:sz w:val="20"/>
          <w:szCs w:val="20"/>
        </w:rPr>
      </w:pPr>
    </w:p>
    <w:p w14:paraId="759531B8" w14:textId="5E402243"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Chiu, I. H. Y., Kokkinis, A., &amp; Miglionico, A. (2021). Addressing the challenges of post-pandemic debt management in the consumer and SME sectors: a proposal for the roles of UK financial regulators. Journal of Banking Regulation, 1-19. </w:t>
      </w:r>
      <w:hyperlink r:id="rId16" w:history="1">
        <w:r w:rsidRPr="00601845">
          <w:rPr>
            <w:rStyle w:val="Hyperlink"/>
            <w:rFonts w:ascii="Arial" w:hAnsi="Arial" w:cs="Arial"/>
          </w:rPr>
          <w:t>https://doi.org/10.1057/s41261-021-00180-2</w:t>
        </w:r>
      </w:hyperlink>
      <w:r w:rsidRPr="00601845">
        <w:rPr>
          <w:rStyle w:val="Hyperlink"/>
          <w:rFonts w:ascii="Arial" w:hAnsi="Arial" w:cs="Arial"/>
        </w:rPr>
        <w:t xml:space="preserve"> </w:t>
      </w:r>
    </w:p>
    <w:p w14:paraId="5D6F43F2" w14:textId="77777777" w:rsidR="00703AA7" w:rsidRPr="00601845" w:rsidRDefault="00703AA7" w:rsidP="002E2668">
      <w:pPr>
        <w:rPr>
          <w:rFonts w:ascii="Arial" w:hAnsi="Arial" w:cs="Arial"/>
          <w:color w:val="000000" w:themeColor="text1"/>
          <w:sz w:val="20"/>
          <w:szCs w:val="20"/>
        </w:rPr>
      </w:pPr>
    </w:p>
    <w:p w14:paraId="77A14D89" w14:textId="108E926E" w:rsidR="00703AA7" w:rsidRPr="00601845" w:rsidRDefault="00703AA7" w:rsidP="002E2668">
      <w:pPr>
        <w:rPr>
          <w:rStyle w:val="Hyperlink"/>
          <w:rFonts w:ascii="Arial" w:hAnsi="Arial" w:cs="Arial"/>
          <w:sz w:val="20"/>
          <w:szCs w:val="20"/>
        </w:rPr>
      </w:pPr>
      <w:r w:rsidRPr="00601845">
        <w:rPr>
          <w:rFonts w:ascii="Arial" w:hAnsi="Arial" w:cs="Arial"/>
          <w:color w:val="000000" w:themeColor="text1"/>
          <w:sz w:val="20"/>
          <w:szCs w:val="20"/>
        </w:rPr>
        <w:t xml:space="preserve">Corona, B., Shen, L., Reike, D., Carreón, J. R., &amp; Worrell, E. (2019). Towards sustainable development through the circular economy—A review and critical assessment on current circularity metrics. Resources, Conservation and Recycling, 151, 104498. </w:t>
      </w:r>
      <w:hyperlink r:id="rId17" w:history="1">
        <w:r w:rsidRPr="00601845">
          <w:rPr>
            <w:rStyle w:val="Hyperlink"/>
            <w:rFonts w:ascii="Arial" w:hAnsi="Arial" w:cs="Arial"/>
            <w:sz w:val="20"/>
            <w:szCs w:val="20"/>
          </w:rPr>
          <w:t>https://doi.org/10.1016/j.resconrec.2019.104498</w:t>
        </w:r>
      </w:hyperlink>
      <w:r w:rsidRPr="00601845">
        <w:rPr>
          <w:rStyle w:val="Hyperlink"/>
          <w:rFonts w:ascii="Arial" w:hAnsi="Arial" w:cs="Arial"/>
          <w:sz w:val="20"/>
          <w:szCs w:val="20"/>
        </w:rPr>
        <w:t xml:space="preserve"> </w:t>
      </w:r>
    </w:p>
    <w:p w14:paraId="48942E92" w14:textId="77777777" w:rsidR="00703AA7" w:rsidRPr="00601845" w:rsidRDefault="00703AA7" w:rsidP="002E2668">
      <w:pPr>
        <w:rPr>
          <w:rFonts w:ascii="Arial" w:hAnsi="Arial" w:cs="Arial"/>
          <w:color w:val="000000" w:themeColor="text1"/>
          <w:sz w:val="20"/>
          <w:szCs w:val="20"/>
        </w:rPr>
      </w:pPr>
    </w:p>
    <w:p w14:paraId="5C55651E" w14:textId="77777777" w:rsidR="00601845" w:rsidRDefault="00703AA7" w:rsidP="002E2668">
      <w:pPr>
        <w:rPr>
          <w:rStyle w:val="Hyperlink"/>
          <w:rFonts w:ascii="Arial" w:hAnsi="Arial" w:cs="Arial"/>
          <w:sz w:val="20"/>
          <w:szCs w:val="20"/>
        </w:rPr>
      </w:pPr>
      <w:r w:rsidRPr="00601845">
        <w:rPr>
          <w:rFonts w:ascii="Arial" w:hAnsi="Arial" w:cs="Arial"/>
          <w:color w:val="000000" w:themeColor="text1"/>
          <w:sz w:val="20"/>
          <w:szCs w:val="20"/>
        </w:rPr>
        <w:t xml:space="preserve">Firoz Suleman, M., Rashidirad, M., &amp; Firoz Suleman, S. (2019). The applicability of Porter's generic strategies in pure online firms: A case study approach. Strategic Change, 28(3), 167-176. </w:t>
      </w:r>
      <w:hyperlink r:id="rId18" w:history="1">
        <w:r w:rsidRPr="00601845">
          <w:rPr>
            <w:rStyle w:val="Hyperlink"/>
            <w:rFonts w:ascii="Arial" w:hAnsi="Arial" w:cs="Arial"/>
            <w:sz w:val="20"/>
            <w:szCs w:val="20"/>
          </w:rPr>
          <w:t>https://doi.org/10.1002/jsc.2258</w:t>
        </w:r>
      </w:hyperlink>
    </w:p>
    <w:p w14:paraId="02287DFB" w14:textId="38CAEF91"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     </w:t>
      </w:r>
    </w:p>
    <w:p w14:paraId="6675A760" w14:textId="64D22719"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Hallsworth, A. G., &amp; Coca-Stefaniak, J. A. (2018). National high street retail and town centre policy at a </w:t>
      </w:r>
      <w:r w:rsidR="00001976">
        <w:rPr>
          <w:rFonts w:ascii="Arial" w:hAnsi="Arial" w:cs="Arial"/>
          <w:color w:val="000000" w:themeColor="text1"/>
          <w:sz w:val="20"/>
          <w:szCs w:val="20"/>
        </w:rPr>
        <w:t>crossroads</w:t>
      </w:r>
      <w:r w:rsidRPr="00601845">
        <w:rPr>
          <w:rFonts w:ascii="Arial" w:hAnsi="Arial" w:cs="Arial"/>
          <w:color w:val="000000" w:themeColor="text1"/>
          <w:sz w:val="20"/>
          <w:szCs w:val="20"/>
        </w:rPr>
        <w:t xml:space="preserve"> in England and Wales. Cities, 79, 134-140. </w:t>
      </w:r>
      <w:hyperlink r:id="rId19" w:history="1">
        <w:r w:rsidRPr="00601845">
          <w:rPr>
            <w:rStyle w:val="Hyperlink"/>
            <w:rFonts w:ascii="Arial" w:hAnsi="Arial" w:cs="Arial"/>
            <w:sz w:val="20"/>
            <w:szCs w:val="20"/>
          </w:rPr>
          <w:t>https://doi.org/10.1016/j.cities.2018.03.002</w:t>
        </w:r>
      </w:hyperlink>
      <w:r w:rsidR="00601845" w:rsidRPr="00601845">
        <w:rPr>
          <w:rStyle w:val="Hyperlink"/>
          <w:rFonts w:ascii="Arial" w:hAnsi="Arial" w:cs="Arial"/>
          <w:sz w:val="20"/>
          <w:szCs w:val="20"/>
        </w:rPr>
        <w:t xml:space="preserve"> </w:t>
      </w:r>
      <w:r w:rsidR="00601845">
        <w:rPr>
          <w:rFonts w:ascii="Arial" w:hAnsi="Arial" w:cs="Arial"/>
          <w:color w:val="000000" w:themeColor="text1"/>
          <w:sz w:val="20"/>
          <w:szCs w:val="20"/>
        </w:rPr>
        <w:t xml:space="preserve"> </w:t>
      </w:r>
      <w:r w:rsidRPr="00601845">
        <w:rPr>
          <w:rFonts w:ascii="Arial" w:hAnsi="Arial" w:cs="Arial"/>
          <w:color w:val="000000" w:themeColor="text1"/>
          <w:sz w:val="20"/>
          <w:szCs w:val="20"/>
        </w:rPr>
        <w:t xml:space="preserve"> </w:t>
      </w:r>
    </w:p>
    <w:p w14:paraId="554B5BAA" w14:textId="77777777" w:rsidR="00703AA7" w:rsidRPr="00601845" w:rsidRDefault="00703AA7" w:rsidP="002E2668">
      <w:pPr>
        <w:rPr>
          <w:rFonts w:ascii="Arial" w:hAnsi="Arial" w:cs="Arial"/>
          <w:color w:val="000000" w:themeColor="text1"/>
          <w:sz w:val="20"/>
          <w:szCs w:val="20"/>
        </w:rPr>
      </w:pPr>
    </w:p>
    <w:p w14:paraId="4AA2F9A0" w14:textId="239773B1"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Ho, J. Y., &amp; Hendi, A. S. (2018). Recent trends in life expectancy across </w:t>
      </w:r>
      <w:r w:rsidR="00001976">
        <w:rPr>
          <w:rFonts w:ascii="Arial" w:hAnsi="Arial" w:cs="Arial"/>
          <w:color w:val="000000" w:themeColor="text1"/>
          <w:sz w:val="20"/>
          <w:szCs w:val="20"/>
        </w:rPr>
        <w:t>high-income</w:t>
      </w:r>
      <w:r w:rsidRPr="00601845">
        <w:rPr>
          <w:rFonts w:ascii="Arial" w:hAnsi="Arial" w:cs="Arial"/>
          <w:color w:val="000000" w:themeColor="text1"/>
          <w:sz w:val="20"/>
          <w:szCs w:val="20"/>
        </w:rPr>
        <w:t xml:space="preserve"> countries: </w:t>
      </w:r>
      <w:r w:rsidR="00001976">
        <w:rPr>
          <w:rFonts w:ascii="Arial" w:hAnsi="Arial" w:cs="Arial"/>
          <w:color w:val="000000" w:themeColor="text1"/>
          <w:sz w:val="20"/>
          <w:szCs w:val="20"/>
        </w:rPr>
        <w:t xml:space="preserve">a </w:t>
      </w:r>
      <w:r w:rsidRPr="00601845">
        <w:rPr>
          <w:rFonts w:ascii="Arial" w:hAnsi="Arial" w:cs="Arial"/>
          <w:color w:val="000000" w:themeColor="text1"/>
          <w:sz w:val="20"/>
          <w:szCs w:val="20"/>
        </w:rPr>
        <w:t xml:space="preserve">retrospective observational study. bmj, 362. </w:t>
      </w:r>
      <w:hyperlink r:id="rId20" w:history="1">
        <w:r w:rsidRPr="00601845">
          <w:rPr>
            <w:rStyle w:val="Hyperlink"/>
            <w:rFonts w:ascii="Arial" w:hAnsi="Arial" w:cs="Arial"/>
            <w:sz w:val="20"/>
            <w:szCs w:val="20"/>
          </w:rPr>
          <w:t>https://doi.org/10.1136/bmj.k2562</w:t>
        </w:r>
      </w:hyperlink>
      <w:r w:rsidRPr="00601845">
        <w:rPr>
          <w:rStyle w:val="Hyperlink"/>
          <w:rFonts w:ascii="Arial" w:hAnsi="Arial" w:cs="Arial"/>
          <w:sz w:val="20"/>
          <w:szCs w:val="20"/>
        </w:rPr>
        <w:t xml:space="preserve"> </w:t>
      </w:r>
    </w:p>
    <w:p w14:paraId="295946A2" w14:textId="77777777" w:rsidR="00703AA7" w:rsidRPr="00601845" w:rsidRDefault="00703AA7" w:rsidP="002E2668">
      <w:pPr>
        <w:rPr>
          <w:rFonts w:ascii="Arial" w:hAnsi="Arial" w:cs="Arial"/>
          <w:color w:val="000000" w:themeColor="text1"/>
          <w:sz w:val="20"/>
          <w:szCs w:val="20"/>
        </w:rPr>
      </w:pPr>
    </w:p>
    <w:p w14:paraId="694F413F" w14:textId="60F77C42"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Islami, X., Mustafa, N., &amp; Topuzovska Latkovikj, M. (2020). Linking Porter’s generic strategies to firm performance. Future Business Journal, 6(1), 1-15. </w:t>
      </w:r>
      <w:hyperlink r:id="rId21" w:history="1">
        <w:r w:rsidRPr="003D19B8">
          <w:rPr>
            <w:rStyle w:val="Hyperlink"/>
            <w:rFonts w:ascii="Arial" w:hAnsi="Arial" w:cs="Arial"/>
            <w:sz w:val="20"/>
            <w:szCs w:val="20"/>
          </w:rPr>
          <w:t>https://doi.org/10.1186/s43093-020-0009-1</w:t>
        </w:r>
      </w:hyperlink>
      <w:r w:rsidRPr="00601845">
        <w:rPr>
          <w:rFonts w:ascii="Arial" w:hAnsi="Arial" w:cs="Arial"/>
          <w:color w:val="000000" w:themeColor="text1"/>
          <w:sz w:val="20"/>
          <w:szCs w:val="20"/>
        </w:rPr>
        <w:t xml:space="preserve"> </w:t>
      </w:r>
    </w:p>
    <w:p w14:paraId="1166CDCA" w14:textId="77777777" w:rsidR="00703AA7" w:rsidRPr="00601845" w:rsidRDefault="00703AA7" w:rsidP="002E2668">
      <w:pPr>
        <w:rPr>
          <w:rFonts w:ascii="Arial" w:hAnsi="Arial" w:cs="Arial"/>
          <w:color w:val="000000" w:themeColor="text1"/>
          <w:sz w:val="20"/>
          <w:szCs w:val="20"/>
        </w:rPr>
      </w:pPr>
    </w:p>
    <w:p w14:paraId="2086EABA" w14:textId="2FF181BF"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Jones, P., &amp; Comfort, D. (2019). Storytelling and corporate social responsibility reporting: A case study commentary on UK. food retailers. Journal of Public Affairs, 19(4), e1834. </w:t>
      </w:r>
      <w:hyperlink r:id="rId22" w:history="1">
        <w:r w:rsidRPr="003D19B8">
          <w:rPr>
            <w:rStyle w:val="Hyperlink"/>
            <w:rFonts w:ascii="Arial" w:hAnsi="Arial" w:cs="Arial"/>
            <w:sz w:val="20"/>
            <w:szCs w:val="20"/>
          </w:rPr>
          <w:t>https://doi.org/10.1002/pa.1834</w:t>
        </w:r>
      </w:hyperlink>
      <w:r w:rsidRPr="003D19B8">
        <w:rPr>
          <w:rStyle w:val="Hyperlink"/>
          <w:rFonts w:ascii="Arial" w:hAnsi="Arial" w:cs="Arial"/>
          <w:sz w:val="20"/>
          <w:szCs w:val="20"/>
        </w:rPr>
        <w:t xml:space="preserve"> </w:t>
      </w:r>
    </w:p>
    <w:p w14:paraId="5F0B3B2D" w14:textId="77777777" w:rsidR="00703AA7" w:rsidRPr="00601845" w:rsidRDefault="00703AA7" w:rsidP="002E2668">
      <w:pPr>
        <w:rPr>
          <w:rFonts w:ascii="Arial" w:hAnsi="Arial" w:cs="Arial"/>
          <w:color w:val="000000" w:themeColor="text1"/>
          <w:sz w:val="20"/>
          <w:szCs w:val="20"/>
        </w:rPr>
      </w:pPr>
    </w:p>
    <w:p w14:paraId="72E79711" w14:textId="4CEA0F6E"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Kaňa, A., Sadowska, M., Kvíčala, J., &amp; Mestek, O. (2020). Simultaneous determination of oxo-and thio-arsenic species using HPLC-ICP-MS. Journal of Food Composition and Analysis, 92, 103562. </w:t>
      </w:r>
      <w:hyperlink r:id="rId23" w:history="1">
        <w:r w:rsidRPr="003D19B8">
          <w:rPr>
            <w:rStyle w:val="Hyperlink"/>
            <w:rFonts w:ascii="Arial" w:hAnsi="Arial" w:cs="Arial"/>
            <w:sz w:val="20"/>
            <w:szCs w:val="20"/>
          </w:rPr>
          <w:t>https://doi.org/10.1016/j.jfca.2020.103562</w:t>
        </w:r>
      </w:hyperlink>
      <w:r w:rsidRPr="003D19B8">
        <w:rPr>
          <w:rStyle w:val="Hyperlink"/>
          <w:rFonts w:ascii="Arial" w:hAnsi="Arial" w:cs="Arial"/>
          <w:sz w:val="20"/>
          <w:szCs w:val="20"/>
        </w:rPr>
        <w:t xml:space="preserve"> </w:t>
      </w:r>
    </w:p>
    <w:p w14:paraId="4A5EBFE2" w14:textId="77777777" w:rsidR="00703AA7" w:rsidRPr="00601845" w:rsidRDefault="00703AA7" w:rsidP="002E2668">
      <w:pPr>
        <w:rPr>
          <w:rFonts w:ascii="Arial" w:hAnsi="Arial" w:cs="Arial"/>
          <w:color w:val="000000" w:themeColor="text1"/>
          <w:sz w:val="20"/>
          <w:szCs w:val="20"/>
        </w:rPr>
      </w:pPr>
    </w:p>
    <w:p w14:paraId="399B5B8A" w14:textId="2FF42189"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Karim, R., Latip, N. A., Marzuki, A., Haider, S., Nelofar, M., &amp; Muhammad, F. (2021). The Impact of 4Ps Marketing Mix in Tourism Development in the Mountain Areas: A Case Study. International Journal of Economics &amp; Business Administration (IJEBA), 9(2), 231-245. </w:t>
      </w:r>
      <w:hyperlink r:id="rId24" w:history="1">
        <w:r w:rsidRPr="003D19B8">
          <w:rPr>
            <w:rStyle w:val="Hyperlink"/>
            <w:rFonts w:ascii="Arial" w:hAnsi="Arial" w:cs="Arial"/>
            <w:sz w:val="20"/>
            <w:szCs w:val="20"/>
          </w:rPr>
          <w:t>https://doi.org/10.35808/ijeba/700</w:t>
        </w:r>
      </w:hyperlink>
      <w:r w:rsidRPr="00601845">
        <w:rPr>
          <w:rFonts w:ascii="Arial" w:hAnsi="Arial" w:cs="Arial"/>
          <w:color w:val="000000" w:themeColor="text1"/>
          <w:sz w:val="20"/>
          <w:szCs w:val="20"/>
        </w:rPr>
        <w:t xml:space="preserve"> </w:t>
      </w:r>
    </w:p>
    <w:p w14:paraId="43B755D8" w14:textId="77777777" w:rsidR="00703AA7" w:rsidRPr="00601845" w:rsidRDefault="00703AA7" w:rsidP="002E2668">
      <w:pPr>
        <w:rPr>
          <w:rFonts w:ascii="Arial" w:hAnsi="Arial" w:cs="Arial"/>
          <w:color w:val="000000" w:themeColor="text1"/>
          <w:sz w:val="20"/>
          <w:szCs w:val="20"/>
        </w:rPr>
      </w:pPr>
    </w:p>
    <w:p w14:paraId="18139A6C" w14:textId="3C85E6C6"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Kostka, G., &amp; Zhang, C. (2018). Tightening the grip: environmental governance under Xi Jinping. Environmental Politics, 27(5), 769-781</w:t>
      </w:r>
      <w:r w:rsidRPr="003D19B8">
        <w:rPr>
          <w:rStyle w:val="Hyperlink"/>
          <w:rFonts w:ascii="Arial" w:hAnsi="Arial" w:cs="Arial"/>
          <w:sz w:val="20"/>
          <w:szCs w:val="20"/>
          <w:u w:val="none"/>
        </w:rPr>
        <w:t>.</w:t>
      </w:r>
      <w:r w:rsidR="003D19B8" w:rsidRPr="003D19B8">
        <w:rPr>
          <w:rStyle w:val="Hyperlink"/>
          <w:rFonts w:ascii="Arial" w:hAnsi="Arial" w:cs="Arial"/>
          <w:sz w:val="20"/>
          <w:szCs w:val="20"/>
          <w:u w:val="none"/>
        </w:rPr>
        <w:t xml:space="preserve"> </w:t>
      </w:r>
      <w:hyperlink r:id="rId25" w:history="1">
        <w:r w:rsidR="003D19B8" w:rsidRPr="003D19B8">
          <w:rPr>
            <w:rStyle w:val="Hyperlink"/>
            <w:rFonts w:ascii="Arial" w:hAnsi="Arial" w:cs="Arial"/>
            <w:sz w:val="20"/>
            <w:szCs w:val="20"/>
          </w:rPr>
          <w:t>https://doi.org/10.1080/09644016.2018.1491116</w:t>
        </w:r>
      </w:hyperlink>
      <w:r w:rsidRPr="00601845">
        <w:rPr>
          <w:rFonts w:ascii="Arial" w:hAnsi="Arial" w:cs="Arial"/>
          <w:color w:val="000000" w:themeColor="text1"/>
          <w:sz w:val="20"/>
          <w:szCs w:val="20"/>
        </w:rPr>
        <w:t xml:space="preserve"> </w:t>
      </w:r>
    </w:p>
    <w:p w14:paraId="1DDC9C27" w14:textId="77777777" w:rsidR="00703AA7" w:rsidRPr="00601845" w:rsidRDefault="00703AA7" w:rsidP="002E2668">
      <w:pPr>
        <w:rPr>
          <w:rFonts w:ascii="Arial" w:hAnsi="Arial" w:cs="Arial"/>
          <w:color w:val="000000" w:themeColor="text1"/>
          <w:sz w:val="20"/>
          <w:szCs w:val="20"/>
        </w:rPr>
      </w:pPr>
    </w:p>
    <w:p w14:paraId="4317DA2E" w14:textId="2EC59C06"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Mogaji, E. (2018, July). Offensive but not so offensive: Fostering ethical and socially responsible marketing in undergraduate marketing students. In Academy of Marketing Annual Conference Proceedings, 3rd-5th July, </w:t>
      </w:r>
      <w:r w:rsidR="00001976">
        <w:rPr>
          <w:rFonts w:ascii="Arial" w:hAnsi="Arial" w:cs="Arial"/>
          <w:color w:val="000000" w:themeColor="text1"/>
          <w:sz w:val="20"/>
          <w:szCs w:val="20"/>
        </w:rPr>
        <w:t xml:space="preserve">the </w:t>
      </w:r>
      <w:r w:rsidRPr="00601845">
        <w:rPr>
          <w:rFonts w:ascii="Arial" w:hAnsi="Arial" w:cs="Arial"/>
          <w:color w:val="000000" w:themeColor="text1"/>
          <w:sz w:val="20"/>
          <w:szCs w:val="20"/>
        </w:rPr>
        <w:t xml:space="preserve">University of Stirling, Stirling, Scotland. </w:t>
      </w:r>
      <w:hyperlink r:id="rId26" w:history="1">
        <w:r w:rsidRPr="003D19B8">
          <w:rPr>
            <w:rStyle w:val="Hyperlink"/>
            <w:rFonts w:ascii="Arial" w:hAnsi="Arial" w:cs="Arial"/>
            <w:sz w:val="20"/>
            <w:szCs w:val="20"/>
          </w:rPr>
          <w:t>https://doi.org/10.31124/advance.7203266</w:t>
        </w:r>
      </w:hyperlink>
      <w:r w:rsidRPr="00601845">
        <w:rPr>
          <w:rFonts w:ascii="Arial" w:hAnsi="Arial" w:cs="Arial"/>
          <w:color w:val="000000" w:themeColor="text1"/>
          <w:sz w:val="20"/>
          <w:szCs w:val="20"/>
        </w:rPr>
        <w:t xml:space="preserve"> </w:t>
      </w:r>
    </w:p>
    <w:p w14:paraId="6A16E1E2" w14:textId="77777777" w:rsidR="00703AA7" w:rsidRPr="00601845" w:rsidRDefault="00703AA7" w:rsidP="002E2668">
      <w:pPr>
        <w:rPr>
          <w:rFonts w:ascii="Arial" w:hAnsi="Arial" w:cs="Arial"/>
          <w:color w:val="000000" w:themeColor="text1"/>
          <w:sz w:val="20"/>
          <w:szCs w:val="20"/>
        </w:rPr>
      </w:pPr>
    </w:p>
    <w:p w14:paraId="0519F25A" w14:textId="52661015"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Monte, A. (2021). A study of value chain reconfiguration processes under Covid-19 pressures: the case of Tesco PLC in the United Kingdom. </w:t>
      </w:r>
      <w:hyperlink r:id="rId27" w:history="1">
        <w:r w:rsidRPr="002E2668">
          <w:rPr>
            <w:rStyle w:val="Hyperlink"/>
            <w:rFonts w:ascii="Arial" w:hAnsi="Arial" w:cs="Arial"/>
            <w:sz w:val="20"/>
            <w:szCs w:val="20"/>
          </w:rPr>
          <w:t>https://tesi.luiss.it/id/eprint/31586</w:t>
        </w:r>
      </w:hyperlink>
    </w:p>
    <w:p w14:paraId="7C2A3368" w14:textId="77777777" w:rsidR="00703AA7" w:rsidRPr="00601845" w:rsidRDefault="00703AA7" w:rsidP="002E2668">
      <w:pPr>
        <w:rPr>
          <w:rFonts w:ascii="Arial" w:hAnsi="Arial" w:cs="Arial"/>
          <w:color w:val="000000" w:themeColor="text1"/>
          <w:sz w:val="20"/>
          <w:szCs w:val="20"/>
        </w:rPr>
      </w:pPr>
    </w:p>
    <w:p w14:paraId="4F731FCA" w14:textId="161763B6"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Mooney, S. (2019). An investigation into attitudes of Tesco customers in South Dublin towards private-label brands (Doctoral dissertation, Dublin Business School). </w:t>
      </w:r>
      <w:hyperlink r:id="rId28" w:history="1">
        <w:r w:rsidRPr="002E2668">
          <w:rPr>
            <w:rStyle w:val="Hyperlink"/>
            <w:rFonts w:ascii="Arial" w:hAnsi="Arial" w:cs="Arial"/>
            <w:sz w:val="20"/>
            <w:szCs w:val="20"/>
          </w:rPr>
          <w:t>https://doi.org/10.7176/ejbm/11-20-08</w:t>
        </w:r>
      </w:hyperlink>
      <w:r w:rsidRPr="002E2668">
        <w:rPr>
          <w:rStyle w:val="Hyperlink"/>
          <w:rFonts w:ascii="Arial" w:hAnsi="Arial" w:cs="Arial"/>
          <w:sz w:val="20"/>
          <w:szCs w:val="20"/>
        </w:rPr>
        <w:t xml:space="preserve"> </w:t>
      </w:r>
    </w:p>
    <w:p w14:paraId="1A590460" w14:textId="77777777" w:rsidR="00703AA7" w:rsidRPr="00601845" w:rsidRDefault="00703AA7" w:rsidP="002E2668">
      <w:pPr>
        <w:rPr>
          <w:rFonts w:ascii="Arial" w:hAnsi="Arial" w:cs="Arial"/>
          <w:color w:val="000000" w:themeColor="text1"/>
          <w:sz w:val="20"/>
          <w:szCs w:val="20"/>
        </w:rPr>
      </w:pPr>
    </w:p>
    <w:p w14:paraId="0E9771F6" w14:textId="6409A6BF"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Moura, M. B. L. D. (2021). Equity Research in Food &amp; Retail Industry-TESCO PLC (Doctoral dissertation, Instituto Superior de Economia e Gestão). </w:t>
      </w:r>
      <w:hyperlink r:id="rId29" w:history="1">
        <w:r w:rsidRPr="002E2668">
          <w:rPr>
            <w:rStyle w:val="Hyperlink"/>
            <w:rFonts w:ascii="Arial" w:hAnsi="Arial" w:cs="Arial"/>
            <w:sz w:val="20"/>
            <w:szCs w:val="20"/>
          </w:rPr>
          <w:t>http://hdl.handle.net/10400.5/23303</w:t>
        </w:r>
      </w:hyperlink>
      <w:r w:rsidRPr="00601845">
        <w:rPr>
          <w:rFonts w:ascii="Arial" w:hAnsi="Arial" w:cs="Arial"/>
          <w:color w:val="000000" w:themeColor="text1"/>
          <w:sz w:val="20"/>
          <w:szCs w:val="20"/>
        </w:rPr>
        <w:t xml:space="preserve"> </w:t>
      </w:r>
    </w:p>
    <w:p w14:paraId="614EDF5A" w14:textId="77777777" w:rsidR="00703AA7" w:rsidRPr="00601845" w:rsidRDefault="00703AA7" w:rsidP="002E2668">
      <w:pPr>
        <w:rPr>
          <w:rFonts w:ascii="Arial" w:hAnsi="Arial" w:cs="Arial"/>
          <w:color w:val="000000" w:themeColor="text1"/>
          <w:sz w:val="20"/>
          <w:szCs w:val="20"/>
        </w:rPr>
      </w:pPr>
    </w:p>
    <w:p w14:paraId="62FB9B38" w14:textId="553599B3" w:rsidR="00703AA7"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Muli, A. N. (2019). Strategic financial evaluation and analysis of Tesco and benedict co. </w:t>
      </w:r>
      <w:hyperlink r:id="rId30" w:history="1">
        <w:r w:rsidRPr="002E2668">
          <w:rPr>
            <w:rStyle w:val="Hyperlink"/>
            <w:rFonts w:ascii="Arial" w:hAnsi="Arial" w:cs="Arial"/>
            <w:sz w:val="20"/>
            <w:szCs w:val="20"/>
          </w:rPr>
          <w:t>https://doi.org/10.2139/ssrn.3890897</w:t>
        </w:r>
      </w:hyperlink>
      <w:r w:rsidRPr="00601845">
        <w:rPr>
          <w:rFonts w:ascii="Arial" w:hAnsi="Arial" w:cs="Arial"/>
          <w:color w:val="000000" w:themeColor="text1"/>
          <w:sz w:val="20"/>
          <w:szCs w:val="20"/>
        </w:rPr>
        <w:t xml:space="preserve"> </w:t>
      </w:r>
    </w:p>
    <w:p w14:paraId="04563821" w14:textId="7AB40421" w:rsidR="00FE327C" w:rsidRDefault="00FE327C" w:rsidP="002E2668">
      <w:pPr>
        <w:rPr>
          <w:rFonts w:ascii="Arial" w:hAnsi="Arial" w:cs="Arial"/>
          <w:color w:val="000000" w:themeColor="text1"/>
          <w:sz w:val="20"/>
          <w:szCs w:val="20"/>
        </w:rPr>
      </w:pPr>
    </w:p>
    <w:p w14:paraId="670F6464" w14:textId="25AFAAFC" w:rsidR="00FE327C" w:rsidRPr="00601845" w:rsidRDefault="00FE327C" w:rsidP="002E2668">
      <w:pPr>
        <w:rPr>
          <w:rFonts w:ascii="Arial" w:hAnsi="Arial" w:cs="Arial"/>
          <w:color w:val="000000" w:themeColor="text1"/>
          <w:sz w:val="20"/>
          <w:szCs w:val="20"/>
        </w:rPr>
      </w:pPr>
      <w:r>
        <w:rPr>
          <w:rFonts w:ascii="Arial" w:hAnsi="Arial" w:cs="Arial"/>
          <w:color w:val="000000" w:themeColor="text1"/>
          <w:sz w:val="20"/>
          <w:szCs w:val="20"/>
        </w:rPr>
        <w:t xml:space="preserve">Nickols, F., (2016) Strategy: Definitions and Meanings. (Online). Available at: </w:t>
      </w:r>
      <w:hyperlink r:id="rId31" w:history="1">
        <w:r w:rsidRPr="004B12D0">
          <w:rPr>
            <w:rStyle w:val="Hyperlink"/>
            <w:rFonts w:ascii="Arial" w:hAnsi="Arial" w:cs="Arial"/>
            <w:sz w:val="20"/>
            <w:szCs w:val="20"/>
          </w:rPr>
          <w:t>http://50.87.121.26/strategy_definitions.pdf</w:t>
        </w:r>
      </w:hyperlink>
      <w:r>
        <w:rPr>
          <w:rFonts w:ascii="Arial" w:hAnsi="Arial" w:cs="Arial"/>
          <w:color w:val="000000" w:themeColor="text1"/>
          <w:sz w:val="20"/>
          <w:szCs w:val="20"/>
        </w:rPr>
        <w:t>. (Accessed 30 Mar 2022).</w:t>
      </w:r>
    </w:p>
    <w:p w14:paraId="609BFC34" w14:textId="77777777" w:rsidR="00703AA7" w:rsidRPr="00601845" w:rsidRDefault="00703AA7" w:rsidP="002E2668">
      <w:pPr>
        <w:rPr>
          <w:rFonts w:ascii="Arial" w:hAnsi="Arial" w:cs="Arial"/>
          <w:color w:val="000000" w:themeColor="text1"/>
          <w:sz w:val="20"/>
          <w:szCs w:val="20"/>
        </w:rPr>
      </w:pPr>
    </w:p>
    <w:p w14:paraId="697E9DAA" w14:textId="5B275106"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lastRenderedPageBreak/>
        <w:t xml:space="preserve">Pandey, R., Dillip, D., Jayant, J., Vashishth, K., Nikhil, N., Qi, T. J., ... &amp; Qhi, L. Y. (2021). Factors Influencing Organization Success: A Case Study of Walmart. International journal of Tourism and hospitality in Asia Pasific (IJTHAP), 4(2), 112-123. </w:t>
      </w:r>
      <w:hyperlink r:id="rId32" w:history="1">
        <w:r w:rsidRPr="002E2668">
          <w:rPr>
            <w:rStyle w:val="Hyperlink"/>
            <w:rFonts w:ascii="Arial" w:hAnsi="Arial" w:cs="Arial"/>
            <w:sz w:val="20"/>
            <w:szCs w:val="20"/>
          </w:rPr>
          <w:t>https://doi.org/10.32535/ijthap.v4i2.1059</w:t>
        </w:r>
      </w:hyperlink>
      <w:r w:rsidRPr="00601845">
        <w:rPr>
          <w:rFonts w:ascii="Arial" w:hAnsi="Arial" w:cs="Arial"/>
          <w:color w:val="000000" w:themeColor="text1"/>
          <w:sz w:val="20"/>
          <w:szCs w:val="20"/>
        </w:rPr>
        <w:t xml:space="preserve"> </w:t>
      </w:r>
    </w:p>
    <w:p w14:paraId="0E5C2FDF" w14:textId="77777777" w:rsidR="00703AA7" w:rsidRPr="00601845" w:rsidRDefault="00703AA7" w:rsidP="002E2668">
      <w:pPr>
        <w:rPr>
          <w:rFonts w:ascii="Arial" w:hAnsi="Arial" w:cs="Arial"/>
          <w:color w:val="000000" w:themeColor="text1"/>
          <w:sz w:val="20"/>
          <w:szCs w:val="20"/>
        </w:rPr>
      </w:pPr>
    </w:p>
    <w:p w14:paraId="3973794C" w14:textId="01A52594"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Popović, V., Mihailović, B., &amp; Simonović, Z. (2018). Modern food retail and unfair trading practices. Економика пољопривреде, 65(4), 1499-1511. </w:t>
      </w:r>
      <w:hyperlink r:id="rId33" w:history="1">
        <w:r w:rsidRPr="002E2668">
          <w:rPr>
            <w:rStyle w:val="Hyperlink"/>
            <w:rFonts w:ascii="Arial" w:hAnsi="Arial" w:cs="Arial"/>
            <w:sz w:val="20"/>
            <w:szCs w:val="20"/>
          </w:rPr>
          <w:t>https://doi.org/10.5937/ekopolj1804499</w:t>
        </w:r>
      </w:hyperlink>
      <w:r w:rsidRPr="00601845">
        <w:rPr>
          <w:rFonts w:ascii="Arial" w:hAnsi="Arial" w:cs="Arial"/>
          <w:color w:val="000000" w:themeColor="text1"/>
          <w:sz w:val="20"/>
          <w:szCs w:val="20"/>
        </w:rPr>
        <w:t xml:space="preserve"> </w:t>
      </w:r>
    </w:p>
    <w:p w14:paraId="379F4EA5" w14:textId="77777777" w:rsidR="00703AA7" w:rsidRPr="00601845" w:rsidRDefault="00703AA7" w:rsidP="002E2668">
      <w:pPr>
        <w:rPr>
          <w:rFonts w:ascii="Arial" w:hAnsi="Arial" w:cs="Arial"/>
          <w:color w:val="000000" w:themeColor="text1"/>
          <w:sz w:val="20"/>
          <w:szCs w:val="20"/>
        </w:rPr>
      </w:pPr>
    </w:p>
    <w:p w14:paraId="1E0119B9" w14:textId="7598EC67"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Raum, S., Rawlings-Sanaei, F., &amp; Potter, C. (2021). A web content-based method of stakeholder analysis: The case of forestry in the context of natural resource management. Journal of Environmental Management, 300, 113733. </w:t>
      </w:r>
      <w:hyperlink r:id="rId34" w:history="1">
        <w:r w:rsidRPr="002E2668">
          <w:rPr>
            <w:rStyle w:val="Hyperlink"/>
            <w:rFonts w:ascii="Arial" w:hAnsi="Arial" w:cs="Arial"/>
            <w:sz w:val="20"/>
            <w:szCs w:val="20"/>
          </w:rPr>
          <w:t>https://doi.org/10.1016/j.jenvman.2021.113733</w:t>
        </w:r>
      </w:hyperlink>
      <w:r w:rsidRPr="002E2668">
        <w:rPr>
          <w:rStyle w:val="Hyperlink"/>
          <w:rFonts w:ascii="Arial" w:hAnsi="Arial" w:cs="Arial"/>
          <w:sz w:val="20"/>
          <w:szCs w:val="20"/>
        </w:rPr>
        <w:t xml:space="preserve"> </w:t>
      </w:r>
    </w:p>
    <w:p w14:paraId="06B21645" w14:textId="77777777" w:rsidR="00703AA7" w:rsidRPr="00601845" w:rsidRDefault="00703AA7" w:rsidP="002E2668">
      <w:pPr>
        <w:rPr>
          <w:rFonts w:ascii="Arial" w:hAnsi="Arial" w:cs="Arial"/>
          <w:color w:val="000000" w:themeColor="text1"/>
          <w:sz w:val="20"/>
          <w:szCs w:val="20"/>
        </w:rPr>
      </w:pPr>
    </w:p>
    <w:p w14:paraId="2B44A221" w14:textId="3D5F2163"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Sijabat, R. (2019). Macro-environment analysis of the tourism industry in Indonesia: findings from the PEST analysis. Innovative issues and approaches in social sciences, 12(3), 101. </w:t>
      </w:r>
      <w:hyperlink r:id="rId35" w:history="1">
        <w:r w:rsidRPr="002E2668">
          <w:rPr>
            <w:rStyle w:val="Hyperlink"/>
            <w:rFonts w:ascii="Arial" w:hAnsi="Arial" w:cs="Arial"/>
            <w:sz w:val="20"/>
            <w:szCs w:val="20"/>
          </w:rPr>
          <w:t>https://doi.org/10.12959/issn.1855-0541.iiass-2019-no3-art6</w:t>
        </w:r>
      </w:hyperlink>
      <w:r w:rsidRPr="00601845">
        <w:rPr>
          <w:rFonts w:ascii="Arial" w:hAnsi="Arial" w:cs="Arial"/>
          <w:color w:val="000000" w:themeColor="text1"/>
          <w:sz w:val="20"/>
          <w:szCs w:val="20"/>
        </w:rPr>
        <w:t xml:space="preserve"> </w:t>
      </w:r>
    </w:p>
    <w:p w14:paraId="0590B4FA" w14:textId="77777777" w:rsidR="00601845" w:rsidRPr="00601845" w:rsidRDefault="00601845" w:rsidP="002E2668">
      <w:pPr>
        <w:rPr>
          <w:rFonts w:ascii="Arial" w:hAnsi="Arial" w:cs="Arial"/>
          <w:color w:val="000000" w:themeColor="text1"/>
          <w:sz w:val="20"/>
          <w:szCs w:val="20"/>
        </w:rPr>
      </w:pPr>
    </w:p>
    <w:p w14:paraId="030C9041" w14:textId="1B7B7E6A" w:rsidR="00703AA7" w:rsidRPr="002E2668" w:rsidRDefault="00703AA7" w:rsidP="002E2668">
      <w:pPr>
        <w:rPr>
          <w:rStyle w:val="Hyperlink"/>
          <w:rFonts w:ascii="Arial" w:hAnsi="Arial" w:cs="Arial"/>
          <w:sz w:val="20"/>
          <w:szCs w:val="20"/>
        </w:rPr>
      </w:pPr>
      <w:r w:rsidRPr="00601845">
        <w:rPr>
          <w:rFonts w:ascii="Arial" w:hAnsi="Arial" w:cs="Arial"/>
          <w:color w:val="000000" w:themeColor="text1"/>
          <w:sz w:val="20"/>
          <w:szCs w:val="20"/>
        </w:rPr>
        <w:t xml:space="preserve">Smith, R., &amp; McElwee, G. (2021). The “horse-meat” scandal: illegal activity in the food supply chain. Supply Chain Management: An International Journal. </w:t>
      </w:r>
      <w:hyperlink r:id="rId36" w:history="1">
        <w:r w:rsidRPr="002E2668">
          <w:rPr>
            <w:rStyle w:val="Hyperlink"/>
            <w:rFonts w:ascii="Arial" w:hAnsi="Arial" w:cs="Arial"/>
            <w:sz w:val="20"/>
            <w:szCs w:val="20"/>
          </w:rPr>
          <w:t>https://doi.org/10.1108/scm-08-2019-0292</w:t>
        </w:r>
      </w:hyperlink>
      <w:r w:rsidRPr="002E2668">
        <w:rPr>
          <w:rStyle w:val="Hyperlink"/>
          <w:rFonts w:ascii="Arial" w:hAnsi="Arial" w:cs="Arial"/>
          <w:sz w:val="20"/>
          <w:szCs w:val="20"/>
        </w:rPr>
        <w:t xml:space="preserve"> </w:t>
      </w:r>
    </w:p>
    <w:p w14:paraId="6BAD66B2" w14:textId="77777777" w:rsidR="00601845" w:rsidRPr="00601845" w:rsidRDefault="00601845" w:rsidP="002E2668">
      <w:pPr>
        <w:rPr>
          <w:rFonts w:ascii="Arial" w:hAnsi="Arial" w:cs="Arial"/>
          <w:color w:val="000000" w:themeColor="text1"/>
          <w:sz w:val="20"/>
          <w:szCs w:val="20"/>
        </w:rPr>
      </w:pPr>
    </w:p>
    <w:p w14:paraId="1406ACF0" w14:textId="7649B1B9"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Soegoto, F. A. (2021). Product Development using SWOT Analysis. International Journal of Entrepreneurship &amp; Technopreneur (INJETECH), 1, 1-10. </w:t>
      </w:r>
      <w:hyperlink r:id="rId37" w:history="1">
        <w:r w:rsidRPr="002E2668">
          <w:rPr>
            <w:rStyle w:val="Hyperlink"/>
            <w:rFonts w:ascii="Arial" w:hAnsi="Arial" w:cs="Arial"/>
            <w:sz w:val="20"/>
            <w:szCs w:val="20"/>
          </w:rPr>
          <w:t>https://doi.org/10.34010/injetech.v1i1.4819</w:t>
        </w:r>
      </w:hyperlink>
      <w:r w:rsidRPr="00601845">
        <w:rPr>
          <w:rFonts w:ascii="Arial" w:hAnsi="Arial" w:cs="Arial"/>
          <w:color w:val="000000" w:themeColor="text1"/>
          <w:sz w:val="20"/>
          <w:szCs w:val="20"/>
        </w:rPr>
        <w:t xml:space="preserve"> </w:t>
      </w:r>
    </w:p>
    <w:p w14:paraId="0433F82D" w14:textId="77777777" w:rsidR="00601845" w:rsidRPr="00601845" w:rsidRDefault="00601845" w:rsidP="002E2668">
      <w:pPr>
        <w:rPr>
          <w:rFonts w:ascii="Arial" w:hAnsi="Arial" w:cs="Arial"/>
          <w:color w:val="000000" w:themeColor="text1"/>
          <w:sz w:val="20"/>
          <w:szCs w:val="20"/>
        </w:rPr>
      </w:pPr>
    </w:p>
    <w:p w14:paraId="5F2523D1" w14:textId="77777777" w:rsidR="00703AA7" w:rsidRPr="002E2668" w:rsidRDefault="00703AA7" w:rsidP="002E2668">
      <w:pPr>
        <w:rPr>
          <w:rStyle w:val="Hyperlink"/>
          <w:rFonts w:ascii="Arial" w:hAnsi="Arial" w:cs="Arial"/>
          <w:sz w:val="20"/>
          <w:szCs w:val="20"/>
        </w:rPr>
      </w:pPr>
      <w:r w:rsidRPr="00601845">
        <w:rPr>
          <w:rFonts w:ascii="Arial" w:hAnsi="Arial" w:cs="Arial"/>
          <w:color w:val="000000" w:themeColor="text1"/>
          <w:sz w:val="20"/>
          <w:szCs w:val="20"/>
        </w:rPr>
        <w:t xml:space="preserve">Stanton, J. L. (2018). A brief history of food retail. British Food Journal. </w:t>
      </w:r>
      <w:hyperlink r:id="rId38" w:history="1">
        <w:r w:rsidRPr="002E2668">
          <w:rPr>
            <w:rStyle w:val="Hyperlink"/>
            <w:rFonts w:ascii="Arial" w:hAnsi="Arial" w:cs="Arial"/>
            <w:sz w:val="20"/>
            <w:szCs w:val="20"/>
          </w:rPr>
          <w:t>https://doi.org/10.1108/bfj-01-2017-0033</w:t>
        </w:r>
      </w:hyperlink>
      <w:r w:rsidRPr="002E2668">
        <w:rPr>
          <w:rStyle w:val="Hyperlink"/>
          <w:rFonts w:ascii="Arial" w:hAnsi="Arial" w:cs="Arial"/>
          <w:sz w:val="20"/>
          <w:szCs w:val="20"/>
        </w:rPr>
        <w:t xml:space="preserve"> </w:t>
      </w:r>
    </w:p>
    <w:p w14:paraId="2D8245AA" w14:textId="3DC2B41C" w:rsidR="00C10B85"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Swanson, A. (2018). US and China Expand Trade War as Beijing Matches Trumpʼs Tariffs. </w:t>
      </w:r>
      <w:hyperlink r:id="rId39" w:history="1">
        <w:r w:rsidRPr="002E2668">
          <w:rPr>
            <w:rStyle w:val="Hyperlink"/>
            <w:rFonts w:ascii="Arial" w:hAnsi="Arial" w:cs="Arial"/>
            <w:sz w:val="20"/>
            <w:szCs w:val="20"/>
          </w:rPr>
          <w:t>https://doi.org/10.1007/978-981-15-3785-1_24</w:t>
        </w:r>
      </w:hyperlink>
      <w:r w:rsidRPr="00601845">
        <w:rPr>
          <w:rFonts w:ascii="Arial" w:hAnsi="Arial" w:cs="Arial"/>
          <w:color w:val="000000" w:themeColor="text1"/>
          <w:sz w:val="20"/>
          <w:szCs w:val="20"/>
        </w:rPr>
        <w:t xml:space="preserve"> </w:t>
      </w:r>
    </w:p>
    <w:p w14:paraId="088062F7" w14:textId="40614704" w:rsidR="00601845" w:rsidRPr="00601845" w:rsidRDefault="00601845" w:rsidP="002E2668">
      <w:pPr>
        <w:rPr>
          <w:rFonts w:ascii="Arial" w:hAnsi="Arial" w:cs="Arial"/>
          <w:color w:val="000000" w:themeColor="text1"/>
          <w:sz w:val="20"/>
          <w:szCs w:val="20"/>
        </w:rPr>
      </w:pPr>
      <w:r w:rsidRPr="00601845">
        <w:rPr>
          <w:rFonts w:ascii="Arial" w:hAnsi="Arial" w:cs="Arial"/>
          <w:color w:val="000000" w:themeColor="text1"/>
          <w:sz w:val="20"/>
          <w:szCs w:val="20"/>
        </w:rPr>
        <w:tab/>
      </w:r>
    </w:p>
    <w:p w14:paraId="47602ACD" w14:textId="77777777" w:rsidR="00703AA7" w:rsidRPr="00601845" w:rsidRDefault="00703AA7" w:rsidP="002E2668">
      <w:pPr>
        <w:rPr>
          <w:rFonts w:ascii="Arial" w:hAnsi="Arial" w:cs="Arial"/>
          <w:color w:val="000000" w:themeColor="text1"/>
          <w:sz w:val="20"/>
          <w:szCs w:val="20"/>
        </w:rPr>
      </w:pPr>
      <w:r w:rsidRPr="00601845">
        <w:rPr>
          <w:rFonts w:ascii="Arial" w:hAnsi="Arial" w:cs="Arial"/>
          <w:color w:val="000000" w:themeColor="text1"/>
          <w:sz w:val="20"/>
          <w:szCs w:val="20"/>
        </w:rPr>
        <w:t xml:space="preserve">Tirawatnapong, R., &amp; Fernando, M. (2018). Factors influencing Bangkok people purchase intention towards Tesco Lotus house brand products. International Research E-Journal on Business and Economics, 4(2), 15-29. </w:t>
      </w:r>
      <w:hyperlink r:id="rId40" w:history="1">
        <w:r w:rsidRPr="002E2668">
          <w:rPr>
            <w:rStyle w:val="Hyperlink"/>
            <w:rFonts w:ascii="Arial" w:hAnsi="Arial" w:cs="Arial"/>
            <w:sz w:val="20"/>
            <w:szCs w:val="20"/>
          </w:rPr>
          <w:t>https://doi.org/10.26666/rmp.ijbm.2020.5.9</w:t>
        </w:r>
      </w:hyperlink>
      <w:r w:rsidRPr="00601845">
        <w:rPr>
          <w:rFonts w:ascii="Arial" w:hAnsi="Arial" w:cs="Arial"/>
          <w:color w:val="000000" w:themeColor="text1"/>
          <w:sz w:val="20"/>
          <w:szCs w:val="20"/>
        </w:rPr>
        <w:t xml:space="preserve"> </w:t>
      </w:r>
    </w:p>
    <w:p w14:paraId="68B3BFB5" w14:textId="749FB1DF" w:rsidR="003F69D6" w:rsidRPr="00703AA7" w:rsidRDefault="003F69D6" w:rsidP="002E2668">
      <w:pPr>
        <w:rPr>
          <w:rFonts w:ascii="Arial" w:hAnsi="Arial" w:cs="Arial"/>
          <w:color w:val="000000" w:themeColor="text1"/>
          <w:sz w:val="18"/>
          <w:szCs w:val="18"/>
        </w:rPr>
      </w:pPr>
    </w:p>
    <w:p w14:paraId="2D77A928" w14:textId="42CEB1B0" w:rsidR="0030173B" w:rsidRPr="00703AA7" w:rsidRDefault="0030173B" w:rsidP="002E2668">
      <w:pPr>
        <w:rPr>
          <w:rFonts w:ascii="Arial" w:hAnsi="Arial" w:cs="Arial"/>
          <w:color w:val="000000" w:themeColor="text1"/>
          <w:sz w:val="18"/>
          <w:szCs w:val="18"/>
        </w:rPr>
      </w:pPr>
    </w:p>
    <w:p w14:paraId="06DF5BD7" w14:textId="742B45FB" w:rsidR="0030173B" w:rsidRPr="003C0615" w:rsidRDefault="0030173B" w:rsidP="002E2668">
      <w:pPr>
        <w:rPr>
          <w:rFonts w:ascii="Arial" w:hAnsi="Arial" w:cs="Arial"/>
          <w:color w:val="000000" w:themeColor="text1"/>
        </w:rPr>
      </w:pPr>
      <w:r w:rsidRPr="003C0615">
        <w:rPr>
          <w:rFonts w:ascii="Arial" w:hAnsi="Arial" w:cs="Arial"/>
          <w:color w:val="000000" w:themeColor="text1"/>
        </w:rPr>
        <w:br w:type="page"/>
      </w:r>
    </w:p>
    <w:p w14:paraId="3B28B415" w14:textId="77777777" w:rsidR="0030173B" w:rsidRPr="003C0615" w:rsidRDefault="0030173B" w:rsidP="00703AA7">
      <w:pPr>
        <w:rPr>
          <w:rFonts w:ascii="Arial" w:hAnsi="Arial" w:cs="Arial"/>
          <w:color w:val="000000" w:themeColor="text1"/>
        </w:rPr>
      </w:pPr>
    </w:p>
    <w:p w14:paraId="52CE686E" w14:textId="4EB2CED7" w:rsidR="003F69D6" w:rsidRDefault="003F69D6" w:rsidP="00703AA7">
      <w:pPr>
        <w:pStyle w:val="Heading2"/>
        <w:spacing w:before="0"/>
        <w:rPr>
          <w:rFonts w:ascii="Arial" w:hAnsi="Arial" w:cs="Arial"/>
          <w:color w:val="000000" w:themeColor="text1"/>
        </w:rPr>
      </w:pPr>
      <w:r w:rsidRPr="003C0615">
        <w:rPr>
          <w:rFonts w:ascii="Arial" w:hAnsi="Arial" w:cs="Arial"/>
          <w:color w:val="000000" w:themeColor="text1"/>
        </w:rPr>
        <w:t xml:space="preserve"> </w:t>
      </w:r>
      <w:bookmarkStart w:id="9" w:name="_Toc511311660"/>
      <w:r w:rsidR="002049FE" w:rsidRPr="003C0615">
        <w:rPr>
          <w:rFonts w:ascii="Arial" w:hAnsi="Arial" w:cs="Arial"/>
          <w:color w:val="000000" w:themeColor="text1"/>
        </w:rPr>
        <w:t>Appendix 1</w:t>
      </w:r>
      <w:bookmarkEnd w:id="9"/>
      <w:r w:rsidR="00AC1C36">
        <w:rPr>
          <w:rFonts w:ascii="Arial" w:hAnsi="Arial" w:cs="Arial"/>
          <w:color w:val="000000" w:themeColor="text1"/>
        </w:rPr>
        <w:t xml:space="preserve"> Porters Generic Strategies</w:t>
      </w:r>
    </w:p>
    <w:p w14:paraId="557B298A" w14:textId="3C4884B0" w:rsidR="00AC1C36" w:rsidRDefault="00AC1C36" w:rsidP="00AC1C36"/>
    <w:p w14:paraId="150B9F7B" w14:textId="7B9936DC" w:rsidR="00AC1C36" w:rsidRPr="00AC1C36" w:rsidRDefault="00AC1C36" w:rsidP="00AC1C36"/>
    <w:p w14:paraId="21ED0B66" w14:textId="4A23D28B" w:rsidR="00AC1C36" w:rsidRPr="00AC1C36" w:rsidRDefault="00AC1C36" w:rsidP="00AC1C36">
      <w:pPr>
        <w:rPr>
          <w:rFonts w:ascii="Arial" w:hAnsi="Arial" w:cs="Arial"/>
        </w:rPr>
      </w:pPr>
    </w:p>
    <w:p w14:paraId="0D53EFB9" w14:textId="4F07B967" w:rsidR="00AC1C36" w:rsidRPr="00AC1C36" w:rsidRDefault="00AC1C36" w:rsidP="00AC1C36">
      <w:pPr>
        <w:rPr>
          <w:rFonts w:ascii="Arial" w:hAnsi="Arial" w:cs="Arial"/>
        </w:rPr>
      </w:pPr>
      <w:r w:rsidRPr="00AC1C36">
        <w:rPr>
          <w:rFonts w:ascii="Arial" w:hAnsi="Arial" w:cs="Arial"/>
          <w:noProof/>
          <w:color w:val="000000" w:themeColor="text1"/>
        </w:rPr>
        <mc:AlternateContent>
          <mc:Choice Requires="wps">
            <w:drawing>
              <wp:anchor distT="45720" distB="45720" distL="114300" distR="114300" simplePos="0" relativeHeight="251659264" behindDoc="0" locked="0" layoutInCell="1" allowOverlap="1" wp14:anchorId="5FE5381A" wp14:editId="718A5C9C">
                <wp:simplePos x="0" y="0"/>
                <wp:positionH relativeFrom="column">
                  <wp:posOffset>-93980</wp:posOffset>
                </wp:positionH>
                <wp:positionV relativeFrom="paragraph">
                  <wp:posOffset>141605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E725E52" w14:textId="77777777" w:rsidR="00AC1C36" w:rsidRPr="00E86683" w:rsidRDefault="00AC1C36" w:rsidP="00E86683">
                            <w:pPr>
                              <w:jc w:val="center"/>
                              <w:rPr>
                                <w:rFonts w:ascii="Arial" w:hAnsi="Arial" w:cs="Arial"/>
                                <w:b/>
                                <w:bCs/>
                                <w:sz w:val="24"/>
                                <w:szCs w:val="24"/>
                              </w:rPr>
                            </w:pPr>
                            <w:r w:rsidRPr="00E86683">
                              <w:rPr>
                                <w:rFonts w:ascii="Arial" w:hAnsi="Arial" w:cs="Arial"/>
                                <w:b/>
                                <w:bCs/>
                                <w:sz w:val="24"/>
                                <w:szCs w:val="24"/>
                              </w:rPr>
                              <w:t>Low-Cost Strategy</w:t>
                            </w:r>
                          </w:p>
                          <w:p w14:paraId="642086E4" w14:textId="61316BF8" w:rsidR="00AC1C36" w:rsidRDefault="00AC1C3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FE5381A" id="_x0000_t202" coordsize="21600,21600" o:spt="202" path="m,l,21600r21600,l21600,xe">
                <v:stroke joinstyle="miter"/>
                <v:path gradientshapeok="t" o:connecttype="rect"/>
              </v:shapetype>
              <v:shape id="Text Box 2" o:spid="_x0000_s1026" type="#_x0000_t202" style="position:absolute;margin-left:-7.4pt;margin-top:11.1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">
                <v:textbox style="mso-fit-shape-to-text:t">
                  <w:txbxContent>
                    <w:p w14:paraId="1E725E52" w14:textId="77777777" w:rsidR="00AC1C36" w:rsidRPr="00E86683" w:rsidRDefault="00AC1C36" w:rsidP="00E86683">
                      <w:pPr>
                        <w:jc w:val="center"/>
                        <w:rPr>
                          <w:rFonts w:ascii="Arial" w:hAnsi="Arial" w:cs="Arial"/>
                          <w:b/>
                          <w:bCs/>
                          <w:sz w:val="24"/>
                          <w:szCs w:val="24"/>
                        </w:rPr>
                      </w:pPr>
                      <w:r w:rsidRPr="00E86683">
                        <w:rPr>
                          <w:rFonts w:ascii="Arial" w:hAnsi="Arial" w:cs="Arial"/>
                          <w:b/>
                          <w:bCs/>
                          <w:sz w:val="24"/>
                          <w:szCs w:val="24"/>
                        </w:rPr>
                        <w:t>Low-Cost Strategy</w:t>
                      </w:r>
                    </w:p>
                    <w:p w14:paraId="642086E4" w14:textId="61316BF8" w:rsidR="00AC1C36" w:rsidRDefault="00AC1C36"/>
                  </w:txbxContent>
                </v:textbox>
                <w10:wrap type="square"/>
              </v:shape>
            </w:pict>
          </mc:Fallback>
        </mc:AlternateContent>
      </w:r>
    </w:p>
    <w:p w14:paraId="132A6F20" w14:textId="7660903D" w:rsidR="00AC1C36" w:rsidRPr="00AC1C36" w:rsidRDefault="00E86683" w:rsidP="00AC1C36">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781361C0" wp14:editId="723A9CC8">
                <wp:simplePos x="0" y="0"/>
                <wp:positionH relativeFrom="column">
                  <wp:posOffset>2329152</wp:posOffset>
                </wp:positionH>
                <wp:positionV relativeFrom="page">
                  <wp:posOffset>2078024</wp:posOffset>
                </wp:positionV>
                <wp:extent cx="1033145" cy="603885"/>
                <wp:effectExtent l="0" t="19050" r="71755" b="81915"/>
                <wp:wrapNone/>
                <wp:docPr id="5" name="Connector: Elbow 5"/>
                <wp:cNvGraphicFramePr/>
                <a:graphic xmlns:a="http://schemas.openxmlformats.org/drawingml/2006/main">
                  <a:graphicData uri="http://schemas.microsoft.com/office/word/2010/wordprocessingShape">
                    <wps:wsp>
                      <wps:cNvCnPr/>
                      <wps:spPr>
                        <a:xfrm>
                          <a:off x="0" y="0"/>
                          <a:ext cx="1033145" cy="603885"/>
                        </a:xfrm>
                        <a:prstGeom prst="bentConnector3">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8A71D8"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 o:spid="_x0000_s1026" type="#_x0000_t34" style="position:absolute;margin-left:183.4pt;margin-top:163.6pt;width:81.35pt;height:4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" strokecolor="#5b9bd5 [3204]" strokeweight="2.25pt">
                <v:stroke endarrow="block"/>
                <w10:wrap anchory="page"/>
              </v:shape>
            </w:pict>
          </mc:Fallback>
        </mc:AlternateContent>
      </w:r>
    </w:p>
    <w:p w14:paraId="177A6819" w14:textId="08A2996D" w:rsidR="00AC1C36" w:rsidRDefault="00AC1C36" w:rsidP="00AC1C36">
      <w:pPr>
        <w:rPr>
          <w:rFonts w:ascii="Arial" w:hAnsi="Arial" w:cs="Arial"/>
        </w:rPr>
      </w:pPr>
    </w:p>
    <w:p w14:paraId="475A5655" w14:textId="50EED77F" w:rsidR="00AC1C36" w:rsidRPr="00AC1C36" w:rsidRDefault="00AC1C36" w:rsidP="00AC1C36">
      <w:pPr>
        <w:rPr>
          <w:rFonts w:ascii="Arial" w:hAnsi="Arial" w:cs="Arial"/>
        </w:rPr>
      </w:pPr>
    </w:p>
    <w:p w14:paraId="3BB213CC" w14:textId="6107C78E" w:rsidR="00AC1C36" w:rsidRPr="00AC1C36" w:rsidRDefault="00AC1C36" w:rsidP="00AC1C36">
      <w:pPr>
        <w:rPr>
          <w:rFonts w:ascii="Arial" w:hAnsi="Arial" w:cs="Arial"/>
        </w:rPr>
      </w:pPr>
    </w:p>
    <w:p w14:paraId="61EEA2E2" w14:textId="2810A41B" w:rsidR="002049FE" w:rsidRPr="00AC1C36" w:rsidRDefault="00E86683" w:rsidP="00703AA7">
      <w:pPr>
        <w:rPr>
          <w:rFonts w:ascii="Arial" w:hAnsi="Arial" w:cs="Arial"/>
          <w:color w:val="000000" w:themeColor="text1"/>
        </w:rPr>
      </w:pPr>
      <w:r w:rsidRPr="00AC1C36">
        <w:rPr>
          <w:rFonts w:ascii="Arial" w:hAnsi="Arial" w:cs="Arial"/>
          <w:noProof/>
          <w:color w:val="000000" w:themeColor="text1"/>
        </w:rPr>
        <mc:AlternateContent>
          <mc:Choice Requires="wps">
            <w:drawing>
              <wp:anchor distT="45720" distB="45720" distL="114300" distR="114300" simplePos="0" relativeHeight="251665408" behindDoc="0" locked="0" layoutInCell="1" allowOverlap="1" wp14:anchorId="2A02D9D8" wp14:editId="1B100C78">
                <wp:simplePos x="0" y="0"/>
                <wp:positionH relativeFrom="column">
                  <wp:posOffset>3561715</wp:posOffset>
                </wp:positionH>
                <wp:positionV relativeFrom="paragraph">
                  <wp:posOffset>8255</wp:posOffset>
                </wp:positionV>
                <wp:extent cx="2360930" cy="492760"/>
                <wp:effectExtent l="0" t="0" r="22860"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2760"/>
                        </a:xfrm>
                        <a:prstGeom prst="rect">
                          <a:avLst/>
                        </a:prstGeom>
                        <a:solidFill>
                          <a:srgbClr val="FFFFFF"/>
                        </a:solidFill>
                        <a:ln w="9525">
                          <a:solidFill>
                            <a:srgbClr val="000000"/>
                          </a:solidFill>
                          <a:miter lim="800000"/>
                          <a:headEnd/>
                          <a:tailEnd/>
                        </a:ln>
                      </wps:spPr>
                      <wps:txbx>
                        <w:txbxContent>
                          <w:p w14:paraId="574A2CC2" w14:textId="05CCB375" w:rsidR="00AC1C36" w:rsidRPr="00E86683" w:rsidRDefault="00AC1C36" w:rsidP="00E86683">
                            <w:pPr>
                              <w:jc w:val="center"/>
                              <w:rPr>
                                <w:rFonts w:ascii="Arial" w:hAnsi="Arial" w:cs="Arial"/>
                                <w:b/>
                                <w:bCs/>
                                <w:sz w:val="28"/>
                                <w:szCs w:val="28"/>
                              </w:rPr>
                            </w:pPr>
                            <w:r w:rsidRPr="00E86683">
                              <w:rPr>
                                <w:rFonts w:ascii="Arial" w:hAnsi="Arial" w:cs="Arial"/>
                                <w:b/>
                                <w:bCs/>
                                <w:sz w:val="28"/>
                                <w:szCs w:val="28"/>
                              </w:rPr>
                              <w:t>Firm Performance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A02D9D8" id="_x0000_s1027" type="#_x0000_t202" style="position:absolute;margin-left:280.45pt;margin-top:.65pt;width:185.9pt;height:38.8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">
                <v:textbox>
                  <w:txbxContent>
                    <w:p w14:paraId="574A2CC2" w14:textId="05CCB375" w:rsidR="00AC1C36" w:rsidRPr="00E86683" w:rsidRDefault="00AC1C36" w:rsidP="00E86683">
                      <w:pPr>
                        <w:jc w:val="center"/>
                        <w:rPr>
                          <w:rFonts w:ascii="Arial" w:hAnsi="Arial" w:cs="Arial"/>
                          <w:b/>
                          <w:bCs/>
                          <w:sz w:val="28"/>
                          <w:szCs w:val="28"/>
                        </w:rPr>
                      </w:pPr>
                      <w:r w:rsidRPr="00E86683">
                        <w:rPr>
                          <w:rFonts w:ascii="Arial" w:hAnsi="Arial" w:cs="Arial"/>
                          <w:b/>
                          <w:bCs/>
                          <w:sz w:val="28"/>
                          <w:szCs w:val="28"/>
                        </w:rPr>
                        <w:t>Firm Performance</w:t>
                      </w:r>
                    </w:p>
                  </w:txbxContent>
                </v:textbox>
                <w10:wrap type="square"/>
              </v:shape>
            </w:pict>
          </mc:Fallback>
        </mc:AlternateContent>
      </w:r>
      <w:r w:rsidR="00AC1C36" w:rsidRPr="00AC1C36">
        <w:rPr>
          <w:rFonts w:ascii="Arial" w:hAnsi="Arial" w:cs="Arial"/>
          <w:noProof/>
        </w:rPr>
        <mc:AlternateContent>
          <mc:Choice Requires="wps">
            <w:drawing>
              <wp:anchor distT="45720" distB="45720" distL="114300" distR="114300" simplePos="0" relativeHeight="251661312" behindDoc="0" locked="0" layoutInCell="1" allowOverlap="1" wp14:anchorId="1246BB19" wp14:editId="6DAD4BCB">
                <wp:simplePos x="0" y="0"/>
                <wp:positionH relativeFrom="column">
                  <wp:posOffset>-85725</wp:posOffset>
                </wp:positionH>
                <wp:positionV relativeFrom="paragraph">
                  <wp:posOffset>147320</wp:posOffset>
                </wp:positionV>
                <wp:extent cx="2360930" cy="14046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BE1AFFA" w14:textId="51BB108A" w:rsidR="00AC1C36" w:rsidRPr="00E86683" w:rsidRDefault="00AC1C36" w:rsidP="00E86683">
                            <w:pPr>
                              <w:jc w:val="center"/>
                              <w:rPr>
                                <w:rFonts w:ascii="Arial" w:hAnsi="Arial" w:cs="Arial"/>
                                <w:b/>
                                <w:bCs/>
                                <w:sz w:val="24"/>
                                <w:szCs w:val="24"/>
                              </w:rPr>
                            </w:pPr>
                            <w:r w:rsidRPr="00E86683">
                              <w:rPr>
                                <w:rFonts w:ascii="Arial" w:hAnsi="Arial" w:cs="Arial"/>
                                <w:b/>
                                <w:bCs/>
                                <w:sz w:val="24"/>
                                <w:szCs w:val="24"/>
                              </w:rPr>
                              <w:t>Differentiation Strategy</w:t>
                            </w:r>
                          </w:p>
                          <w:p w14:paraId="01691B0D" w14:textId="2412D40A" w:rsidR="00AC1C36" w:rsidRDefault="00AC1C3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246BB19" id="_x0000_s1028" type="#_x0000_t202" style="position:absolute;margin-left:-6.75pt;margin-top:11.6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">
                <v:textbox style="mso-fit-shape-to-text:t">
                  <w:txbxContent>
                    <w:p w14:paraId="1BE1AFFA" w14:textId="51BB108A" w:rsidR="00AC1C36" w:rsidRPr="00E86683" w:rsidRDefault="00AC1C36" w:rsidP="00E86683">
                      <w:pPr>
                        <w:jc w:val="center"/>
                        <w:rPr>
                          <w:rFonts w:ascii="Arial" w:hAnsi="Arial" w:cs="Arial"/>
                          <w:b/>
                          <w:bCs/>
                          <w:sz w:val="24"/>
                          <w:szCs w:val="24"/>
                        </w:rPr>
                      </w:pPr>
                      <w:r w:rsidRPr="00E86683">
                        <w:rPr>
                          <w:rFonts w:ascii="Arial" w:hAnsi="Arial" w:cs="Arial"/>
                          <w:b/>
                          <w:bCs/>
                          <w:sz w:val="24"/>
                          <w:szCs w:val="24"/>
                        </w:rPr>
                        <w:t>Differentiation Strategy</w:t>
                      </w:r>
                    </w:p>
                    <w:p w14:paraId="01691B0D" w14:textId="2412D40A" w:rsidR="00AC1C36" w:rsidRDefault="00AC1C36"/>
                  </w:txbxContent>
                </v:textbox>
                <w10:wrap type="square"/>
              </v:shape>
            </w:pict>
          </mc:Fallback>
        </mc:AlternateContent>
      </w:r>
    </w:p>
    <w:p w14:paraId="5FC26724" w14:textId="516F0F68" w:rsidR="00AC1C36" w:rsidRPr="00AC1C36" w:rsidRDefault="00E86683" w:rsidP="00703AA7">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116EAE5D" wp14:editId="4D2D1471">
                <wp:simplePos x="0" y="0"/>
                <wp:positionH relativeFrom="column">
                  <wp:posOffset>2337463</wp:posOffset>
                </wp:positionH>
                <wp:positionV relativeFrom="paragraph">
                  <wp:posOffset>118055</wp:posOffset>
                </wp:positionV>
                <wp:extent cx="1033669" cy="7951"/>
                <wp:effectExtent l="0" t="95250" r="0" b="106680"/>
                <wp:wrapNone/>
                <wp:docPr id="7" name="Straight Arrow Connector 7"/>
                <wp:cNvGraphicFramePr/>
                <a:graphic xmlns:a="http://schemas.openxmlformats.org/drawingml/2006/main">
                  <a:graphicData uri="http://schemas.microsoft.com/office/word/2010/wordprocessingShape">
                    <wps:wsp>
                      <wps:cNvCnPr/>
                      <wps:spPr>
                        <a:xfrm>
                          <a:off x="0" y="0"/>
                          <a:ext cx="1033669" cy="7951"/>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29F22B9" id="_x0000_t32" coordsize="21600,21600" o:spt="32" o:oned="t" path="m,l21600,21600e" filled="f">
                <v:path arrowok="t" fillok="f" o:connecttype="none"/>
                <o:lock v:ext="edit" shapetype="t"/>
              </v:shapetype>
              <v:shape id="Straight Arrow Connector 7" o:spid="_x0000_s1026" type="#_x0000_t32" style="position:absolute;margin-left:184.05pt;margin-top:9.3pt;width:81.4pt;height:.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" strokecolor="#5b9bd5 [3204]" strokeweight="3pt">
                <v:stroke endarrow="block" joinstyle="miter"/>
              </v:shape>
            </w:pict>
          </mc:Fallback>
        </mc:AlternateContent>
      </w:r>
    </w:p>
    <w:p w14:paraId="3744B06E" w14:textId="217460D9" w:rsidR="00AC1C36" w:rsidRPr="00AC1C36" w:rsidRDefault="00E86683" w:rsidP="00703AA7">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2C8BD180" wp14:editId="628655F7">
                <wp:simplePos x="0" y="0"/>
                <wp:positionH relativeFrom="column">
                  <wp:posOffset>2393342</wp:posOffset>
                </wp:positionH>
                <wp:positionV relativeFrom="paragraph">
                  <wp:posOffset>140280</wp:posOffset>
                </wp:positionV>
                <wp:extent cx="993913" cy="707666"/>
                <wp:effectExtent l="0" t="95250" r="0" b="35560"/>
                <wp:wrapNone/>
                <wp:docPr id="6" name="Connector: Elbow 6"/>
                <wp:cNvGraphicFramePr/>
                <a:graphic xmlns:a="http://schemas.openxmlformats.org/drawingml/2006/main">
                  <a:graphicData uri="http://schemas.microsoft.com/office/word/2010/wordprocessingShape">
                    <wps:wsp>
                      <wps:cNvCnPr/>
                      <wps:spPr>
                        <a:xfrm flipV="1">
                          <a:off x="0" y="0"/>
                          <a:ext cx="993913" cy="707666"/>
                        </a:xfrm>
                        <a:prstGeom prst="bentConnector3">
                          <a:avLst/>
                        </a:prstGeom>
                        <a:ln w="38100">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52FCFBF3" id="Connector: Elbow 6" o:spid="_x0000_s1026" type="#_x0000_t34" style="position:absolute;margin-left:188.45pt;margin-top:11.05pt;width:78.25pt;height:55.7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" strokecolor="#5b9bd5 [3204]" strokeweight="3pt">
                <v:stroke endarrow="block"/>
              </v:shape>
            </w:pict>
          </mc:Fallback>
        </mc:AlternateContent>
      </w:r>
    </w:p>
    <w:p w14:paraId="36CBE3A0" w14:textId="59242898" w:rsidR="00AC1C36" w:rsidRPr="00AC1C36" w:rsidRDefault="00AC1C36" w:rsidP="00703AA7">
      <w:pPr>
        <w:rPr>
          <w:rFonts w:ascii="Arial" w:hAnsi="Arial" w:cs="Arial"/>
          <w:color w:val="000000" w:themeColor="text1"/>
        </w:rPr>
      </w:pPr>
    </w:p>
    <w:p w14:paraId="5654B123" w14:textId="602CE854" w:rsidR="00AC1C36" w:rsidRPr="00AC1C36" w:rsidRDefault="00AC1C36" w:rsidP="00703AA7">
      <w:pPr>
        <w:rPr>
          <w:rFonts w:ascii="Arial" w:hAnsi="Arial" w:cs="Arial"/>
          <w:color w:val="000000" w:themeColor="text1"/>
        </w:rPr>
      </w:pPr>
    </w:p>
    <w:p w14:paraId="008A5214" w14:textId="595184F3" w:rsidR="00AC1C36" w:rsidRPr="00AC1C36" w:rsidRDefault="00AC1C36" w:rsidP="00703AA7">
      <w:pPr>
        <w:rPr>
          <w:rFonts w:ascii="Arial" w:hAnsi="Arial" w:cs="Arial"/>
          <w:color w:val="000000" w:themeColor="text1"/>
        </w:rPr>
      </w:pPr>
      <w:r w:rsidRPr="00AC1C36">
        <w:rPr>
          <w:rFonts w:ascii="Arial" w:hAnsi="Arial" w:cs="Arial"/>
          <w:noProof/>
          <w:color w:val="000000" w:themeColor="text1"/>
        </w:rPr>
        <mc:AlternateContent>
          <mc:Choice Requires="wps">
            <w:drawing>
              <wp:anchor distT="45720" distB="45720" distL="114300" distR="114300" simplePos="0" relativeHeight="251663360" behindDoc="0" locked="0" layoutInCell="1" allowOverlap="1" wp14:anchorId="57888840" wp14:editId="5B11DCA2">
                <wp:simplePos x="0" y="0"/>
                <wp:positionH relativeFrom="column">
                  <wp:posOffset>-62230</wp:posOffset>
                </wp:positionH>
                <wp:positionV relativeFrom="paragraph">
                  <wp:posOffset>139700</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6B7A418" w14:textId="6D15FA2F" w:rsidR="00AC1C36" w:rsidRPr="00E86683" w:rsidRDefault="00AC1C36" w:rsidP="00E86683">
                            <w:pPr>
                              <w:jc w:val="center"/>
                              <w:rPr>
                                <w:rFonts w:ascii="Arial" w:hAnsi="Arial" w:cs="Arial"/>
                                <w:b/>
                                <w:bCs/>
                                <w:sz w:val="24"/>
                                <w:szCs w:val="24"/>
                              </w:rPr>
                            </w:pPr>
                            <w:r w:rsidRPr="00E86683">
                              <w:rPr>
                                <w:rFonts w:ascii="Arial" w:hAnsi="Arial" w:cs="Arial"/>
                                <w:b/>
                                <w:bCs/>
                                <w:sz w:val="24"/>
                                <w:szCs w:val="24"/>
                              </w:rPr>
                              <w:t>Focus Strategy</w:t>
                            </w:r>
                          </w:p>
                          <w:p w14:paraId="71578995" w14:textId="3293D9C4" w:rsidR="00AC1C36" w:rsidRDefault="00AC1C3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888840" id="_x0000_s1029" type="#_x0000_t202" style="position:absolute;margin-left:-4.9pt;margin-top:11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">
                <v:textbox style="mso-fit-shape-to-text:t">
                  <w:txbxContent>
                    <w:p w14:paraId="66B7A418" w14:textId="6D15FA2F" w:rsidR="00AC1C36" w:rsidRPr="00E86683" w:rsidRDefault="00AC1C36" w:rsidP="00E86683">
                      <w:pPr>
                        <w:jc w:val="center"/>
                        <w:rPr>
                          <w:rFonts w:ascii="Arial" w:hAnsi="Arial" w:cs="Arial"/>
                          <w:b/>
                          <w:bCs/>
                          <w:sz w:val="24"/>
                          <w:szCs w:val="24"/>
                        </w:rPr>
                      </w:pPr>
                      <w:r w:rsidRPr="00E86683">
                        <w:rPr>
                          <w:rFonts w:ascii="Arial" w:hAnsi="Arial" w:cs="Arial"/>
                          <w:b/>
                          <w:bCs/>
                          <w:sz w:val="24"/>
                          <w:szCs w:val="24"/>
                        </w:rPr>
                        <w:t>Focus Strategy</w:t>
                      </w:r>
                    </w:p>
                    <w:p w14:paraId="71578995" w14:textId="3293D9C4" w:rsidR="00AC1C36" w:rsidRDefault="00AC1C36"/>
                  </w:txbxContent>
                </v:textbox>
                <w10:wrap type="square"/>
              </v:shape>
            </w:pict>
          </mc:Fallback>
        </mc:AlternateContent>
      </w:r>
    </w:p>
    <w:p w14:paraId="7CDABD4A" w14:textId="77777777" w:rsidR="00AC1C36" w:rsidRPr="00AC1C36" w:rsidRDefault="00AC1C36" w:rsidP="00703AA7">
      <w:pPr>
        <w:rPr>
          <w:rFonts w:ascii="Arial" w:hAnsi="Arial" w:cs="Arial"/>
          <w:color w:val="000000" w:themeColor="text1"/>
        </w:rPr>
      </w:pPr>
    </w:p>
    <w:p w14:paraId="0D28ED43" w14:textId="4E312FCE" w:rsidR="00AC1C36" w:rsidRPr="00AC1C36" w:rsidRDefault="00AC1C36" w:rsidP="00703AA7">
      <w:pPr>
        <w:rPr>
          <w:rFonts w:ascii="Arial" w:hAnsi="Arial" w:cs="Arial"/>
          <w:color w:val="000000" w:themeColor="text1"/>
        </w:rPr>
      </w:pPr>
    </w:p>
    <w:p w14:paraId="31F3DD76" w14:textId="77777777" w:rsidR="00AC1C36" w:rsidRDefault="00AC1C36" w:rsidP="00703AA7">
      <w:pPr>
        <w:rPr>
          <w:rFonts w:ascii="Arial" w:hAnsi="Arial" w:cs="Arial"/>
          <w:color w:val="000000" w:themeColor="text1"/>
        </w:rPr>
      </w:pPr>
    </w:p>
    <w:p w14:paraId="20817BEA" w14:textId="21E8FA05" w:rsidR="00AC1C36" w:rsidRDefault="00AC1C36" w:rsidP="00703AA7">
      <w:pPr>
        <w:rPr>
          <w:rFonts w:ascii="Arial" w:hAnsi="Arial" w:cs="Arial"/>
          <w:color w:val="000000" w:themeColor="text1"/>
        </w:rPr>
      </w:pPr>
    </w:p>
    <w:p w14:paraId="77D30DA5" w14:textId="318FE1AC" w:rsidR="00AC1C36" w:rsidRDefault="00AC1C36" w:rsidP="00703AA7">
      <w:pPr>
        <w:rPr>
          <w:rFonts w:ascii="Arial" w:hAnsi="Arial" w:cs="Arial"/>
          <w:color w:val="000000" w:themeColor="text1"/>
        </w:rPr>
      </w:pPr>
    </w:p>
    <w:p w14:paraId="25F10F63" w14:textId="0B658317" w:rsidR="00AC1C36" w:rsidRDefault="00AC1C36" w:rsidP="00703AA7">
      <w:pPr>
        <w:rPr>
          <w:rFonts w:ascii="Arial" w:hAnsi="Arial" w:cs="Arial"/>
          <w:color w:val="000000" w:themeColor="text1"/>
        </w:rPr>
      </w:pPr>
    </w:p>
    <w:p w14:paraId="7E17095B" w14:textId="77777777" w:rsidR="00AC1C36" w:rsidRDefault="00AC1C36" w:rsidP="00703AA7">
      <w:pPr>
        <w:rPr>
          <w:rFonts w:ascii="Arial" w:hAnsi="Arial" w:cs="Arial"/>
          <w:color w:val="000000" w:themeColor="text1"/>
        </w:rPr>
      </w:pPr>
    </w:p>
    <w:p w14:paraId="21D09728" w14:textId="3FB42ED7" w:rsidR="00AC1C36" w:rsidRDefault="000927A3" w:rsidP="00703AA7">
      <w:pPr>
        <w:rPr>
          <w:rFonts w:ascii="Arial" w:hAnsi="Arial" w:cs="Arial"/>
          <w:color w:val="000000" w:themeColor="text1"/>
        </w:rPr>
      </w:pPr>
      <w:r>
        <w:rPr>
          <w:rFonts w:ascii="Arial" w:hAnsi="Arial" w:cs="Arial"/>
          <w:color w:val="000000" w:themeColor="text1"/>
        </w:rPr>
        <w:t xml:space="preserve">Source: </w:t>
      </w:r>
      <w:r w:rsidR="007D7847">
        <w:rPr>
          <w:rFonts w:ascii="Arial" w:hAnsi="Arial" w:cs="Arial"/>
          <w:color w:val="000000" w:themeColor="text1"/>
        </w:rPr>
        <w:t xml:space="preserve">Data from </w:t>
      </w:r>
      <w:r w:rsidR="007D7847" w:rsidRPr="00975CE2">
        <w:rPr>
          <w:rFonts w:ascii="Arial" w:hAnsi="Arial" w:cs="Arial"/>
        </w:rPr>
        <w:t xml:space="preserve">Islami et al., </w:t>
      </w:r>
      <w:r w:rsidR="007D7847">
        <w:rPr>
          <w:rFonts w:ascii="Arial" w:hAnsi="Arial" w:cs="Arial"/>
        </w:rPr>
        <w:t>(</w:t>
      </w:r>
      <w:r w:rsidR="007D7847" w:rsidRPr="00975CE2">
        <w:rPr>
          <w:rFonts w:ascii="Arial" w:hAnsi="Arial" w:cs="Arial"/>
        </w:rPr>
        <w:t>2020).</w:t>
      </w:r>
    </w:p>
    <w:p w14:paraId="62053640" w14:textId="66689495" w:rsidR="0030173B" w:rsidRPr="003C0615" w:rsidRDefault="0030173B" w:rsidP="00703AA7">
      <w:pPr>
        <w:rPr>
          <w:rFonts w:ascii="Arial" w:hAnsi="Arial" w:cs="Arial"/>
          <w:color w:val="000000" w:themeColor="text1"/>
        </w:rPr>
      </w:pPr>
      <w:r w:rsidRPr="003C0615">
        <w:rPr>
          <w:rFonts w:ascii="Arial" w:hAnsi="Arial" w:cs="Arial"/>
          <w:color w:val="000000" w:themeColor="text1"/>
        </w:rPr>
        <w:br w:type="page"/>
      </w:r>
    </w:p>
    <w:p w14:paraId="5ABE7B84" w14:textId="77777777" w:rsidR="0030173B" w:rsidRPr="003C0615" w:rsidRDefault="0030173B" w:rsidP="00703AA7">
      <w:pPr>
        <w:rPr>
          <w:rFonts w:ascii="Arial" w:hAnsi="Arial" w:cs="Arial"/>
          <w:color w:val="000000" w:themeColor="text1"/>
        </w:rPr>
      </w:pPr>
    </w:p>
    <w:p w14:paraId="7766DD1E" w14:textId="0BBB84ED" w:rsidR="002049FE" w:rsidRDefault="002049FE" w:rsidP="00703AA7">
      <w:pPr>
        <w:pStyle w:val="Heading2"/>
        <w:spacing w:before="0"/>
        <w:rPr>
          <w:rFonts w:ascii="Arial" w:hAnsi="Arial" w:cs="Arial"/>
          <w:color w:val="000000" w:themeColor="text1"/>
        </w:rPr>
      </w:pPr>
      <w:bookmarkStart w:id="10" w:name="_Toc511311661"/>
      <w:r w:rsidRPr="003C0615">
        <w:rPr>
          <w:rFonts w:ascii="Arial" w:hAnsi="Arial" w:cs="Arial"/>
          <w:color w:val="000000" w:themeColor="text1"/>
        </w:rPr>
        <w:t>Appendix 2</w:t>
      </w:r>
      <w:bookmarkEnd w:id="10"/>
      <w:r w:rsidR="00C10B85">
        <w:rPr>
          <w:rFonts w:ascii="Arial" w:hAnsi="Arial" w:cs="Arial"/>
          <w:color w:val="000000" w:themeColor="text1"/>
        </w:rPr>
        <w:t xml:space="preserve"> The Ansoff’s Matrix</w:t>
      </w:r>
    </w:p>
    <w:p w14:paraId="33E71EB0" w14:textId="77777777" w:rsidR="000022F9" w:rsidRPr="000022F9" w:rsidRDefault="000022F9" w:rsidP="000022F9"/>
    <w:p w14:paraId="7E2CC6CC" w14:textId="16D371A1" w:rsidR="00C10B85" w:rsidRDefault="00C10B85" w:rsidP="00C10B85"/>
    <w:tbl>
      <w:tblPr>
        <w:tblW w:w="7156" w:type="dxa"/>
        <w:tblLook w:val="04A0" w:firstRow="1" w:lastRow="0" w:firstColumn="1" w:lastColumn="0" w:noHBand="0" w:noVBand="1"/>
      </w:tblPr>
      <w:tblGrid>
        <w:gridCol w:w="509"/>
        <w:gridCol w:w="3091"/>
        <w:gridCol w:w="3362"/>
        <w:gridCol w:w="278"/>
        <w:gridCol w:w="222"/>
      </w:tblGrid>
      <w:tr w:rsidR="000022F9" w:rsidRPr="000022F9" w14:paraId="5C904D0D" w14:textId="77777777" w:rsidTr="000022F9">
        <w:trPr>
          <w:gridAfter w:val="1"/>
          <w:wAfter w:w="36" w:type="dxa"/>
          <w:trHeight w:val="300"/>
        </w:trPr>
        <w:tc>
          <w:tcPr>
            <w:tcW w:w="7120" w:type="dxa"/>
            <w:gridSpan w:val="4"/>
            <w:tcBorders>
              <w:top w:val="single" w:sz="8" w:space="0" w:color="auto"/>
              <w:left w:val="single" w:sz="8" w:space="0" w:color="auto"/>
              <w:bottom w:val="nil"/>
              <w:right w:val="single" w:sz="8" w:space="0" w:color="000000"/>
            </w:tcBorders>
            <w:shd w:val="clear" w:color="000000" w:fill="D0CECE"/>
            <w:noWrap/>
            <w:vAlign w:val="bottom"/>
            <w:hideMark/>
          </w:tcPr>
          <w:p w14:paraId="3AC2C1C4" w14:textId="77777777" w:rsidR="000022F9" w:rsidRPr="000022F9" w:rsidRDefault="000022F9" w:rsidP="000022F9">
            <w:pPr>
              <w:rPr>
                <w:rFonts w:ascii="Arial" w:eastAsia="Times New Roman" w:hAnsi="Arial" w:cs="Arial"/>
                <w:color w:val="000000"/>
                <w:lang w:eastAsia="en-GB"/>
              </w:rPr>
            </w:pPr>
            <w:r w:rsidRPr="000022F9">
              <w:rPr>
                <w:rFonts w:ascii="Arial" w:eastAsia="Times New Roman" w:hAnsi="Arial" w:cs="Arial"/>
                <w:color w:val="000000"/>
                <w:lang w:eastAsia="en-GB"/>
              </w:rPr>
              <w:t> </w:t>
            </w:r>
          </w:p>
        </w:tc>
      </w:tr>
      <w:tr w:rsidR="000022F9" w:rsidRPr="000022F9" w14:paraId="64B6546A" w14:textId="77777777" w:rsidTr="000022F9">
        <w:trPr>
          <w:gridAfter w:val="1"/>
          <w:wAfter w:w="36" w:type="dxa"/>
          <w:trHeight w:val="290"/>
        </w:trPr>
        <w:tc>
          <w:tcPr>
            <w:tcW w:w="509" w:type="dxa"/>
            <w:vMerge w:val="restart"/>
            <w:tcBorders>
              <w:top w:val="nil"/>
              <w:left w:val="single" w:sz="8" w:space="0" w:color="auto"/>
              <w:bottom w:val="nil"/>
              <w:right w:val="single" w:sz="8" w:space="0" w:color="auto"/>
            </w:tcBorders>
            <w:shd w:val="clear" w:color="000000" w:fill="D0CECE"/>
            <w:noWrap/>
            <w:textDirection w:val="btLr"/>
            <w:vAlign w:val="bottom"/>
            <w:hideMark/>
          </w:tcPr>
          <w:p w14:paraId="26E8C530" w14:textId="77777777" w:rsidR="000022F9" w:rsidRPr="000022F9" w:rsidRDefault="000022F9" w:rsidP="000022F9">
            <w:pPr>
              <w:jc w:val="center"/>
              <w:rPr>
                <w:rFonts w:ascii="Arial" w:eastAsia="Times New Roman" w:hAnsi="Arial" w:cs="Arial"/>
                <w:b/>
                <w:bCs/>
                <w:color w:val="000000"/>
                <w:lang w:eastAsia="en-GB"/>
              </w:rPr>
            </w:pPr>
            <w:r w:rsidRPr="000022F9">
              <w:rPr>
                <w:rFonts w:ascii="Arial" w:eastAsia="Times New Roman" w:hAnsi="Arial" w:cs="Arial"/>
                <w:b/>
                <w:bCs/>
                <w:color w:val="000000"/>
                <w:lang w:eastAsia="en-GB"/>
              </w:rPr>
              <w:t>Existing Markets</w:t>
            </w:r>
          </w:p>
        </w:tc>
        <w:tc>
          <w:tcPr>
            <w:tcW w:w="3091" w:type="dxa"/>
            <w:vMerge w:val="restart"/>
            <w:tcBorders>
              <w:top w:val="single" w:sz="8" w:space="0" w:color="auto"/>
              <w:left w:val="single" w:sz="8" w:space="0" w:color="auto"/>
              <w:bottom w:val="single" w:sz="8" w:space="0" w:color="000000"/>
              <w:right w:val="single" w:sz="8" w:space="0" w:color="auto"/>
            </w:tcBorders>
            <w:shd w:val="clear" w:color="000000" w:fill="FFF2CC"/>
            <w:hideMark/>
          </w:tcPr>
          <w:p w14:paraId="4AE197A1" w14:textId="77777777" w:rsidR="000022F9" w:rsidRPr="000022F9" w:rsidRDefault="000022F9" w:rsidP="000022F9">
            <w:pPr>
              <w:jc w:val="center"/>
              <w:rPr>
                <w:rFonts w:ascii="Arial" w:eastAsia="Times New Roman" w:hAnsi="Arial" w:cs="Arial"/>
                <w:color w:val="000000"/>
                <w:lang w:eastAsia="en-GB"/>
              </w:rPr>
            </w:pPr>
            <w:r w:rsidRPr="000022F9">
              <w:rPr>
                <w:rFonts w:ascii="Arial" w:eastAsia="Times New Roman" w:hAnsi="Arial" w:cs="Arial"/>
                <w:b/>
                <w:bCs/>
                <w:color w:val="000000"/>
                <w:lang w:eastAsia="en-GB"/>
              </w:rPr>
              <w:t>Market Penetration</w:t>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t>Low Risk</w:t>
            </w:r>
          </w:p>
        </w:tc>
        <w:tc>
          <w:tcPr>
            <w:tcW w:w="3362" w:type="dxa"/>
            <w:vMerge w:val="restart"/>
            <w:tcBorders>
              <w:top w:val="single" w:sz="8" w:space="0" w:color="auto"/>
              <w:left w:val="single" w:sz="8" w:space="0" w:color="auto"/>
              <w:bottom w:val="single" w:sz="8" w:space="0" w:color="000000"/>
              <w:right w:val="single" w:sz="8" w:space="0" w:color="auto"/>
            </w:tcBorders>
            <w:shd w:val="clear" w:color="000000" w:fill="F8CBAD"/>
            <w:hideMark/>
          </w:tcPr>
          <w:p w14:paraId="4B82E97C" w14:textId="77777777" w:rsidR="000022F9" w:rsidRPr="000022F9" w:rsidRDefault="000022F9" w:rsidP="000022F9">
            <w:pPr>
              <w:jc w:val="center"/>
              <w:rPr>
                <w:rFonts w:ascii="Arial" w:eastAsia="Times New Roman" w:hAnsi="Arial" w:cs="Arial"/>
                <w:color w:val="000000"/>
                <w:lang w:eastAsia="en-GB"/>
              </w:rPr>
            </w:pPr>
            <w:r w:rsidRPr="000022F9">
              <w:rPr>
                <w:rFonts w:ascii="Arial" w:eastAsia="Times New Roman" w:hAnsi="Arial" w:cs="Arial"/>
                <w:b/>
                <w:bCs/>
                <w:color w:val="000000"/>
                <w:lang w:eastAsia="en-GB"/>
              </w:rPr>
              <w:t>Product Development</w:t>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t>Medium Risk</w:t>
            </w:r>
          </w:p>
        </w:tc>
        <w:tc>
          <w:tcPr>
            <w:tcW w:w="158" w:type="dxa"/>
            <w:vMerge w:val="restart"/>
            <w:tcBorders>
              <w:top w:val="nil"/>
              <w:left w:val="nil"/>
              <w:bottom w:val="single" w:sz="8" w:space="0" w:color="000000"/>
              <w:right w:val="single" w:sz="8" w:space="0" w:color="auto"/>
            </w:tcBorders>
            <w:shd w:val="clear" w:color="000000" w:fill="D0CECE"/>
            <w:noWrap/>
            <w:vAlign w:val="bottom"/>
            <w:hideMark/>
          </w:tcPr>
          <w:p w14:paraId="78440665" w14:textId="77777777" w:rsidR="000022F9" w:rsidRPr="000022F9" w:rsidRDefault="000022F9" w:rsidP="000022F9">
            <w:pPr>
              <w:rPr>
                <w:rFonts w:ascii="Arial" w:eastAsia="Times New Roman" w:hAnsi="Arial" w:cs="Arial"/>
                <w:color w:val="000000"/>
                <w:lang w:eastAsia="en-GB"/>
              </w:rPr>
            </w:pPr>
            <w:r w:rsidRPr="000022F9">
              <w:rPr>
                <w:rFonts w:ascii="Arial" w:eastAsia="Times New Roman" w:hAnsi="Arial" w:cs="Arial"/>
                <w:color w:val="000000"/>
                <w:lang w:eastAsia="en-GB"/>
              </w:rPr>
              <w:t> </w:t>
            </w:r>
          </w:p>
        </w:tc>
      </w:tr>
      <w:tr w:rsidR="000022F9" w:rsidRPr="000022F9" w14:paraId="4FEFCBC1" w14:textId="77777777" w:rsidTr="000022F9">
        <w:trPr>
          <w:trHeight w:val="1680"/>
        </w:trPr>
        <w:tc>
          <w:tcPr>
            <w:tcW w:w="509" w:type="dxa"/>
            <w:vMerge/>
            <w:tcBorders>
              <w:top w:val="nil"/>
              <w:left w:val="single" w:sz="8" w:space="0" w:color="auto"/>
              <w:bottom w:val="nil"/>
              <w:right w:val="single" w:sz="8" w:space="0" w:color="auto"/>
            </w:tcBorders>
            <w:vAlign w:val="center"/>
            <w:hideMark/>
          </w:tcPr>
          <w:p w14:paraId="41D14CEF" w14:textId="77777777" w:rsidR="000022F9" w:rsidRPr="000022F9" w:rsidRDefault="000022F9" w:rsidP="000022F9">
            <w:pPr>
              <w:rPr>
                <w:rFonts w:ascii="Arial" w:eastAsia="Times New Roman" w:hAnsi="Arial" w:cs="Arial"/>
                <w:b/>
                <w:bCs/>
                <w:color w:val="000000"/>
                <w:lang w:eastAsia="en-GB"/>
              </w:rPr>
            </w:pPr>
          </w:p>
        </w:tc>
        <w:tc>
          <w:tcPr>
            <w:tcW w:w="3091" w:type="dxa"/>
            <w:vMerge/>
            <w:tcBorders>
              <w:top w:val="single" w:sz="8" w:space="0" w:color="auto"/>
              <w:left w:val="single" w:sz="8" w:space="0" w:color="auto"/>
              <w:bottom w:val="single" w:sz="8" w:space="0" w:color="000000"/>
              <w:right w:val="single" w:sz="8" w:space="0" w:color="auto"/>
            </w:tcBorders>
            <w:vAlign w:val="center"/>
            <w:hideMark/>
          </w:tcPr>
          <w:p w14:paraId="15815248" w14:textId="77777777" w:rsidR="000022F9" w:rsidRPr="000022F9" w:rsidRDefault="000022F9" w:rsidP="000022F9">
            <w:pPr>
              <w:rPr>
                <w:rFonts w:ascii="Arial" w:eastAsia="Times New Roman" w:hAnsi="Arial" w:cs="Arial"/>
                <w:color w:val="000000"/>
                <w:lang w:eastAsia="en-GB"/>
              </w:rPr>
            </w:pPr>
          </w:p>
        </w:tc>
        <w:tc>
          <w:tcPr>
            <w:tcW w:w="3362" w:type="dxa"/>
            <w:vMerge/>
            <w:tcBorders>
              <w:top w:val="single" w:sz="8" w:space="0" w:color="auto"/>
              <w:left w:val="single" w:sz="8" w:space="0" w:color="auto"/>
              <w:bottom w:val="single" w:sz="8" w:space="0" w:color="000000"/>
              <w:right w:val="single" w:sz="8" w:space="0" w:color="auto"/>
            </w:tcBorders>
            <w:vAlign w:val="center"/>
            <w:hideMark/>
          </w:tcPr>
          <w:p w14:paraId="1D3E4563" w14:textId="77777777" w:rsidR="000022F9" w:rsidRPr="000022F9" w:rsidRDefault="000022F9" w:rsidP="000022F9">
            <w:pPr>
              <w:rPr>
                <w:rFonts w:ascii="Arial" w:eastAsia="Times New Roman" w:hAnsi="Arial" w:cs="Arial"/>
                <w:color w:val="000000"/>
                <w:lang w:eastAsia="en-GB"/>
              </w:rPr>
            </w:pPr>
          </w:p>
        </w:tc>
        <w:tc>
          <w:tcPr>
            <w:tcW w:w="158" w:type="dxa"/>
            <w:vMerge/>
            <w:tcBorders>
              <w:top w:val="nil"/>
              <w:left w:val="nil"/>
              <w:bottom w:val="single" w:sz="8" w:space="0" w:color="000000"/>
              <w:right w:val="single" w:sz="8" w:space="0" w:color="auto"/>
            </w:tcBorders>
            <w:vAlign w:val="center"/>
            <w:hideMark/>
          </w:tcPr>
          <w:p w14:paraId="78F8A766" w14:textId="77777777" w:rsidR="000022F9" w:rsidRPr="000022F9" w:rsidRDefault="000022F9" w:rsidP="000022F9">
            <w:pPr>
              <w:rPr>
                <w:rFonts w:ascii="Arial" w:eastAsia="Times New Roman" w:hAnsi="Arial" w:cs="Arial"/>
                <w:color w:val="000000"/>
                <w:lang w:eastAsia="en-GB"/>
              </w:rPr>
            </w:pPr>
          </w:p>
        </w:tc>
        <w:tc>
          <w:tcPr>
            <w:tcW w:w="36" w:type="dxa"/>
            <w:tcBorders>
              <w:top w:val="nil"/>
              <w:left w:val="nil"/>
              <w:bottom w:val="nil"/>
              <w:right w:val="nil"/>
            </w:tcBorders>
            <w:shd w:val="clear" w:color="auto" w:fill="auto"/>
            <w:noWrap/>
            <w:vAlign w:val="bottom"/>
            <w:hideMark/>
          </w:tcPr>
          <w:p w14:paraId="763AFC59" w14:textId="77777777" w:rsidR="000022F9" w:rsidRPr="000022F9" w:rsidRDefault="000022F9" w:rsidP="000022F9">
            <w:pPr>
              <w:rPr>
                <w:rFonts w:ascii="Arial" w:eastAsia="Times New Roman" w:hAnsi="Arial" w:cs="Arial"/>
                <w:color w:val="000000"/>
                <w:lang w:eastAsia="en-GB"/>
              </w:rPr>
            </w:pPr>
          </w:p>
        </w:tc>
      </w:tr>
      <w:tr w:rsidR="000022F9" w:rsidRPr="000022F9" w14:paraId="4D87D569" w14:textId="77777777" w:rsidTr="000022F9">
        <w:trPr>
          <w:trHeight w:val="290"/>
        </w:trPr>
        <w:tc>
          <w:tcPr>
            <w:tcW w:w="509" w:type="dxa"/>
            <w:vMerge w:val="restart"/>
            <w:tcBorders>
              <w:top w:val="nil"/>
              <w:left w:val="single" w:sz="8" w:space="0" w:color="auto"/>
              <w:bottom w:val="nil"/>
              <w:right w:val="single" w:sz="8" w:space="0" w:color="auto"/>
            </w:tcBorders>
            <w:shd w:val="clear" w:color="000000" w:fill="D0CECE"/>
            <w:noWrap/>
            <w:textDirection w:val="btLr"/>
            <w:vAlign w:val="bottom"/>
            <w:hideMark/>
          </w:tcPr>
          <w:p w14:paraId="3D689AD5" w14:textId="77777777" w:rsidR="000022F9" w:rsidRPr="000022F9" w:rsidRDefault="000022F9" w:rsidP="000022F9">
            <w:pPr>
              <w:jc w:val="center"/>
              <w:rPr>
                <w:rFonts w:ascii="Arial" w:eastAsia="Times New Roman" w:hAnsi="Arial" w:cs="Arial"/>
                <w:b/>
                <w:bCs/>
                <w:color w:val="000000"/>
                <w:lang w:eastAsia="en-GB"/>
              </w:rPr>
            </w:pPr>
            <w:r w:rsidRPr="000022F9">
              <w:rPr>
                <w:rFonts w:ascii="Arial" w:eastAsia="Times New Roman" w:hAnsi="Arial" w:cs="Arial"/>
                <w:b/>
                <w:bCs/>
                <w:color w:val="000000"/>
                <w:lang w:eastAsia="en-GB"/>
              </w:rPr>
              <w:t>New Markets</w:t>
            </w:r>
          </w:p>
        </w:tc>
        <w:tc>
          <w:tcPr>
            <w:tcW w:w="3091" w:type="dxa"/>
            <w:vMerge w:val="restart"/>
            <w:tcBorders>
              <w:top w:val="nil"/>
              <w:left w:val="single" w:sz="8" w:space="0" w:color="auto"/>
              <w:bottom w:val="single" w:sz="8" w:space="0" w:color="000000"/>
              <w:right w:val="single" w:sz="8" w:space="0" w:color="auto"/>
            </w:tcBorders>
            <w:shd w:val="clear" w:color="000000" w:fill="F8CBAD"/>
            <w:hideMark/>
          </w:tcPr>
          <w:p w14:paraId="7108B08C" w14:textId="77777777" w:rsidR="000022F9" w:rsidRPr="000022F9" w:rsidRDefault="000022F9" w:rsidP="000022F9">
            <w:pPr>
              <w:jc w:val="center"/>
              <w:rPr>
                <w:rFonts w:ascii="Arial" w:eastAsia="Times New Roman" w:hAnsi="Arial" w:cs="Arial"/>
                <w:color w:val="000000"/>
                <w:lang w:eastAsia="en-GB"/>
              </w:rPr>
            </w:pPr>
            <w:r w:rsidRPr="000022F9">
              <w:rPr>
                <w:rFonts w:ascii="Arial" w:eastAsia="Times New Roman" w:hAnsi="Arial" w:cs="Arial"/>
                <w:b/>
                <w:bCs/>
                <w:color w:val="000000"/>
                <w:lang w:eastAsia="en-GB"/>
              </w:rPr>
              <w:t>Market Development</w:t>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t>Medium Risk</w:t>
            </w:r>
          </w:p>
        </w:tc>
        <w:tc>
          <w:tcPr>
            <w:tcW w:w="3362" w:type="dxa"/>
            <w:vMerge w:val="restart"/>
            <w:tcBorders>
              <w:top w:val="nil"/>
              <w:left w:val="single" w:sz="8" w:space="0" w:color="auto"/>
              <w:bottom w:val="single" w:sz="8" w:space="0" w:color="000000"/>
              <w:right w:val="single" w:sz="8" w:space="0" w:color="auto"/>
            </w:tcBorders>
            <w:shd w:val="clear" w:color="000000" w:fill="FFF2CC"/>
            <w:hideMark/>
          </w:tcPr>
          <w:p w14:paraId="7569DC86" w14:textId="77777777" w:rsidR="000022F9" w:rsidRPr="000022F9" w:rsidRDefault="000022F9" w:rsidP="000022F9">
            <w:pPr>
              <w:jc w:val="center"/>
              <w:rPr>
                <w:rFonts w:ascii="Arial" w:eastAsia="Times New Roman" w:hAnsi="Arial" w:cs="Arial"/>
                <w:color w:val="000000"/>
                <w:lang w:eastAsia="en-GB"/>
              </w:rPr>
            </w:pPr>
            <w:r w:rsidRPr="000022F9">
              <w:rPr>
                <w:rFonts w:ascii="Arial" w:eastAsia="Times New Roman" w:hAnsi="Arial" w:cs="Arial"/>
                <w:b/>
                <w:bCs/>
                <w:color w:val="000000"/>
                <w:lang w:eastAsia="en-GB"/>
              </w:rPr>
              <w:t>Diversification</w:t>
            </w:r>
            <w:r w:rsidRPr="000022F9">
              <w:rPr>
                <w:rFonts w:ascii="Arial" w:eastAsia="Times New Roman" w:hAnsi="Arial" w:cs="Arial"/>
                <w:b/>
                <w:bCs/>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r>
            <w:r w:rsidRPr="000022F9">
              <w:rPr>
                <w:rFonts w:ascii="Arial" w:eastAsia="Times New Roman" w:hAnsi="Arial" w:cs="Arial"/>
                <w:color w:val="000000"/>
                <w:lang w:eastAsia="en-GB"/>
              </w:rPr>
              <w:br/>
              <w:t>High Risk</w:t>
            </w:r>
          </w:p>
        </w:tc>
        <w:tc>
          <w:tcPr>
            <w:tcW w:w="158" w:type="dxa"/>
            <w:vMerge/>
            <w:tcBorders>
              <w:top w:val="nil"/>
              <w:left w:val="nil"/>
              <w:bottom w:val="single" w:sz="8" w:space="0" w:color="000000"/>
              <w:right w:val="single" w:sz="8" w:space="0" w:color="auto"/>
            </w:tcBorders>
            <w:vAlign w:val="center"/>
            <w:hideMark/>
          </w:tcPr>
          <w:p w14:paraId="793DEFA5" w14:textId="77777777" w:rsidR="000022F9" w:rsidRPr="000022F9" w:rsidRDefault="000022F9" w:rsidP="000022F9">
            <w:pPr>
              <w:rPr>
                <w:rFonts w:ascii="Arial" w:eastAsia="Times New Roman" w:hAnsi="Arial" w:cs="Arial"/>
                <w:color w:val="000000"/>
                <w:lang w:eastAsia="en-GB"/>
              </w:rPr>
            </w:pPr>
          </w:p>
        </w:tc>
        <w:tc>
          <w:tcPr>
            <w:tcW w:w="36" w:type="dxa"/>
            <w:vAlign w:val="center"/>
            <w:hideMark/>
          </w:tcPr>
          <w:p w14:paraId="581F8D98" w14:textId="77777777" w:rsidR="000022F9" w:rsidRPr="000022F9" w:rsidRDefault="000022F9" w:rsidP="000022F9">
            <w:pPr>
              <w:rPr>
                <w:rFonts w:ascii="Times New Roman" w:eastAsia="Times New Roman" w:hAnsi="Times New Roman" w:cs="Times New Roman"/>
                <w:sz w:val="20"/>
                <w:szCs w:val="20"/>
                <w:lang w:eastAsia="en-GB"/>
              </w:rPr>
            </w:pPr>
          </w:p>
        </w:tc>
      </w:tr>
      <w:tr w:rsidR="000022F9" w:rsidRPr="000022F9" w14:paraId="11544A57" w14:textId="77777777" w:rsidTr="000022F9">
        <w:trPr>
          <w:trHeight w:val="1480"/>
        </w:trPr>
        <w:tc>
          <w:tcPr>
            <w:tcW w:w="509" w:type="dxa"/>
            <w:vMerge/>
            <w:tcBorders>
              <w:top w:val="nil"/>
              <w:left w:val="single" w:sz="8" w:space="0" w:color="auto"/>
              <w:bottom w:val="nil"/>
              <w:right w:val="single" w:sz="8" w:space="0" w:color="auto"/>
            </w:tcBorders>
            <w:vAlign w:val="center"/>
            <w:hideMark/>
          </w:tcPr>
          <w:p w14:paraId="6F130B23" w14:textId="77777777" w:rsidR="000022F9" w:rsidRPr="000022F9" w:rsidRDefault="000022F9" w:rsidP="000022F9">
            <w:pPr>
              <w:rPr>
                <w:rFonts w:ascii="Arial" w:eastAsia="Times New Roman" w:hAnsi="Arial" w:cs="Arial"/>
                <w:b/>
                <w:bCs/>
                <w:color w:val="000000"/>
                <w:lang w:eastAsia="en-GB"/>
              </w:rPr>
            </w:pPr>
          </w:p>
        </w:tc>
        <w:tc>
          <w:tcPr>
            <w:tcW w:w="3091" w:type="dxa"/>
            <w:vMerge/>
            <w:tcBorders>
              <w:top w:val="nil"/>
              <w:left w:val="single" w:sz="8" w:space="0" w:color="auto"/>
              <w:bottom w:val="single" w:sz="8" w:space="0" w:color="000000"/>
              <w:right w:val="single" w:sz="8" w:space="0" w:color="auto"/>
            </w:tcBorders>
            <w:vAlign w:val="center"/>
            <w:hideMark/>
          </w:tcPr>
          <w:p w14:paraId="489F306E" w14:textId="77777777" w:rsidR="000022F9" w:rsidRPr="000022F9" w:rsidRDefault="000022F9" w:rsidP="000022F9">
            <w:pPr>
              <w:rPr>
                <w:rFonts w:ascii="Arial" w:eastAsia="Times New Roman" w:hAnsi="Arial" w:cs="Arial"/>
                <w:color w:val="000000"/>
                <w:lang w:eastAsia="en-GB"/>
              </w:rPr>
            </w:pPr>
          </w:p>
        </w:tc>
        <w:tc>
          <w:tcPr>
            <w:tcW w:w="3362" w:type="dxa"/>
            <w:vMerge/>
            <w:tcBorders>
              <w:top w:val="nil"/>
              <w:left w:val="single" w:sz="8" w:space="0" w:color="auto"/>
              <w:bottom w:val="single" w:sz="8" w:space="0" w:color="000000"/>
              <w:right w:val="single" w:sz="8" w:space="0" w:color="auto"/>
            </w:tcBorders>
            <w:vAlign w:val="center"/>
            <w:hideMark/>
          </w:tcPr>
          <w:p w14:paraId="1E11C966" w14:textId="77777777" w:rsidR="000022F9" w:rsidRPr="000022F9" w:rsidRDefault="000022F9" w:rsidP="000022F9">
            <w:pPr>
              <w:rPr>
                <w:rFonts w:ascii="Arial" w:eastAsia="Times New Roman" w:hAnsi="Arial" w:cs="Arial"/>
                <w:color w:val="000000"/>
                <w:lang w:eastAsia="en-GB"/>
              </w:rPr>
            </w:pPr>
          </w:p>
        </w:tc>
        <w:tc>
          <w:tcPr>
            <w:tcW w:w="158" w:type="dxa"/>
            <w:vMerge/>
            <w:tcBorders>
              <w:top w:val="nil"/>
              <w:left w:val="nil"/>
              <w:bottom w:val="single" w:sz="8" w:space="0" w:color="000000"/>
              <w:right w:val="single" w:sz="8" w:space="0" w:color="auto"/>
            </w:tcBorders>
            <w:vAlign w:val="center"/>
            <w:hideMark/>
          </w:tcPr>
          <w:p w14:paraId="2B6814F0" w14:textId="77777777" w:rsidR="000022F9" w:rsidRPr="000022F9" w:rsidRDefault="000022F9" w:rsidP="000022F9">
            <w:pPr>
              <w:rPr>
                <w:rFonts w:ascii="Arial" w:eastAsia="Times New Roman" w:hAnsi="Arial" w:cs="Arial"/>
                <w:color w:val="000000"/>
                <w:lang w:eastAsia="en-GB"/>
              </w:rPr>
            </w:pPr>
          </w:p>
        </w:tc>
        <w:tc>
          <w:tcPr>
            <w:tcW w:w="36" w:type="dxa"/>
            <w:tcBorders>
              <w:top w:val="nil"/>
              <w:left w:val="nil"/>
              <w:bottom w:val="nil"/>
              <w:right w:val="nil"/>
            </w:tcBorders>
            <w:shd w:val="clear" w:color="auto" w:fill="auto"/>
            <w:noWrap/>
            <w:vAlign w:val="bottom"/>
            <w:hideMark/>
          </w:tcPr>
          <w:p w14:paraId="52F80E95" w14:textId="77777777" w:rsidR="000022F9" w:rsidRPr="000022F9" w:rsidRDefault="000022F9" w:rsidP="000022F9">
            <w:pPr>
              <w:jc w:val="center"/>
              <w:rPr>
                <w:rFonts w:ascii="Arial" w:eastAsia="Times New Roman" w:hAnsi="Arial" w:cs="Arial"/>
                <w:color w:val="000000"/>
                <w:lang w:eastAsia="en-GB"/>
              </w:rPr>
            </w:pPr>
          </w:p>
        </w:tc>
      </w:tr>
      <w:tr w:rsidR="000022F9" w:rsidRPr="000022F9" w14:paraId="1BE01689" w14:textId="77777777" w:rsidTr="000022F9">
        <w:trPr>
          <w:trHeight w:val="300"/>
        </w:trPr>
        <w:tc>
          <w:tcPr>
            <w:tcW w:w="6962" w:type="dxa"/>
            <w:gridSpan w:val="3"/>
            <w:tcBorders>
              <w:top w:val="nil"/>
              <w:left w:val="single" w:sz="8" w:space="0" w:color="auto"/>
              <w:bottom w:val="single" w:sz="8" w:space="0" w:color="auto"/>
              <w:right w:val="nil"/>
            </w:tcBorders>
            <w:shd w:val="clear" w:color="000000" w:fill="D0CECE"/>
            <w:noWrap/>
            <w:vAlign w:val="bottom"/>
            <w:hideMark/>
          </w:tcPr>
          <w:p w14:paraId="69B4A7C5" w14:textId="77777777" w:rsidR="000022F9" w:rsidRPr="000022F9" w:rsidRDefault="000022F9" w:rsidP="000022F9">
            <w:pPr>
              <w:rPr>
                <w:rFonts w:ascii="Arial" w:eastAsia="Times New Roman" w:hAnsi="Arial" w:cs="Arial"/>
                <w:color w:val="000000"/>
                <w:lang w:eastAsia="en-GB"/>
              </w:rPr>
            </w:pPr>
            <w:r w:rsidRPr="000022F9">
              <w:rPr>
                <w:rFonts w:ascii="Arial" w:eastAsia="Times New Roman" w:hAnsi="Arial" w:cs="Arial"/>
                <w:color w:val="000000"/>
                <w:lang w:eastAsia="en-GB"/>
              </w:rPr>
              <w:t> </w:t>
            </w:r>
          </w:p>
        </w:tc>
        <w:tc>
          <w:tcPr>
            <w:tcW w:w="158" w:type="dxa"/>
            <w:vMerge/>
            <w:tcBorders>
              <w:top w:val="nil"/>
              <w:left w:val="nil"/>
              <w:bottom w:val="single" w:sz="8" w:space="0" w:color="000000"/>
              <w:right w:val="single" w:sz="8" w:space="0" w:color="auto"/>
            </w:tcBorders>
            <w:vAlign w:val="center"/>
            <w:hideMark/>
          </w:tcPr>
          <w:p w14:paraId="52952B4C" w14:textId="77777777" w:rsidR="000022F9" w:rsidRPr="000022F9" w:rsidRDefault="000022F9" w:rsidP="000022F9">
            <w:pPr>
              <w:rPr>
                <w:rFonts w:ascii="Arial" w:eastAsia="Times New Roman" w:hAnsi="Arial" w:cs="Arial"/>
                <w:color w:val="000000"/>
                <w:lang w:eastAsia="en-GB"/>
              </w:rPr>
            </w:pPr>
          </w:p>
        </w:tc>
        <w:tc>
          <w:tcPr>
            <w:tcW w:w="36" w:type="dxa"/>
            <w:vAlign w:val="center"/>
            <w:hideMark/>
          </w:tcPr>
          <w:p w14:paraId="3FAAF0AE" w14:textId="77777777" w:rsidR="000022F9" w:rsidRPr="000022F9" w:rsidRDefault="000022F9" w:rsidP="000022F9">
            <w:pPr>
              <w:rPr>
                <w:rFonts w:ascii="Times New Roman" w:eastAsia="Times New Roman" w:hAnsi="Times New Roman" w:cs="Times New Roman"/>
                <w:sz w:val="20"/>
                <w:szCs w:val="20"/>
                <w:lang w:eastAsia="en-GB"/>
              </w:rPr>
            </w:pPr>
          </w:p>
        </w:tc>
      </w:tr>
    </w:tbl>
    <w:p w14:paraId="48BAF5CB" w14:textId="44910E51" w:rsidR="00C10B85" w:rsidRDefault="00C10B85" w:rsidP="00C10B85"/>
    <w:p w14:paraId="0BDF251A" w14:textId="0A9F0A99" w:rsidR="000022F9" w:rsidRDefault="000022F9" w:rsidP="00C10B85"/>
    <w:p w14:paraId="1266533F" w14:textId="7A944C2F" w:rsidR="000022F9" w:rsidRDefault="000022F9" w:rsidP="00C10B85"/>
    <w:p w14:paraId="263B9F09" w14:textId="5850EEC4" w:rsidR="000022F9" w:rsidRDefault="000022F9" w:rsidP="00C10B85"/>
    <w:p w14:paraId="33E4AE85" w14:textId="6707EB92" w:rsidR="000022F9" w:rsidRDefault="000022F9" w:rsidP="00C10B85"/>
    <w:p w14:paraId="35E53647" w14:textId="35600D66" w:rsidR="000022F9" w:rsidRDefault="000022F9" w:rsidP="00C10B85"/>
    <w:p w14:paraId="40EEC018" w14:textId="224C41D8" w:rsidR="000022F9" w:rsidRDefault="000022F9" w:rsidP="00C10B85"/>
    <w:p w14:paraId="6286CF3D" w14:textId="2515D409" w:rsidR="000022F9" w:rsidRPr="000022F9" w:rsidRDefault="000022F9" w:rsidP="00C10B85">
      <w:pPr>
        <w:rPr>
          <w:rFonts w:ascii="Arial" w:hAnsi="Arial" w:cs="Arial"/>
          <w:sz w:val="24"/>
          <w:szCs w:val="24"/>
        </w:rPr>
      </w:pPr>
      <w:r>
        <w:rPr>
          <w:rFonts w:ascii="Arial" w:hAnsi="Arial" w:cs="Arial"/>
          <w:sz w:val="24"/>
          <w:szCs w:val="24"/>
        </w:rPr>
        <w:t xml:space="preserve">Source: </w:t>
      </w:r>
      <w:r w:rsidR="00BC6239">
        <w:rPr>
          <w:rFonts w:ascii="Arial" w:hAnsi="Arial" w:cs="Arial"/>
          <w:sz w:val="24"/>
          <w:szCs w:val="24"/>
        </w:rPr>
        <w:t>Data from Bush (2020)</w:t>
      </w:r>
    </w:p>
    <w:p w14:paraId="09D6D9C3" w14:textId="126CBDB9" w:rsidR="000022F9" w:rsidRPr="000022F9" w:rsidRDefault="000022F9" w:rsidP="00C10B85">
      <w:pPr>
        <w:rPr>
          <w:rFonts w:ascii="Arial" w:hAnsi="Arial" w:cs="Arial"/>
        </w:rPr>
      </w:pPr>
    </w:p>
    <w:p w14:paraId="70B7184D" w14:textId="77777777" w:rsidR="000022F9" w:rsidRPr="00C10B85" w:rsidRDefault="000022F9" w:rsidP="00C10B85"/>
    <w:sectPr w:rsidR="000022F9" w:rsidRPr="00C10B85"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85B1E93"/>
    <w:multiLevelType w:val="hybridMultilevel"/>
    <w:tmpl w:val="C9183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7686AA1"/>
    <w:multiLevelType w:val="hybridMultilevel"/>
    <w:tmpl w:val="718C7C52"/>
    <w:lvl w:ilvl="0" w:tplc="30FEE1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24978093">
    <w:abstractNumId w:val="6"/>
  </w:num>
  <w:num w:numId="2" w16cid:durableId="313025533">
    <w:abstractNumId w:val="11"/>
  </w:num>
  <w:num w:numId="3" w16cid:durableId="70204100">
    <w:abstractNumId w:val="4"/>
  </w:num>
  <w:num w:numId="4" w16cid:durableId="1682656720">
    <w:abstractNumId w:val="8"/>
  </w:num>
  <w:num w:numId="5" w16cid:durableId="314338482">
    <w:abstractNumId w:val="1"/>
  </w:num>
  <w:num w:numId="6" w16cid:durableId="1945913817">
    <w:abstractNumId w:val="5"/>
  </w:num>
  <w:num w:numId="7" w16cid:durableId="670255906">
    <w:abstractNumId w:val="0"/>
  </w:num>
  <w:num w:numId="8" w16cid:durableId="1686906220">
    <w:abstractNumId w:val="13"/>
  </w:num>
  <w:num w:numId="9" w16cid:durableId="993949961">
    <w:abstractNumId w:val="7"/>
  </w:num>
  <w:num w:numId="10" w16cid:durableId="894463213">
    <w:abstractNumId w:val="12"/>
  </w:num>
  <w:num w:numId="11" w16cid:durableId="1964577086">
    <w:abstractNumId w:val="10"/>
  </w:num>
  <w:num w:numId="12" w16cid:durableId="558054222">
    <w:abstractNumId w:val="3"/>
  </w:num>
  <w:num w:numId="13" w16cid:durableId="689993845">
    <w:abstractNumId w:val="2"/>
  </w:num>
  <w:num w:numId="14" w16cid:durableId="19177383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1976"/>
    <w:rsid w:val="000022F9"/>
    <w:rsid w:val="00016992"/>
    <w:rsid w:val="000178FF"/>
    <w:rsid w:val="000351AF"/>
    <w:rsid w:val="00045C47"/>
    <w:rsid w:val="000578CE"/>
    <w:rsid w:val="0006008A"/>
    <w:rsid w:val="000927A3"/>
    <w:rsid w:val="000A61C9"/>
    <w:rsid w:val="000C5E1B"/>
    <w:rsid w:val="000D2086"/>
    <w:rsid w:val="000D3894"/>
    <w:rsid w:val="000F41A5"/>
    <w:rsid w:val="00111C36"/>
    <w:rsid w:val="001130F2"/>
    <w:rsid w:val="00135359"/>
    <w:rsid w:val="00146F45"/>
    <w:rsid w:val="0015027C"/>
    <w:rsid w:val="00174216"/>
    <w:rsid w:val="001828EE"/>
    <w:rsid w:val="001836B1"/>
    <w:rsid w:val="001F3FAF"/>
    <w:rsid w:val="001F5437"/>
    <w:rsid w:val="00201652"/>
    <w:rsid w:val="002049FE"/>
    <w:rsid w:val="00211AB8"/>
    <w:rsid w:val="0021380A"/>
    <w:rsid w:val="00252E68"/>
    <w:rsid w:val="00255FC4"/>
    <w:rsid w:val="00276A31"/>
    <w:rsid w:val="00284720"/>
    <w:rsid w:val="00285D09"/>
    <w:rsid w:val="00293070"/>
    <w:rsid w:val="002963E4"/>
    <w:rsid w:val="00296FAF"/>
    <w:rsid w:val="002A045D"/>
    <w:rsid w:val="002C4CAC"/>
    <w:rsid w:val="002E2668"/>
    <w:rsid w:val="0030173B"/>
    <w:rsid w:val="0030202B"/>
    <w:rsid w:val="003035D1"/>
    <w:rsid w:val="00322C2E"/>
    <w:rsid w:val="00331B7F"/>
    <w:rsid w:val="0036460D"/>
    <w:rsid w:val="003860FB"/>
    <w:rsid w:val="00390AA1"/>
    <w:rsid w:val="00391011"/>
    <w:rsid w:val="00395AE3"/>
    <w:rsid w:val="00396DB7"/>
    <w:rsid w:val="003B42D8"/>
    <w:rsid w:val="003B602D"/>
    <w:rsid w:val="003C0615"/>
    <w:rsid w:val="003C3B33"/>
    <w:rsid w:val="003C4A80"/>
    <w:rsid w:val="003D19B8"/>
    <w:rsid w:val="003D34E8"/>
    <w:rsid w:val="003F08AB"/>
    <w:rsid w:val="003F64EA"/>
    <w:rsid w:val="003F69D6"/>
    <w:rsid w:val="00422C51"/>
    <w:rsid w:val="0046229B"/>
    <w:rsid w:val="00481CB5"/>
    <w:rsid w:val="004861E0"/>
    <w:rsid w:val="004F03CD"/>
    <w:rsid w:val="0051013F"/>
    <w:rsid w:val="00513050"/>
    <w:rsid w:val="005225BF"/>
    <w:rsid w:val="005573DA"/>
    <w:rsid w:val="00586056"/>
    <w:rsid w:val="00594105"/>
    <w:rsid w:val="0059562E"/>
    <w:rsid w:val="005B6895"/>
    <w:rsid w:val="00601845"/>
    <w:rsid w:val="0062657F"/>
    <w:rsid w:val="00634AE8"/>
    <w:rsid w:val="00670D2E"/>
    <w:rsid w:val="00671CBC"/>
    <w:rsid w:val="006828C9"/>
    <w:rsid w:val="006B2157"/>
    <w:rsid w:val="006C3C05"/>
    <w:rsid w:val="006D7D21"/>
    <w:rsid w:val="00703AA7"/>
    <w:rsid w:val="00715A8B"/>
    <w:rsid w:val="0075131B"/>
    <w:rsid w:val="007A0F0B"/>
    <w:rsid w:val="007A7DB8"/>
    <w:rsid w:val="007D7847"/>
    <w:rsid w:val="007E734B"/>
    <w:rsid w:val="007F6D91"/>
    <w:rsid w:val="008138EC"/>
    <w:rsid w:val="00816CE0"/>
    <w:rsid w:val="008346D5"/>
    <w:rsid w:val="00852092"/>
    <w:rsid w:val="00861B5F"/>
    <w:rsid w:val="00885114"/>
    <w:rsid w:val="008A1155"/>
    <w:rsid w:val="008B498D"/>
    <w:rsid w:val="008C2930"/>
    <w:rsid w:val="008C7A17"/>
    <w:rsid w:val="008E29F3"/>
    <w:rsid w:val="008F2B5B"/>
    <w:rsid w:val="009556EE"/>
    <w:rsid w:val="00961DF6"/>
    <w:rsid w:val="00964538"/>
    <w:rsid w:val="00974FF7"/>
    <w:rsid w:val="00975CE2"/>
    <w:rsid w:val="009D0524"/>
    <w:rsid w:val="00A07C51"/>
    <w:rsid w:val="00A3471E"/>
    <w:rsid w:val="00A4397C"/>
    <w:rsid w:val="00A43CC0"/>
    <w:rsid w:val="00A44E3E"/>
    <w:rsid w:val="00A45277"/>
    <w:rsid w:val="00A51F56"/>
    <w:rsid w:val="00A56FB3"/>
    <w:rsid w:val="00A636F6"/>
    <w:rsid w:val="00A90A1F"/>
    <w:rsid w:val="00A91384"/>
    <w:rsid w:val="00A930CB"/>
    <w:rsid w:val="00A9464B"/>
    <w:rsid w:val="00A976D8"/>
    <w:rsid w:val="00AB4149"/>
    <w:rsid w:val="00AC1C36"/>
    <w:rsid w:val="00AE79EE"/>
    <w:rsid w:val="00B02818"/>
    <w:rsid w:val="00B220CB"/>
    <w:rsid w:val="00B26C7E"/>
    <w:rsid w:val="00B6475F"/>
    <w:rsid w:val="00B731FC"/>
    <w:rsid w:val="00B758C0"/>
    <w:rsid w:val="00BB07BE"/>
    <w:rsid w:val="00BB38B5"/>
    <w:rsid w:val="00BC6239"/>
    <w:rsid w:val="00BD3AA5"/>
    <w:rsid w:val="00BF2C08"/>
    <w:rsid w:val="00C0645E"/>
    <w:rsid w:val="00C10B85"/>
    <w:rsid w:val="00C40452"/>
    <w:rsid w:val="00C53B1A"/>
    <w:rsid w:val="00C74EB7"/>
    <w:rsid w:val="00C80AF8"/>
    <w:rsid w:val="00CC6920"/>
    <w:rsid w:val="00CD6075"/>
    <w:rsid w:val="00CF644C"/>
    <w:rsid w:val="00CF6E38"/>
    <w:rsid w:val="00D01FF9"/>
    <w:rsid w:val="00D07374"/>
    <w:rsid w:val="00D15E46"/>
    <w:rsid w:val="00D15FF5"/>
    <w:rsid w:val="00D2291D"/>
    <w:rsid w:val="00D450BB"/>
    <w:rsid w:val="00D62B28"/>
    <w:rsid w:val="00D67E1F"/>
    <w:rsid w:val="00D86FA6"/>
    <w:rsid w:val="00DA3853"/>
    <w:rsid w:val="00DD3304"/>
    <w:rsid w:val="00DD63DC"/>
    <w:rsid w:val="00DF14D1"/>
    <w:rsid w:val="00DF21D0"/>
    <w:rsid w:val="00E03DBE"/>
    <w:rsid w:val="00E24560"/>
    <w:rsid w:val="00E642D3"/>
    <w:rsid w:val="00E750E6"/>
    <w:rsid w:val="00E82EAC"/>
    <w:rsid w:val="00E86683"/>
    <w:rsid w:val="00E9394F"/>
    <w:rsid w:val="00EB1FDF"/>
    <w:rsid w:val="00EC64A7"/>
    <w:rsid w:val="00EC674C"/>
    <w:rsid w:val="00EF3ED4"/>
    <w:rsid w:val="00F27148"/>
    <w:rsid w:val="00F334D8"/>
    <w:rsid w:val="00F53EF8"/>
    <w:rsid w:val="00F668DB"/>
    <w:rsid w:val="00F75D71"/>
    <w:rsid w:val="00FA3DD1"/>
    <w:rsid w:val="00FA3F78"/>
    <w:rsid w:val="00FB42C7"/>
    <w:rsid w:val="00FC4F27"/>
    <w:rsid w:val="00FE327C"/>
    <w:rsid w:val="00FE624D"/>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703AA7"/>
    <w:rPr>
      <w:color w:val="605E5C"/>
      <w:shd w:val="clear" w:color="auto" w:fill="E1DFDD"/>
    </w:rPr>
  </w:style>
  <w:style w:type="character" w:styleId="FollowedHyperlink">
    <w:name w:val="FollowedHyperlink"/>
    <w:basedOn w:val="DefaultParagraphFont"/>
    <w:uiPriority w:val="99"/>
    <w:semiHidden/>
    <w:unhideWhenUsed/>
    <w:rsid w:val="00AC1C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755988">
      <w:bodyDiv w:val="1"/>
      <w:marLeft w:val="0"/>
      <w:marRight w:val="0"/>
      <w:marTop w:val="0"/>
      <w:marBottom w:val="0"/>
      <w:divBdr>
        <w:top w:val="none" w:sz="0" w:space="0" w:color="auto"/>
        <w:left w:val="none" w:sz="0" w:space="0" w:color="auto"/>
        <w:bottom w:val="none" w:sz="0" w:space="0" w:color="auto"/>
        <w:right w:val="none" w:sz="0" w:space="0" w:color="auto"/>
      </w:divBdr>
    </w:div>
    <w:div w:id="120956246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02549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37/9781788116695.00008" TargetMode="External"/><Relationship Id="rId18" Type="http://schemas.openxmlformats.org/officeDocument/2006/relationships/hyperlink" Target="https://doi.org/10.1002/jsc.2258" TargetMode="External"/><Relationship Id="rId26" Type="http://schemas.openxmlformats.org/officeDocument/2006/relationships/hyperlink" Target="https://doi.org/10.31124/advance.7203266" TargetMode="External"/><Relationship Id="rId39" Type="http://schemas.openxmlformats.org/officeDocument/2006/relationships/hyperlink" Target="https://doi.org/10.1007/978-981-15-3785-1_24" TargetMode="External"/><Relationship Id="rId21" Type="http://schemas.openxmlformats.org/officeDocument/2006/relationships/hyperlink" Target="https://doi.org/10.1186/s43093-020-0009-1" TargetMode="External"/><Relationship Id="rId34" Type="http://schemas.openxmlformats.org/officeDocument/2006/relationships/hyperlink" Target="https://doi.org/10.1016/j.jenvman.2021.113733"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57/s41261-021-00180-2" TargetMode="External"/><Relationship Id="rId20" Type="http://schemas.openxmlformats.org/officeDocument/2006/relationships/hyperlink" Target="https://doi.org/10.1136/bmj.k2562" TargetMode="External"/><Relationship Id="rId29" Type="http://schemas.openxmlformats.org/officeDocument/2006/relationships/hyperlink" Target="http://hdl.handle.net/10400.5/2330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26634/jsch.9.4.2708" TargetMode="External"/><Relationship Id="rId24" Type="http://schemas.openxmlformats.org/officeDocument/2006/relationships/hyperlink" Target="https://doi.org/10.35808/ijeba/700" TargetMode="External"/><Relationship Id="rId32" Type="http://schemas.openxmlformats.org/officeDocument/2006/relationships/hyperlink" Target="https://doi.org/10.32535/ijthap.v4i2.1059" TargetMode="External"/><Relationship Id="rId37" Type="http://schemas.openxmlformats.org/officeDocument/2006/relationships/hyperlink" Target="https://doi.org/10.34010/injetech.v1i1.4819" TargetMode="External"/><Relationship Id="rId40" Type="http://schemas.openxmlformats.org/officeDocument/2006/relationships/hyperlink" Target="https://doi.org/10.26666/rmp.ijbm.2020.5.9" TargetMode="External"/><Relationship Id="rId5" Type="http://schemas.openxmlformats.org/officeDocument/2006/relationships/numbering" Target="numbering.xml"/><Relationship Id="rId15" Type="http://schemas.openxmlformats.org/officeDocument/2006/relationships/hyperlink" Target="https://pestleanalysis.com/ansoff-matrix/" TargetMode="External"/><Relationship Id="rId23" Type="http://schemas.openxmlformats.org/officeDocument/2006/relationships/hyperlink" Target="https://doi.org/10.1016/j.jfca.2020.103562" TargetMode="External"/><Relationship Id="rId28" Type="http://schemas.openxmlformats.org/officeDocument/2006/relationships/hyperlink" Target="https://doi.org/10.7176/ejbm/11-20-08" TargetMode="External"/><Relationship Id="rId36" Type="http://schemas.openxmlformats.org/officeDocument/2006/relationships/hyperlink" Target="https://doi.org/10.1108/scm-08-2019-0292" TargetMode="External"/><Relationship Id="rId10" Type="http://schemas.openxmlformats.org/officeDocument/2006/relationships/hyperlink" Target="https://doi.org/10.23912/978-1-910158-78-4-2922" TargetMode="External"/><Relationship Id="rId19" Type="http://schemas.openxmlformats.org/officeDocument/2006/relationships/hyperlink" Target="https://doi.org/10.1016/j.cities.2018.03.002" TargetMode="External"/><Relationship Id="rId31" Type="http://schemas.openxmlformats.org/officeDocument/2006/relationships/hyperlink" Target="http://50.87.121.26/strategy_definitions.pd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doi.org/10.20319/pijss.2018.33.12201233" TargetMode="External"/><Relationship Id="rId22" Type="http://schemas.openxmlformats.org/officeDocument/2006/relationships/hyperlink" Target="https://doi.org/10.1002/pa.1834" TargetMode="External"/><Relationship Id="rId27" Type="http://schemas.openxmlformats.org/officeDocument/2006/relationships/hyperlink" Target="https://tesi.luiss.it/id/eprint/31586" TargetMode="External"/><Relationship Id="rId30" Type="http://schemas.openxmlformats.org/officeDocument/2006/relationships/hyperlink" Target="https://doi.org/10.2139/ssrn.3890897" TargetMode="External"/><Relationship Id="rId35" Type="http://schemas.openxmlformats.org/officeDocument/2006/relationships/hyperlink" Target="https://doi.org/10.12959/issn.1855-0541.iiass-2019-no3-art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35912/ijfam.v1i2.93" TargetMode="External"/><Relationship Id="rId17" Type="http://schemas.openxmlformats.org/officeDocument/2006/relationships/hyperlink" Target="https://doi.org/10.1016/j.resconrec.2019.104498" TargetMode="External"/><Relationship Id="rId25" Type="http://schemas.openxmlformats.org/officeDocument/2006/relationships/hyperlink" Target="https://doi.org/10.1080/09644016.2018.1491116" TargetMode="External"/><Relationship Id="rId33" Type="http://schemas.openxmlformats.org/officeDocument/2006/relationships/hyperlink" Target="https://doi.org/10.5937/ekopolj1804499" TargetMode="External"/><Relationship Id="rId38" Type="http://schemas.openxmlformats.org/officeDocument/2006/relationships/hyperlink" Target="https://doi.org/10.1108/bfj-01-2017-0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18</Pages>
  <Words>7156</Words>
  <Characters>40792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Kenneth Mi-Ria (2026317)</cp:lastModifiedBy>
  <cp:revision>42</cp:revision>
  <dcterms:created xsi:type="dcterms:W3CDTF">2022-04-04T19:28:00Z</dcterms:created>
  <dcterms:modified xsi:type="dcterms:W3CDTF">2022-04-09T16:37:00Z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