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A6BF9" w14:textId="77777777" w:rsidR="00203D23" w:rsidRPr="00C87F9B" w:rsidRDefault="00203D23" w:rsidP="00203D23">
      <w:pPr>
        <w:rPr>
          <w:rFonts w:ascii="Calibri" w:hAnsi="Calibri" w:cs="Calibri"/>
          <w:b/>
          <w:bCs/>
        </w:rPr>
      </w:pPr>
      <w:r w:rsidRPr="00C87F9B">
        <w:rPr>
          <w:rFonts w:ascii="Calibri" w:hAnsi="Calibri" w:cs="Calibri"/>
          <w:b/>
          <w:bCs/>
        </w:rPr>
        <w:t>The Debate on Using “Celtic” in Modern Nations</w:t>
      </w:r>
    </w:p>
    <w:p w14:paraId="7B3EC804" w14:textId="77777777" w:rsidR="00203D23" w:rsidRPr="00C87F9B" w:rsidRDefault="00203D23" w:rsidP="00203D23">
      <w:pPr>
        <w:rPr>
          <w:rFonts w:ascii="Calibri" w:hAnsi="Calibri" w:cs="Calibri"/>
        </w:rPr>
      </w:pPr>
    </w:p>
    <w:p w14:paraId="2D0818EA" w14:textId="1CBF00CF" w:rsidR="00203D23" w:rsidRPr="00C87F9B" w:rsidRDefault="00203D23" w:rsidP="00203D23">
      <w:pPr>
        <w:rPr>
          <w:rFonts w:ascii="Calibri" w:hAnsi="Calibri" w:cs="Calibri"/>
        </w:rPr>
      </w:pPr>
      <w:r w:rsidRPr="00C87F9B">
        <w:rPr>
          <w:rFonts w:ascii="Calibri" w:hAnsi="Calibri" w:cs="Calibri"/>
        </w:rPr>
        <w:t>The term “Celtic” is widely used today to describe nations</w:t>
      </w:r>
      <w:r w:rsidR="00C87F9B" w:rsidRPr="00C87F9B">
        <w:rPr>
          <w:rFonts w:ascii="Calibri" w:hAnsi="Calibri" w:cs="Calibri"/>
        </w:rPr>
        <w:t xml:space="preserve"> and regions</w:t>
      </w:r>
      <w:r w:rsidRPr="00C87F9B">
        <w:rPr>
          <w:rFonts w:ascii="Calibri" w:hAnsi="Calibri" w:cs="Calibri"/>
        </w:rPr>
        <w:t xml:space="preserve"> </w:t>
      </w:r>
      <w:r w:rsidR="00C87F9B" w:rsidRPr="00C87F9B">
        <w:rPr>
          <w:rFonts w:ascii="Calibri" w:hAnsi="Calibri" w:cs="Calibri"/>
        </w:rPr>
        <w:t>including</w:t>
      </w:r>
      <w:r w:rsidRPr="00C87F9B">
        <w:rPr>
          <w:rFonts w:ascii="Calibri" w:hAnsi="Calibri" w:cs="Calibri"/>
        </w:rPr>
        <w:t xml:space="preserve"> Ireland, Scotland, Wales, Cornwall, and Brittany, but historical accuracy challenges this designation. No ancient sources identified the inhabitants of Britain or Ireland as Celts, raising questions about the validity of using this label. Below, we explore the arguments for and against its use in today’s “Celtic” nations across the British Isles and Ireland, drawing from cultural, linguistic, archaeological, and genetic perspectives.</w:t>
      </w:r>
    </w:p>
    <w:p w14:paraId="1A87D03A" w14:textId="77777777" w:rsidR="00BC03C4" w:rsidRPr="00C87F9B" w:rsidRDefault="00BC03C4" w:rsidP="00203D23">
      <w:pPr>
        <w:rPr>
          <w:rFonts w:ascii="Calibri" w:hAnsi="Calibri" w:cs="Calibri"/>
        </w:rPr>
      </w:pPr>
    </w:p>
    <w:p w14:paraId="6AE56E84" w14:textId="5D2F821F" w:rsidR="00BC03C4" w:rsidRPr="00C87F9B" w:rsidRDefault="00BC03C4" w:rsidP="00203D23">
      <w:pPr>
        <w:rPr>
          <w:rFonts w:ascii="Calibri" w:hAnsi="Calibri" w:cs="Calibri"/>
          <w:b/>
          <w:bCs/>
        </w:rPr>
      </w:pPr>
      <w:r w:rsidRPr="00C87F9B">
        <w:rPr>
          <w:rFonts w:ascii="Calibri" w:hAnsi="Calibri" w:cs="Calibri"/>
          <w:b/>
          <w:bCs/>
        </w:rPr>
        <w:t>The Background of the debate</w:t>
      </w:r>
    </w:p>
    <w:p w14:paraId="5117B368" w14:textId="77777777" w:rsidR="00BC03C4" w:rsidRPr="00C87F9B" w:rsidRDefault="00BC03C4" w:rsidP="00203D23">
      <w:pPr>
        <w:rPr>
          <w:rFonts w:ascii="Calibri" w:hAnsi="Calibri" w:cs="Calibri"/>
        </w:rPr>
      </w:pPr>
    </w:p>
    <w:p w14:paraId="1AE63F86" w14:textId="727A8B25" w:rsidR="00BC03C4" w:rsidRPr="00C87F9B" w:rsidRDefault="00BC03C4" w:rsidP="00BC03C4">
      <w:pPr>
        <w:rPr>
          <w:rFonts w:ascii="Calibri" w:hAnsi="Calibri" w:cs="Calibri"/>
        </w:rPr>
      </w:pPr>
      <w:r w:rsidRPr="00C87F9B">
        <w:rPr>
          <w:rFonts w:ascii="Calibri" w:hAnsi="Calibri" w:cs="Calibri"/>
        </w:rPr>
        <w:t xml:space="preserve">The history of the British Isles’ early inhabitants has traditionally been dominated by archaeology, populated with theories shaped by myth and conjecture, with a longstanding theory suggesting that ancient Britons experienced invasions by new peoples from the east during the Bronze Age, possibly originating from the steppes of Russia, the Caucasus, or Anatolia and spurred by the arrival of horses and the discovery of copper and tin. These invaders were considered the precursors to what Herodotus referred to as the </w:t>
      </w:r>
      <w:proofErr w:type="spellStart"/>
      <w:r w:rsidRPr="00C87F9B">
        <w:rPr>
          <w:rFonts w:ascii="Calibri" w:hAnsi="Calibri" w:cs="Calibri"/>
          <w:i/>
          <w:iCs/>
        </w:rPr>
        <w:t>Keltoi</w:t>
      </w:r>
      <w:proofErr w:type="spellEnd"/>
      <w:r w:rsidRPr="00C87F9B">
        <w:rPr>
          <w:rStyle w:val="FootnoteReference"/>
          <w:rFonts w:ascii="Calibri" w:hAnsi="Calibri" w:cs="Calibri"/>
        </w:rPr>
        <w:footnoteReference w:id="1"/>
      </w:r>
      <w:r w:rsidRPr="00C87F9B">
        <w:rPr>
          <w:rFonts w:ascii="Calibri" w:hAnsi="Calibri" w:cs="Calibri"/>
        </w:rPr>
        <w:t xml:space="preserve">, with further Classical sources including Caesar and Strabo providing foundational insights into how the term "Celts" was used. </w:t>
      </w:r>
    </w:p>
    <w:p w14:paraId="40442B27" w14:textId="77777777" w:rsidR="00BC03C4" w:rsidRPr="00C87F9B" w:rsidRDefault="00BC03C4" w:rsidP="00BC03C4">
      <w:pPr>
        <w:rPr>
          <w:rFonts w:ascii="Calibri" w:hAnsi="Calibri" w:cs="Calibri"/>
        </w:rPr>
      </w:pPr>
    </w:p>
    <w:p w14:paraId="783F704E" w14:textId="07352AD3" w:rsidR="00BC03C4" w:rsidRPr="00C87F9B" w:rsidRDefault="00BC03C4" w:rsidP="00BC03C4">
      <w:pPr>
        <w:rPr>
          <w:rFonts w:ascii="Calibri" w:hAnsi="Calibri" w:cs="Calibri"/>
        </w:rPr>
      </w:pPr>
      <w:r w:rsidRPr="00C87F9B">
        <w:rPr>
          <w:rFonts w:ascii="Calibri" w:hAnsi="Calibri" w:cs="Calibri"/>
        </w:rPr>
        <w:t xml:space="preserve">Caesar, in his </w:t>
      </w:r>
      <w:proofErr w:type="spellStart"/>
      <w:r w:rsidRPr="00C87F9B">
        <w:rPr>
          <w:rFonts w:ascii="Calibri" w:hAnsi="Calibri" w:cs="Calibri"/>
          <w:i/>
          <w:iCs/>
        </w:rPr>
        <w:t>Commentarii</w:t>
      </w:r>
      <w:proofErr w:type="spellEnd"/>
      <w:r w:rsidRPr="00C87F9B">
        <w:rPr>
          <w:rFonts w:ascii="Calibri" w:hAnsi="Calibri" w:cs="Calibri"/>
          <w:i/>
          <w:iCs/>
        </w:rPr>
        <w:t xml:space="preserve"> de Bello </w:t>
      </w:r>
      <w:proofErr w:type="spellStart"/>
      <w:r w:rsidRPr="00C87F9B">
        <w:rPr>
          <w:rFonts w:ascii="Calibri" w:hAnsi="Calibri" w:cs="Calibri"/>
          <w:i/>
          <w:iCs/>
        </w:rPr>
        <w:t>Gallico</w:t>
      </w:r>
      <w:proofErr w:type="spellEnd"/>
      <w:r w:rsidRPr="00C87F9B">
        <w:rPr>
          <w:rFonts w:ascii="Calibri" w:hAnsi="Calibri" w:cs="Calibri"/>
        </w:rPr>
        <w:t>, used "</w:t>
      </w:r>
      <w:proofErr w:type="spellStart"/>
      <w:r w:rsidRPr="00C87F9B">
        <w:rPr>
          <w:rFonts w:ascii="Calibri" w:hAnsi="Calibri" w:cs="Calibri"/>
        </w:rPr>
        <w:t>Celtae</w:t>
      </w:r>
      <w:proofErr w:type="spellEnd"/>
      <w:r w:rsidRPr="00C87F9B">
        <w:rPr>
          <w:rFonts w:ascii="Calibri" w:hAnsi="Calibri" w:cs="Calibri"/>
        </w:rPr>
        <w:t>" and "Galli" interchangeably to refer to the people of Gaul</w:t>
      </w:r>
      <w:r w:rsidR="00C87F9B" w:rsidRPr="00C87F9B">
        <w:rPr>
          <w:rStyle w:val="FootnoteReference"/>
          <w:rFonts w:ascii="Calibri" w:hAnsi="Calibri" w:cs="Calibri"/>
        </w:rPr>
        <w:footnoteReference w:id="2"/>
      </w:r>
      <w:r w:rsidRPr="00C87F9B">
        <w:rPr>
          <w:rFonts w:ascii="Calibri" w:hAnsi="Calibri" w:cs="Calibri"/>
        </w:rPr>
        <w:t xml:space="preserve">, and Strabo associated the </w:t>
      </w:r>
      <w:proofErr w:type="spellStart"/>
      <w:r w:rsidRPr="00C87F9B">
        <w:rPr>
          <w:rFonts w:ascii="Calibri" w:hAnsi="Calibri" w:cs="Calibri"/>
          <w:i/>
          <w:iCs/>
        </w:rPr>
        <w:t>Keltoi</w:t>
      </w:r>
      <w:proofErr w:type="spellEnd"/>
      <w:r w:rsidRPr="00C87F9B">
        <w:rPr>
          <w:rFonts w:ascii="Calibri" w:hAnsi="Calibri" w:cs="Calibri"/>
        </w:rPr>
        <w:t xml:space="preserve"> with central and western Europe</w:t>
      </w:r>
      <w:r w:rsidR="00C87F9B" w:rsidRPr="00C87F9B">
        <w:rPr>
          <w:rFonts w:ascii="Calibri" w:hAnsi="Calibri" w:cs="Calibri"/>
        </w:rPr>
        <w:t xml:space="preserve">. </w:t>
      </w:r>
      <w:proofErr w:type="spellStart"/>
      <w:r w:rsidRPr="00C87F9B">
        <w:rPr>
          <w:rFonts w:ascii="Calibri" w:hAnsi="Calibri" w:cs="Calibri"/>
        </w:rPr>
        <w:t>Diodorus</w:t>
      </w:r>
      <w:proofErr w:type="spellEnd"/>
      <w:r w:rsidRPr="00C87F9B">
        <w:rPr>
          <w:rFonts w:ascii="Calibri" w:hAnsi="Calibri" w:cs="Calibri"/>
        </w:rPr>
        <w:t xml:space="preserve"> wrote of the </w:t>
      </w:r>
      <w:proofErr w:type="spellStart"/>
      <w:r w:rsidRPr="00C87F9B">
        <w:rPr>
          <w:rFonts w:ascii="Calibri" w:hAnsi="Calibri" w:cs="Calibri"/>
          <w:i/>
          <w:iCs/>
        </w:rPr>
        <w:t>Keltoi</w:t>
      </w:r>
      <w:proofErr w:type="spellEnd"/>
      <w:r w:rsidRPr="00C87F9B">
        <w:rPr>
          <w:rFonts w:ascii="Calibri" w:hAnsi="Calibri" w:cs="Calibri"/>
        </w:rPr>
        <w:t xml:space="preserve"> as a people occupying parts of western Europe, focusing again on Gaul</w:t>
      </w:r>
      <w:r w:rsidR="00C87F9B" w:rsidRPr="00C87F9B">
        <w:rPr>
          <w:rFonts w:ascii="Calibri" w:hAnsi="Calibri" w:cs="Calibri"/>
        </w:rPr>
        <w:t>, and again using both the term “Celts” and “</w:t>
      </w:r>
      <w:proofErr w:type="spellStart"/>
      <w:r w:rsidR="00C87F9B" w:rsidRPr="00C87F9B">
        <w:rPr>
          <w:rFonts w:ascii="Calibri" w:hAnsi="Calibri" w:cs="Calibri"/>
        </w:rPr>
        <w:t>Gauls</w:t>
      </w:r>
      <w:proofErr w:type="spellEnd"/>
      <w:r w:rsidR="00C87F9B" w:rsidRPr="00C87F9B">
        <w:rPr>
          <w:rFonts w:ascii="Calibri" w:hAnsi="Calibri" w:cs="Calibri"/>
        </w:rPr>
        <w:t>” when discussing them.</w:t>
      </w:r>
      <w:r w:rsidR="00C87F9B" w:rsidRPr="00C87F9B">
        <w:rPr>
          <w:rStyle w:val="FootnoteReference"/>
          <w:rFonts w:ascii="Calibri" w:hAnsi="Calibri" w:cs="Calibri"/>
        </w:rPr>
        <w:footnoteReference w:id="3"/>
      </w:r>
    </w:p>
    <w:p w14:paraId="34C46A21" w14:textId="4A483DF0" w:rsidR="00BC03C4" w:rsidRPr="00C87F9B" w:rsidRDefault="00BC03C4" w:rsidP="00BC03C4">
      <w:pPr>
        <w:rPr>
          <w:rFonts w:ascii="Calibri" w:hAnsi="Calibri" w:cs="Calibri"/>
        </w:rPr>
      </w:pPr>
      <w:r w:rsidRPr="00C87F9B">
        <w:rPr>
          <w:rFonts w:ascii="Calibri" w:hAnsi="Calibri" w:cs="Calibri"/>
        </w:rPr>
        <w:br/>
        <w:t xml:space="preserve">Tacitus described the Britons as distinct from the </w:t>
      </w:r>
      <w:proofErr w:type="spellStart"/>
      <w:r w:rsidRPr="00C87F9B">
        <w:rPr>
          <w:rFonts w:ascii="Calibri" w:hAnsi="Calibri" w:cs="Calibri"/>
        </w:rPr>
        <w:t>Gauls</w:t>
      </w:r>
      <w:proofErr w:type="spellEnd"/>
      <w:r w:rsidRPr="00C87F9B">
        <w:rPr>
          <w:rFonts w:ascii="Calibri" w:hAnsi="Calibri" w:cs="Calibri"/>
        </w:rPr>
        <w:t>, implying cultural differences:</w:t>
      </w:r>
    </w:p>
    <w:p w14:paraId="6E284F53" w14:textId="666047E4" w:rsidR="00BC03C4" w:rsidRPr="00C87F9B" w:rsidRDefault="00BC03C4" w:rsidP="00BC03C4">
      <w:pPr>
        <w:rPr>
          <w:rFonts w:ascii="Calibri" w:hAnsi="Calibri" w:cs="Calibri"/>
        </w:rPr>
      </w:pPr>
      <w:r w:rsidRPr="00C87F9B">
        <w:rPr>
          <w:rFonts w:ascii="Calibri" w:hAnsi="Calibri" w:cs="Calibri"/>
        </w:rPr>
        <w:t xml:space="preserve">“The inhabitants of Britain... show some resemblance to the </w:t>
      </w:r>
      <w:proofErr w:type="spellStart"/>
      <w:r w:rsidRPr="00C87F9B">
        <w:rPr>
          <w:rFonts w:ascii="Calibri" w:hAnsi="Calibri" w:cs="Calibri"/>
        </w:rPr>
        <w:t>Gauls</w:t>
      </w:r>
      <w:proofErr w:type="spellEnd"/>
      <w:r w:rsidRPr="00C87F9B">
        <w:rPr>
          <w:rFonts w:ascii="Calibri" w:hAnsi="Calibri" w:cs="Calibri"/>
        </w:rPr>
        <w:t>, but their language and customs differ”</w:t>
      </w:r>
      <w:r w:rsidR="00C87F9B" w:rsidRPr="00C87F9B">
        <w:rPr>
          <w:rFonts w:ascii="Calibri" w:hAnsi="Calibri" w:cs="Calibri"/>
        </w:rPr>
        <w:t>.</w:t>
      </w:r>
      <w:r w:rsidR="00C87F9B" w:rsidRPr="00C87F9B">
        <w:rPr>
          <w:rStyle w:val="FootnoteReference"/>
          <w:rFonts w:ascii="Calibri" w:hAnsi="Calibri" w:cs="Calibri"/>
        </w:rPr>
        <w:footnoteReference w:id="4"/>
      </w:r>
      <w:r w:rsidRPr="00C87F9B">
        <w:rPr>
          <w:rFonts w:ascii="Calibri" w:hAnsi="Calibri" w:cs="Calibri"/>
        </w:rPr>
        <w:t xml:space="preserve"> </w:t>
      </w:r>
    </w:p>
    <w:p w14:paraId="1B780D1A" w14:textId="77777777" w:rsidR="00BC03C4" w:rsidRPr="00C87F9B" w:rsidRDefault="00BC03C4" w:rsidP="00BC03C4">
      <w:pPr>
        <w:rPr>
          <w:rFonts w:ascii="Calibri" w:hAnsi="Calibri" w:cs="Calibri"/>
        </w:rPr>
      </w:pPr>
    </w:p>
    <w:p w14:paraId="02128638" w14:textId="74877A73" w:rsidR="00BC03C4" w:rsidRPr="00C87F9B" w:rsidRDefault="00BC03C4" w:rsidP="00BC03C4">
      <w:pPr>
        <w:rPr>
          <w:rFonts w:ascii="Calibri" w:hAnsi="Calibri" w:cs="Calibri"/>
        </w:rPr>
      </w:pPr>
      <w:r w:rsidRPr="00C87F9B">
        <w:rPr>
          <w:rFonts w:ascii="Calibri" w:hAnsi="Calibri" w:cs="Calibri"/>
        </w:rPr>
        <w:t xml:space="preserve">These sources demonstrate that the term "Celt" was historically applied to peoples in continental Europe, not the British Isles. The absence of direct references to British or Irish peoples as Celts highlights the problematic nature of retroactively applying the label which seems, from a historical perspective, to have been used simply as a delineator for this group of barbarians, as a separator from say those in Africa or barbarians in the East. Given the large number of different tribes encountered by the Greeks and Romans in these regions, it appears </w:t>
      </w:r>
      <w:r w:rsidR="00C87F9B">
        <w:rPr>
          <w:rFonts w:ascii="Calibri" w:hAnsi="Calibri" w:cs="Calibri"/>
        </w:rPr>
        <w:t>“</w:t>
      </w:r>
      <w:r w:rsidRPr="00C87F9B">
        <w:rPr>
          <w:rFonts w:ascii="Calibri" w:hAnsi="Calibri" w:cs="Calibri"/>
        </w:rPr>
        <w:t>Celts</w:t>
      </w:r>
      <w:r w:rsidR="00C87F9B">
        <w:rPr>
          <w:rFonts w:ascii="Calibri" w:hAnsi="Calibri" w:cs="Calibri"/>
        </w:rPr>
        <w:t>”</w:t>
      </w:r>
      <w:r w:rsidRPr="00C87F9B">
        <w:rPr>
          <w:rFonts w:ascii="Calibri" w:hAnsi="Calibri" w:cs="Calibri"/>
        </w:rPr>
        <w:t xml:space="preserve"> is seen as a good general-purpose term for saying something of value about the similarity of people north of the Alps (and later, into Southern France and the Iberian </w:t>
      </w:r>
      <w:proofErr w:type="spellStart"/>
      <w:r w:rsidRPr="00C87F9B">
        <w:rPr>
          <w:rFonts w:ascii="Calibri" w:hAnsi="Calibri" w:cs="Calibri"/>
        </w:rPr>
        <w:t>Penninsula</w:t>
      </w:r>
      <w:proofErr w:type="spellEnd"/>
      <w:r w:rsidRPr="00C87F9B">
        <w:rPr>
          <w:rFonts w:ascii="Calibri" w:hAnsi="Calibri" w:cs="Calibri"/>
        </w:rPr>
        <w:t xml:space="preserve">). </w:t>
      </w:r>
    </w:p>
    <w:p w14:paraId="593A8C2A" w14:textId="77777777" w:rsidR="00BC03C4" w:rsidRPr="00C87F9B" w:rsidRDefault="00BC03C4" w:rsidP="00BC03C4">
      <w:pPr>
        <w:rPr>
          <w:rFonts w:ascii="Calibri" w:hAnsi="Calibri" w:cs="Calibri"/>
        </w:rPr>
      </w:pPr>
    </w:p>
    <w:p w14:paraId="4F5B5D67" w14:textId="18149B4B" w:rsidR="00C87F9B" w:rsidRPr="00C87F9B" w:rsidRDefault="00C87F9B" w:rsidP="00BC03C4">
      <w:pPr>
        <w:rPr>
          <w:rFonts w:ascii="Calibri" w:hAnsi="Calibri" w:cs="Calibri"/>
          <w:b/>
          <w:bCs/>
        </w:rPr>
      </w:pPr>
      <w:r w:rsidRPr="00C87F9B">
        <w:rPr>
          <w:rFonts w:ascii="Calibri" w:hAnsi="Calibri" w:cs="Calibri"/>
          <w:b/>
          <w:bCs/>
        </w:rPr>
        <w:lastRenderedPageBreak/>
        <w:t>The Label in Modern Times</w:t>
      </w:r>
    </w:p>
    <w:p w14:paraId="44B67AF8" w14:textId="77777777" w:rsidR="00C87F9B" w:rsidRDefault="00C87F9B" w:rsidP="00BC03C4">
      <w:pPr>
        <w:rPr>
          <w:rFonts w:ascii="Calibri" w:hAnsi="Calibri" w:cs="Calibri"/>
        </w:rPr>
      </w:pPr>
    </w:p>
    <w:p w14:paraId="32060298" w14:textId="71C6802A" w:rsidR="00C87F9B" w:rsidRPr="00C87F9B" w:rsidRDefault="00BC03C4" w:rsidP="00BC03C4">
      <w:pPr>
        <w:rPr>
          <w:rFonts w:ascii="Calibri" w:hAnsi="Calibri" w:cs="Calibri"/>
        </w:rPr>
      </w:pPr>
      <w:r w:rsidRPr="00C87F9B">
        <w:rPr>
          <w:rFonts w:ascii="Calibri" w:hAnsi="Calibri" w:cs="Calibri"/>
        </w:rPr>
        <w:t xml:space="preserve">After a </w:t>
      </w:r>
      <w:r w:rsidR="00C87F9B">
        <w:rPr>
          <w:rFonts w:ascii="Calibri" w:hAnsi="Calibri" w:cs="Calibri"/>
        </w:rPr>
        <w:t xml:space="preserve">near </w:t>
      </w:r>
      <w:r w:rsidRPr="00C87F9B">
        <w:rPr>
          <w:rFonts w:ascii="Calibri" w:hAnsi="Calibri" w:cs="Calibri"/>
        </w:rPr>
        <w:t xml:space="preserve">millennium of silence on the Celts in historical sources, the </w:t>
      </w:r>
      <w:r w:rsidR="00C87F9B" w:rsidRPr="00C87F9B">
        <w:rPr>
          <w:rFonts w:ascii="Calibri" w:hAnsi="Calibri" w:cs="Calibri"/>
        </w:rPr>
        <w:t>17</w:t>
      </w:r>
      <w:r w:rsidR="00C87F9B" w:rsidRPr="00C87F9B">
        <w:rPr>
          <w:rFonts w:ascii="Calibri" w:hAnsi="Calibri" w:cs="Calibri"/>
          <w:vertAlign w:val="superscript"/>
        </w:rPr>
        <w:t>th</w:t>
      </w:r>
      <w:r w:rsidR="00C87F9B" w:rsidRPr="00C87F9B">
        <w:rPr>
          <w:rFonts w:ascii="Calibri" w:hAnsi="Calibri" w:cs="Calibri"/>
        </w:rPr>
        <w:t xml:space="preserve"> Century saw a flurry of new speculation, with scholars such as George Buchanan and Paul-Yves </w:t>
      </w:r>
      <w:proofErr w:type="spellStart"/>
      <w:r w:rsidR="00C87F9B" w:rsidRPr="00C87F9B">
        <w:rPr>
          <w:rFonts w:ascii="Calibri" w:hAnsi="Calibri" w:cs="Calibri"/>
        </w:rPr>
        <w:t>Pezron</w:t>
      </w:r>
      <w:proofErr w:type="spellEnd"/>
      <w:r w:rsidR="00C87F9B" w:rsidRPr="00C87F9B">
        <w:rPr>
          <w:rFonts w:ascii="Calibri" w:hAnsi="Calibri" w:cs="Calibri"/>
        </w:rPr>
        <w:t xml:space="preserve"> speculating on the origins of the languages (rooted in what would become known as Prot</w:t>
      </w:r>
      <w:r w:rsidR="00C87F9B">
        <w:rPr>
          <w:rFonts w:ascii="Calibri" w:hAnsi="Calibri" w:cs="Calibri"/>
        </w:rPr>
        <w:t>o</w:t>
      </w:r>
      <w:r w:rsidR="00C87F9B" w:rsidRPr="00C87F9B">
        <w:rPr>
          <w:rFonts w:ascii="Calibri" w:hAnsi="Calibri" w:cs="Calibri"/>
        </w:rPr>
        <w:t>-</w:t>
      </w:r>
      <w:proofErr w:type="spellStart"/>
      <w:r w:rsidR="00C87F9B" w:rsidRPr="00C87F9B">
        <w:rPr>
          <w:rFonts w:ascii="Calibri" w:hAnsi="Calibri" w:cs="Calibri"/>
        </w:rPr>
        <w:t>celtic</w:t>
      </w:r>
      <w:proofErr w:type="spellEnd"/>
      <w:r w:rsidR="00C87F9B" w:rsidRPr="00C87F9B">
        <w:rPr>
          <w:rFonts w:ascii="Calibri" w:hAnsi="Calibri" w:cs="Calibri"/>
        </w:rPr>
        <w:t xml:space="preserve">) they personally spoke. </w:t>
      </w:r>
    </w:p>
    <w:p w14:paraId="70FEEF53" w14:textId="77777777" w:rsidR="00C87F9B" w:rsidRPr="00C87F9B" w:rsidRDefault="00C87F9B" w:rsidP="00BC03C4">
      <w:pPr>
        <w:rPr>
          <w:rFonts w:ascii="Calibri" w:hAnsi="Calibri" w:cs="Calibri"/>
        </w:rPr>
      </w:pPr>
    </w:p>
    <w:p w14:paraId="30FADA2D" w14:textId="7A74F288" w:rsidR="00C87F9B" w:rsidRPr="00C87F9B" w:rsidRDefault="00C87F9B" w:rsidP="00C87F9B">
      <w:pPr>
        <w:rPr>
          <w:rFonts w:ascii="Calibri" w:hAnsi="Calibri" w:cs="Calibri"/>
        </w:rPr>
      </w:pPr>
      <w:r w:rsidRPr="00C87F9B">
        <w:rPr>
          <w:rFonts w:ascii="Calibri" w:hAnsi="Calibri" w:cs="Calibri"/>
        </w:rPr>
        <w:t xml:space="preserve">Not until </w:t>
      </w:r>
      <w:r w:rsidR="00BC03C4" w:rsidRPr="00C87F9B">
        <w:rPr>
          <w:rFonts w:ascii="Calibri" w:hAnsi="Calibri" w:cs="Calibri"/>
        </w:rPr>
        <w:t xml:space="preserve">linguist </w:t>
      </w:r>
      <w:r w:rsidR="00203D23" w:rsidRPr="00C87F9B">
        <w:rPr>
          <w:rFonts w:ascii="Calibri" w:hAnsi="Calibri" w:cs="Calibri"/>
        </w:rPr>
        <w:t xml:space="preserve">Edward </w:t>
      </w:r>
      <w:proofErr w:type="spellStart"/>
      <w:r w:rsidR="00203D23" w:rsidRPr="00C87F9B">
        <w:rPr>
          <w:rFonts w:ascii="Calibri" w:hAnsi="Calibri" w:cs="Calibri"/>
        </w:rPr>
        <w:t>Lhuyd’s</w:t>
      </w:r>
      <w:proofErr w:type="spellEnd"/>
      <w:r w:rsidR="00203D23" w:rsidRPr="00C87F9B">
        <w:rPr>
          <w:rFonts w:ascii="Calibri" w:hAnsi="Calibri" w:cs="Calibri"/>
        </w:rPr>
        <w:t xml:space="preserve"> </w:t>
      </w:r>
      <w:r w:rsidRPr="00C87F9B">
        <w:rPr>
          <w:rFonts w:ascii="Calibri" w:hAnsi="Calibri" w:cs="Calibri"/>
        </w:rPr>
        <w:t xml:space="preserve">scientific </w:t>
      </w:r>
      <w:r w:rsidR="00203D23" w:rsidRPr="00C87F9B">
        <w:rPr>
          <w:rFonts w:ascii="Calibri" w:hAnsi="Calibri" w:cs="Calibri"/>
        </w:rPr>
        <w:t xml:space="preserve">classification of Celtic languages into Q-Celtic (Irish and Scots Gaelic) and P-Celtic (Welsh, Cornish, and Breton) </w:t>
      </w:r>
      <w:r w:rsidRPr="00C87F9B">
        <w:rPr>
          <w:rFonts w:ascii="Calibri" w:hAnsi="Calibri" w:cs="Calibri"/>
        </w:rPr>
        <w:t>did the</w:t>
      </w:r>
      <w:r w:rsidRPr="00C87F9B">
        <w:rPr>
          <w:rFonts w:ascii="Calibri" w:hAnsi="Calibri" w:cs="Calibri"/>
        </w:rPr>
        <w:t xml:space="preserve"> debate bec</w:t>
      </w:r>
      <w:r w:rsidRPr="00C87F9B">
        <w:rPr>
          <w:rFonts w:ascii="Calibri" w:hAnsi="Calibri" w:cs="Calibri"/>
        </w:rPr>
        <w:t>o</w:t>
      </w:r>
      <w:r w:rsidRPr="00C87F9B">
        <w:rPr>
          <w:rFonts w:ascii="Calibri" w:hAnsi="Calibri" w:cs="Calibri"/>
        </w:rPr>
        <w:t>me a more serious endeavour</w:t>
      </w:r>
      <w:r w:rsidR="00BC03C4" w:rsidRPr="00C87F9B">
        <w:rPr>
          <w:rFonts w:ascii="Calibri" w:hAnsi="Calibri" w:cs="Calibri"/>
        </w:rPr>
        <w:t xml:space="preserve">, </w:t>
      </w:r>
      <w:r w:rsidRPr="00C87F9B">
        <w:rPr>
          <w:rFonts w:ascii="Calibri" w:hAnsi="Calibri" w:cs="Calibri"/>
        </w:rPr>
        <w:t>identifying the</w:t>
      </w:r>
      <w:r w:rsidR="00BC03C4" w:rsidRPr="00C87F9B">
        <w:rPr>
          <w:rFonts w:ascii="Calibri" w:hAnsi="Calibri" w:cs="Calibri"/>
        </w:rPr>
        <w:t xml:space="preserve"> people </w:t>
      </w:r>
      <w:r w:rsidRPr="00C87F9B">
        <w:rPr>
          <w:rFonts w:ascii="Calibri" w:hAnsi="Calibri" w:cs="Calibri"/>
        </w:rPr>
        <w:t>of</w:t>
      </w:r>
      <w:r w:rsidR="00BC03C4" w:rsidRPr="00C87F9B">
        <w:rPr>
          <w:rFonts w:ascii="Calibri" w:hAnsi="Calibri" w:cs="Calibri"/>
        </w:rPr>
        <w:t xml:space="preserve"> Britain with Herodotus’ Celts. </w:t>
      </w:r>
      <w:r w:rsidRPr="00C87F9B">
        <w:rPr>
          <w:rFonts w:ascii="Calibri" w:hAnsi="Calibri" w:cs="Calibri"/>
        </w:rPr>
        <w:t>As Cunliffe notes ‘</w:t>
      </w:r>
      <w:proofErr w:type="spellStart"/>
      <w:r w:rsidRPr="00C87F9B">
        <w:rPr>
          <w:rFonts w:ascii="Calibri" w:hAnsi="Calibri" w:cs="Calibri"/>
        </w:rPr>
        <w:t>Lhuyd’s</w:t>
      </w:r>
      <w:proofErr w:type="spellEnd"/>
      <w:r w:rsidRPr="00C87F9B">
        <w:rPr>
          <w:rFonts w:ascii="Calibri" w:hAnsi="Calibri" w:cs="Calibri"/>
        </w:rPr>
        <w:t xml:space="preserve"> work was a philological study of</w:t>
      </w:r>
      <w:r>
        <w:rPr>
          <w:rFonts w:ascii="Calibri" w:hAnsi="Calibri" w:cs="Calibri"/>
        </w:rPr>
        <w:t xml:space="preserve"> </w:t>
      </w:r>
      <w:r w:rsidRPr="00C87F9B">
        <w:rPr>
          <w:rFonts w:ascii="Calibri" w:hAnsi="Calibri" w:cs="Calibri"/>
        </w:rPr>
        <w:t xml:space="preserve">outstanding value, quite unlike the rambling speculations of Buchanan and </w:t>
      </w:r>
      <w:proofErr w:type="spellStart"/>
      <w:r w:rsidRPr="00C87F9B">
        <w:rPr>
          <w:rFonts w:ascii="Calibri" w:hAnsi="Calibri" w:cs="Calibri"/>
        </w:rPr>
        <w:t>Pezron</w:t>
      </w:r>
      <w:proofErr w:type="spellEnd"/>
      <w:r w:rsidRPr="00C87F9B">
        <w:rPr>
          <w:rFonts w:ascii="Calibri" w:hAnsi="Calibri" w:cs="Calibri"/>
          <w:i/>
          <w:iCs/>
        </w:rPr>
        <w:t>.</w:t>
      </w:r>
      <w:r w:rsidRPr="00C87F9B">
        <w:rPr>
          <w:rFonts w:ascii="Calibri" w:hAnsi="Calibri" w:cs="Calibri"/>
          <w:i/>
          <w:iCs/>
        </w:rPr>
        <w:t>’</w:t>
      </w:r>
      <w:r w:rsidRPr="00C87F9B">
        <w:rPr>
          <w:rStyle w:val="FootnoteReference"/>
          <w:rFonts w:ascii="Calibri" w:hAnsi="Calibri" w:cs="Calibri"/>
          <w:i/>
          <w:iCs/>
        </w:rPr>
        <w:footnoteReference w:id="5"/>
      </w:r>
      <w:r w:rsidRPr="00C87F9B">
        <w:rPr>
          <w:rFonts w:ascii="Calibri" w:hAnsi="Calibri" w:cs="Calibri"/>
        </w:rPr>
        <w:t xml:space="preserve"> </w:t>
      </w:r>
    </w:p>
    <w:p w14:paraId="23B87281" w14:textId="77777777" w:rsidR="00C87F9B" w:rsidRPr="00C87F9B" w:rsidRDefault="00C87F9B" w:rsidP="00C87F9B">
      <w:pPr>
        <w:rPr>
          <w:rFonts w:ascii="Calibri" w:hAnsi="Calibri" w:cs="Calibri"/>
        </w:rPr>
      </w:pPr>
    </w:p>
    <w:p w14:paraId="6754CE95" w14:textId="30E8851E" w:rsidR="00BC03C4" w:rsidRPr="00C87F9B" w:rsidRDefault="00BC03C4" w:rsidP="00C87F9B">
      <w:pPr>
        <w:rPr>
          <w:rFonts w:ascii="Calibri" w:hAnsi="Calibri" w:cs="Calibri"/>
        </w:rPr>
      </w:pPr>
      <w:r w:rsidRPr="00C87F9B">
        <w:rPr>
          <w:rFonts w:ascii="Calibri" w:hAnsi="Calibri" w:cs="Calibri"/>
        </w:rPr>
        <w:t xml:space="preserve">Based purely on grounds of language, </w:t>
      </w:r>
      <w:proofErr w:type="spellStart"/>
      <w:r w:rsidR="00C87F9B" w:rsidRPr="00C87F9B">
        <w:rPr>
          <w:rFonts w:ascii="Calibri" w:hAnsi="Calibri" w:cs="Calibri"/>
        </w:rPr>
        <w:t>Lhuyd</w:t>
      </w:r>
      <w:proofErr w:type="spellEnd"/>
      <w:r w:rsidRPr="00C87F9B">
        <w:rPr>
          <w:rFonts w:ascii="Calibri" w:hAnsi="Calibri" w:cs="Calibri"/>
        </w:rPr>
        <w:t xml:space="preserve"> </w:t>
      </w:r>
      <w:r w:rsidR="00C87F9B">
        <w:rPr>
          <w:rFonts w:ascii="Calibri" w:hAnsi="Calibri" w:cs="Calibri"/>
        </w:rPr>
        <w:t>posited</w:t>
      </w:r>
      <w:r w:rsidRPr="00C87F9B">
        <w:rPr>
          <w:rFonts w:ascii="Calibri" w:hAnsi="Calibri" w:cs="Calibri"/>
        </w:rPr>
        <w:t xml:space="preserve"> that </w:t>
      </w:r>
      <w:r w:rsidR="00C87F9B" w:rsidRPr="00C87F9B">
        <w:rPr>
          <w:rFonts w:ascii="Calibri" w:hAnsi="Calibri" w:cs="Calibri"/>
        </w:rPr>
        <w:t xml:space="preserve">the </w:t>
      </w:r>
      <w:r w:rsidR="00C87F9B">
        <w:rPr>
          <w:rFonts w:ascii="Calibri" w:hAnsi="Calibri" w:cs="Calibri"/>
        </w:rPr>
        <w:t>“</w:t>
      </w:r>
      <w:proofErr w:type="spellStart"/>
      <w:r w:rsidR="00C87F9B" w:rsidRPr="00C87F9B">
        <w:rPr>
          <w:rFonts w:ascii="Calibri" w:hAnsi="Calibri" w:cs="Calibri"/>
          <w:i/>
          <w:iCs/>
        </w:rPr>
        <w:t>Keltoi</w:t>
      </w:r>
      <w:proofErr w:type="spellEnd"/>
      <w:r w:rsidR="00C87F9B">
        <w:rPr>
          <w:rFonts w:ascii="Calibri" w:hAnsi="Calibri" w:cs="Calibri"/>
          <w:i/>
          <w:iCs/>
        </w:rPr>
        <w:t>”</w:t>
      </w:r>
      <w:r w:rsidR="00C87F9B" w:rsidRPr="00C87F9B">
        <w:rPr>
          <w:rFonts w:ascii="Calibri" w:hAnsi="Calibri" w:cs="Calibri"/>
        </w:rPr>
        <w:t xml:space="preserve"> and the people of the British Isles</w:t>
      </w:r>
      <w:r w:rsidRPr="00C87F9B">
        <w:rPr>
          <w:rFonts w:ascii="Calibri" w:hAnsi="Calibri" w:cs="Calibri"/>
        </w:rPr>
        <w:t xml:space="preserve"> were at some time</w:t>
      </w:r>
      <w:r w:rsidR="00C87F9B" w:rsidRPr="00C87F9B">
        <w:rPr>
          <w:rFonts w:ascii="Calibri" w:hAnsi="Calibri" w:cs="Calibri"/>
        </w:rPr>
        <w:t xml:space="preserve"> in </w:t>
      </w:r>
      <w:proofErr w:type="gramStart"/>
      <w:r w:rsidR="00C87F9B" w:rsidRPr="00C87F9B">
        <w:rPr>
          <w:rFonts w:ascii="Calibri" w:hAnsi="Calibri" w:cs="Calibri"/>
        </w:rPr>
        <w:t xml:space="preserve">the </w:t>
      </w:r>
      <w:r w:rsidRPr="00C87F9B">
        <w:rPr>
          <w:rFonts w:ascii="Calibri" w:hAnsi="Calibri" w:cs="Calibri"/>
        </w:rPr>
        <w:t xml:space="preserve"> past</w:t>
      </w:r>
      <w:proofErr w:type="gramEnd"/>
      <w:r w:rsidRPr="00C87F9B">
        <w:rPr>
          <w:rFonts w:ascii="Calibri" w:hAnsi="Calibri" w:cs="Calibri"/>
        </w:rPr>
        <w:t xml:space="preserve"> the same people – that is, bronze age invaders spreading language and culture across Europe and into the British Isles.  We see this ‘foundational narrative’ quickly adopted into the wider cultural consciousness and joined with similar creations from the newly minted nationalist French and German identities, cementing the idea that the “Celts” </w:t>
      </w:r>
      <w:r w:rsidRPr="00C87F9B">
        <w:rPr>
          <w:rFonts w:ascii="Calibri" w:hAnsi="Calibri" w:cs="Calibri"/>
          <w:i/>
          <w:iCs/>
        </w:rPr>
        <w:t>as a people</w:t>
      </w:r>
      <w:r w:rsidRPr="00C87F9B">
        <w:rPr>
          <w:rFonts w:ascii="Calibri" w:hAnsi="Calibri" w:cs="Calibri"/>
        </w:rPr>
        <w:t xml:space="preserve"> had migrated to Britain from Mainland Europe. Even Napoleon later imagined himself a latter-day Celtic emperor.</w:t>
      </w:r>
      <w:r w:rsidRPr="00C87F9B">
        <w:rPr>
          <w:rStyle w:val="FootnoteReference"/>
          <w:rFonts w:ascii="Calibri" w:hAnsi="Calibri" w:cs="Calibri"/>
        </w:rPr>
        <w:footnoteReference w:id="6"/>
      </w:r>
      <w:r w:rsidRPr="00C87F9B">
        <w:rPr>
          <w:rFonts w:ascii="Calibri" w:hAnsi="Calibri" w:cs="Calibri"/>
        </w:rPr>
        <w:t xml:space="preserve"> </w:t>
      </w:r>
    </w:p>
    <w:p w14:paraId="474B3BE0" w14:textId="77777777" w:rsidR="00BC03C4" w:rsidRPr="00C87F9B" w:rsidRDefault="00BC03C4" w:rsidP="00BC03C4">
      <w:pPr>
        <w:rPr>
          <w:rFonts w:ascii="Calibri" w:hAnsi="Calibri" w:cs="Calibri"/>
        </w:rPr>
      </w:pPr>
    </w:p>
    <w:p w14:paraId="28CC7EC7" w14:textId="1B32597C" w:rsidR="00203D23" w:rsidRPr="00C87F9B" w:rsidRDefault="00BC03C4" w:rsidP="00C87F9B">
      <w:pPr>
        <w:rPr>
          <w:rFonts w:ascii="Calibri" w:hAnsi="Calibri" w:cs="Calibri"/>
        </w:rPr>
      </w:pPr>
      <w:r w:rsidRPr="00C87F9B">
        <w:rPr>
          <w:rFonts w:ascii="Calibri" w:hAnsi="Calibri" w:cs="Calibri"/>
        </w:rPr>
        <w:t xml:space="preserve">This </w:t>
      </w:r>
      <w:r w:rsidR="00203D23" w:rsidRPr="00C87F9B">
        <w:rPr>
          <w:rFonts w:ascii="Calibri" w:hAnsi="Calibri" w:cs="Calibri"/>
        </w:rPr>
        <w:t>narrative gained further credibility with the archaeological discoveries at Hallstatt in Austria and La Tène in Switzerland, which showcased artifacts of a sophisticated culture, assumed to signify a unified Celtic civilization</w:t>
      </w:r>
      <w:r w:rsidRPr="00C87F9B">
        <w:rPr>
          <w:rFonts w:ascii="Calibri" w:hAnsi="Calibri" w:cs="Calibri"/>
        </w:rPr>
        <w:t>, as Barry Cunliffe argued:</w:t>
      </w:r>
      <w:r w:rsidR="00C87F9B">
        <w:rPr>
          <w:rFonts w:ascii="Calibri" w:hAnsi="Calibri" w:cs="Calibri"/>
        </w:rPr>
        <w:t xml:space="preserve"> ‘</w:t>
      </w:r>
      <w:r w:rsidRPr="00C87F9B">
        <w:rPr>
          <w:rFonts w:ascii="Calibri" w:hAnsi="Calibri" w:cs="Calibri"/>
        </w:rPr>
        <w:t>The shared motifs in La Tène art suggest a pan-European Celtic identity that influenced Britain and Ireland</w:t>
      </w:r>
      <w:r w:rsidR="00C87F9B">
        <w:rPr>
          <w:rFonts w:ascii="Calibri" w:hAnsi="Calibri" w:cs="Calibri"/>
        </w:rPr>
        <w:t>’</w:t>
      </w:r>
      <w:r w:rsidR="00C87F9B">
        <w:rPr>
          <w:rStyle w:val="FootnoteReference"/>
          <w:rFonts w:ascii="Calibri" w:hAnsi="Calibri" w:cs="Calibri"/>
        </w:rPr>
        <w:footnoteReference w:id="7"/>
      </w:r>
      <w:r w:rsidRPr="00C87F9B">
        <w:rPr>
          <w:rFonts w:ascii="Calibri" w:hAnsi="Calibri" w:cs="Calibri"/>
        </w:rPr>
        <w:t>.</w:t>
      </w:r>
    </w:p>
    <w:p w14:paraId="5E71A815" w14:textId="0F5FFF05" w:rsidR="00203D23" w:rsidRPr="00C87F9B" w:rsidRDefault="00203D23" w:rsidP="00203D23">
      <w:pPr>
        <w:rPr>
          <w:rFonts w:ascii="Calibri" w:hAnsi="Calibri" w:cs="Calibri"/>
        </w:rPr>
      </w:pPr>
      <w:r w:rsidRPr="00C87F9B">
        <w:rPr>
          <w:rFonts w:ascii="Calibri" w:hAnsi="Calibri" w:cs="Calibri"/>
        </w:rPr>
        <w:t>By the 1920s, the Celts were imagined as a dominant empire and the progenitors of modern French and German cultures.</w:t>
      </w:r>
    </w:p>
    <w:p w14:paraId="6DE19FBE" w14:textId="77777777" w:rsidR="00BC03C4" w:rsidRPr="00C87F9B" w:rsidRDefault="00BC03C4" w:rsidP="00203D23">
      <w:pPr>
        <w:rPr>
          <w:rFonts w:ascii="Calibri" w:hAnsi="Calibri" w:cs="Calibri"/>
        </w:rPr>
      </w:pPr>
    </w:p>
    <w:p w14:paraId="494A03DF" w14:textId="7B583721" w:rsidR="00203D23" w:rsidRPr="00C87F9B" w:rsidRDefault="00203D23" w:rsidP="00203D23">
      <w:pPr>
        <w:rPr>
          <w:rFonts w:ascii="Calibri" w:hAnsi="Calibri" w:cs="Calibri"/>
        </w:rPr>
      </w:pPr>
      <w:r w:rsidRPr="00C87F9B">
        <w:rPr>
          <w:rFonts w:ascii="Calibri" w:hAnsi="Calibri" w:cs="Calibri"/>
        </w:rPr>
        <w:t>This grand narrative began to crumble by the 1960s as scholars questioned its assumptions. The archaeological evidence did not support the existence of a Celtic empire or large-scale invasions replacing populations</w:t>
      </w:r>
      <w:r w:rsidR="00BC03C4" w:rsidRPr="00C87F9B">
        <w:rPr>
          <w:rFonts w:ascii="Calibri" w:hAnsi="Calibri" w:cs="Calibri"/>
        </w:rPr>
        <w:t>, as had once been believed</w:t>
      </w:r>
      <w:r w:rsidRPr="00C87F9B">
        <w:rPr>
          <w:rFonts w:ascii="Calibri" w:hAnsi="Calibri" w:cs="Calibri"/>
        </w:rPr>
        <w:t>. Sir Grahame Clark criticized the “invasion neurosis” in archaeology, arguing that the people of the British Isles advanced in trade and technology without external conquests.</w:t>
      </w:r>
      <w:r w:rsidR="00BC03C4" w:rsidRPr="00C87F9B">
        <w:rPr>
          <w:rStyle w:val="FootnoteReference"/>
          <w:rFonts w:ascii="Calibri" w:hAnsi="Calibri" w:cs="Calibri"/>
        </w:rPr>
        <w:footnoteReference w:id="8"/>
      </w:r>
      <w:r w:rsidRPr="00C87F9B">
        <w:rPr>
          <w:rFonts w:ascii="Calibri" w:hAnsi="Calibri" w:cs="Calibri"/>
        </w:rPr>
        <w:t xml:space="preserve"> Other scholars like J.R.R. Tolkien mocked the narrative as a romanticized myth</w:t>
      </w:r>
      <w:r w:rsidR="00BC03C4" w:rsidRPr="00C87F9B">
        <w:rPr>
          <w:rFonts w:ascii="Calibri" w:hAnsi="Calibri" w:cs="Calibri"/>
        </w:rPr>
        <w:t>, with his famous quote reducing the idea to nothing but a ‘fabulous Celtic twilight ... a magic bag into which anything could be tossed and anything retrieved’.</w:t>
      </w:r>
      <w:r w:rsidR="00BC03C4" w:rsidRPr="00C87F9B">
        <w:rPr>
          <w:rStyle w:val="FootnoteReference"/>
          <w:rFonts w:ascii="Calibri" w:hAnsi="Calibri" w:cs="Calibri"/>
        </w:rPr>
        <w:footnoteReference w:id="9"/>
      </w:r>
      <w:r w:rsidR="00BC03C4" w:rsidRPr="00C87F9B">
        <w:rPr>
          <w:rFonts w:ascii="Calibri" w:hAnsi="Calibri" w:cs="Calibri"/>
        </w:rPr>
        <w:t xml:space="preserve"> Although, it must be noted, it was still one of which he made full use as a novelist.</w:t>
      </w:r>
    </w:p>
    <w:p w14:paraId="3623C010" w14:textId="77777777" w:rsidR="00203D23" w:rsidRPr="00C87F9B" w:rsidRDefault="00203D23" w:rsidP="00203D23">
      <w:pPr>
        <w:rPr>
          <w:rFonts w:ascii="Calibri" w:hAnsi="Calibri" w:cs="Calibri"/>
          <w:b/>
          <w:bCs/>
        </w:rPr>
      </w:pPr>
    </w:p>
    <w:p w14:paraId="45CC2757" w14:textId="1717AF8C" w:rsidR="00203D23" w:rsidRPr="00C87F9B" w:rsidRDefault="00203D23" w:rsidP="00203D23">
      <w:pPr>
        <w:rPr>
          <w:rFonts w:ascii="Calibri" w:hAnsi="Calibri" w:cs="Calibri"/>
        </w:rPr>
      </w:pPr>
      <w:r w:rsidRPr="00C87F9B">
        <w:rPr>
          <w:rFonts w:ascii="Calibri" w:hAnsi="Calibri" w:cs="Calibri"/>
        </w:rPr>
        <w:t xml:space="preserve">Scientific advancements </w:t>
      </w:r>
      <w:r w:rsidR="00BC03C4" w:rsidRPr="00C87F9B">
        <w:rPr>
          <w:rFonts w:ascii="Calibri" w:hAnsi="Calibri" w:cs="Calibri"/>
        </w:rPr>
        <w:t xml:space="preserve">have since </w:t>
      </w:r>
      <w:r w:rsidRPr="00C87F9B">
        <w:rPr>
          <w:rFonts w:ascii="Calibri" w:hAnsi="Calibri" w:cs="Calibri"/>
        </w:rPr>
        <w:t xml:space="preserve">transformed the field. Radiocarbon dating and ancient DNA analysis </w:t>
      </w:r>
      <w:r w:rsidR="00BC03C4" w:rsidRPr="00C87F9B">
        <w:rPr>
          <w:rFonts w:ascii="Calibri" w:hAnsi="Calibri" w:cs="Calibri"/>
        </w:rPr>
        <w:t xml:space="preserve">have </w:t>
      </w:r>
      <w:r w:rsidRPr="00C87F9B">
        <w:rPr>
          <w:rFonts w:ascii="Calibri" w:hAnsi="Calibri" w:cs="Calibri"/>
        </w:rPr>
        <w:t xml:space="preserve">overturned previous assumptions about timelines and population </w:t>
      </w:r>
      <w:r w:rsidRPr="00C87F9B">
        <w:rPr>
          <w:rFonts w:ascii="Calibri" w:hAnsi="Calibri" w:cs="Calibri"/>
        </w:rPr>
        <w:lastRenderedPageBreak/>
        <w:t xml:space="preserve">movements. For example, the Red Lady of </w:t>
      </w:r>
      <w:proofErr w:type="spellStart"/>
      <w:r w:rsidRPr="00C87F9B">
        <w:rPr>
          <w:rFonts w:ascii="Calibri" w:hAnsi="Calibri" w:cs="Calibri"/>
        </w:rPr>
        <w:t>Paviland</w:t>
      </w:r>
      <w:proofErr w:type="spellEnd"/>
      <w:r w:rsidRPr="00C87F9B">
        <w:rPr>
          <w:rFonts w:ascii="Calibri" w:hAnsi="Calibri" w:cs="Calibri"/>
        </w:rPr>
        <w:t xml:space="preserve">, once thought to be Roman, was revealed as a young man from the </w:t>
      </w:r>
      <w:proofErr w:type="spellStart"/>
      <w:r w:rsidRPr="00C87F9B">
        <w:rPr>
          <w:rFonts w:ascii="Calibri" w:hAnsi="Calibri" w:cs="Calibri"/>
        </w:rPr>
        <w:t>Paleolithic</w:t>
      </w:r>
      <w:proofErr w:type="spellEnd"/>
      <w:r w:rsidRPr="00C87F9B">
        <w:rPr>
          <w:rFonts w:ascii="Calibri" w:hAnsi="Calibri" w:cs="Calibri"/>
        </w:rPr>
        <w:t xml:space="preserve"> era.</w:t>
      </w:r>
      <w:r w:rsidR="00BC03C4" w:rsidRPr="00C87F9B">
        <w:rPr>
          <w:rStyle w:val="FootnoteReference"/>
          <w:rFonts w:ascii="Calibri" w:hAnsi="Calibri" w:cs="Calibri"/>
        </w:rPr>
        <w:footnoteReference w:id="10"/>
      </w:r>
      <w:r w:rsidRPr="00C87F9B">
        <w:rPr>
          <w:rFonts w:ascii="Calibri" w:hAnsi="Calibri" w:cs="Calibri"/>
        </w:rPr>
        <w:t xml:space="preserve"> </w:t>
      </w:r>
    </w:p>
    <w:p w14:paraId="199FBA83" w14:textId="77777777" w:rsidR="00BC03C4" w:rsidRPr="00C87F9B" w:rsidRDefault="00BC03C4" w:rsidP="00203D23">
      <w:pPr>
        <w:rPr>
          <w:rFonts w:ascii="Calibri" w:hAnsi="Calibri" w:cs="Calibri"/>
        </w:rPr>
      </w:pPr>
    </w:p>
    <w:p w14:paraId="65373838" w14:textId="7130807B" w:rsidR="00C87F9B" w:rsidRPr="00C87F9B" w:rsidRDefault="00BC03C4" w:rsidP="00203D23">
      <w:pPr>
        <w:rPr>
          <w:rFonts w:ascii="Calibri" w:hAnsi="Calibri" w:cs="Calibri"/>
        </w:rPr>
      </w:pPr>
      <w:r w:rsidRPr="00C87F9B">
        <w:rPr>
          <w:rFonts w:ascii="Calibri" w:hAnsi="Calibri" w:cs="Calibri"/>
        </w:rPr>
        <w:t>In the last 30 years,</w:t>
      </w:r>
      <w:r w:rsidR="00203D23" w:rsidRPr="00C87F9B">
        <w:rPr>
          <w:rFonts w:ascii="Calibri" w:hAnsi="Calibri" w:cs="Calibri"/>
        </w:rPr>
        <w:t xml:space="preserve"> the traditional Celtic narrative </w:t>
      </w:r>
      <w:r w:rsidRPr="00C87F9B">
        <w:rPr>
          <w:rFonts w:ascii="Calibri" w:hAnsi="Calibri" w:cs="Calibri"/>
        </w:rPr>
        <w:t xml:space="preserve">has </w:t>
      </w:r>
      <w:r w:rsidR="00203D23" w:rsidRPr="00C87F9B">
        <w:rPr>
          <w:rFonts w:ascii="Calibri" w:hAnsi="Calibri" w:cs="Calibri"/>
        </w:rPr>
        <w:t xml:space="preserve">faced increasing </w:t>
      </w:r>
      <w:proofErr w:type="spellStart"/>
      <w:r w:rsidR="00203D23" w:rsidRPr="00C87F9B">
        <w:rPr>
          <w:rFonts w:ascii="Calibri" w:hAnsi="Calibri" w:cs="Calibri"/>
        </w:rPr>
        <w:t>skepticism</w:t>
      </w:r>
      <w:proofErr w:type="spellEnd"/>
      <w:r w:rsidR="00203D23" w:rsidRPr="00C87F9B">
        <w:rPr>
          <w:rFonts w:ascii="Calibri" w:hAnsi="Calibri" w:cs="Calibri"/>
        </w:rPr>
        <w:t xml:space="preserve">. Malcolm Chapman’s 1992 book, </w:t>
      </w:r>
      <w:r w:rsidR="00203D23" w:rsidRPr="00C87F9B">
        <w:rPr>
          <w:rFonts w:ascii="Calibri" w:hAnsi="Calibri" w:cs="Calibri"/>
          <w:i/>
          <w:iCs/>
        </w:rPr>
        <w:t>The Celts: The Construction of a Myth</w:t>
      </w:r>
      <w:r w:rsidR="00203D23" w:rsidRPr="00C87F9B">
        <w:rPr>
          <w:rFonts w:ascii="Calibri" w:hAnsi="Calibri" w:cs="Calibri"/>
        </w:rPr>
        <w:t>, argue</w:t>
      </w:r>
      <w:r w:rsidRPr="00C87F9B">
        <w:rPr>
          <w:rFonts w:ascii="Calibri" w:hAnsi="Calibri" w:cs="Calibri"/>
        </w:rPr>
        <w:t>s</w:t>
      </w:r>
      <w:r w:rsidR="00203D23" w:rsidRPr="00C87F9B">
        <w:rPr>
          <w:rFonts w:ascii="Calibri" w:hAnsi="Calibri" w:cs="Calibri"/>
        </w:rPr>
        <w:t xml:space="preserve"> that the term “Celts” </w:t>
      </w:r>
      <w:r w:rsidR="00C87F9B" w:rsidRPr="00C87F9B">
        <w:rPr>
          <w:rFonts w:ascii="Calibri" w:hAnsi="Calibri" w:cs="Calibri"/>
        </w:rPr>
        <w:t>is</w:t>
      </w:r>
      <w:r w:rsidR="00203D23" w:rsidRPr="00C87F9B">
        <w:rPr>
          <w:rFonts w:ascii="Calibri" w:hAnsi="Calibri" w:cs="Calibri"/>
        </w:rPr>
        <w:t xml:space="preserve"> a convenient label rather than a reflection of a unified identity</w:t>
      </w:r>
      <w:r w:rsidR="00C87F9B" w:rsidRPr="00C87F9B">
        <w:rPr>
          <w:rFonts w:ascii="Calibri" w:hAnsi="Calibri" w:cs="Calibri"/>
        </w:rPr>
        <w:t>. When discussing the attitudes of modern ‘celts’ embracing an ethnic identity he says:</w:t>
      </w:r>
    </w:p>
    <w:p w14:paraId="2080FA6B" w14:textId="77777777" w:rsidR="00C87F9B" w:rsidRPr="00C87F9B" w:rsidRDefault="00C87F9B" w:rsidP="00203D23">
      <w:pPr>
        <w:rPr>
          <w:rFonts w:ascii="Calibri" w:hAnsi="Calibri" w:cs="Calibri"/>
        </w:rPr>
      </w:pPr>
    </w:p>
    <w:p w14:paraId="4EAA36A7" w14:textId="6CBDD555" w:rsidR="00C87F9B" w:rsidRPr="00C87F9B" w:rsidRDefault="00C87F9B" w:rsidP="00C87F9B">
      <w:pPr>
        <w:ind w:firstLine="720"/>
        <w:rPr>
          <w:rFonts w:ascii="Calibri" w:hAnsi="Calibri" w:cs="Calibri"/>
        </w:rPr>
      </w:pPr>
      <w:r w:rsidRPr="00C87F9B">
        <w:rPr>
          <w:rFonts w:ascii="Calibri" w:hAnsi="Calibri" w:cs="Calibri"/>
        </w:rPr>
        <w:t>An ‘ethnic identity’ then, at any moment, can never be more than a snapshot, a freezing of the frame of a continuously moving process. To take such a two-dimensional and time-bound image as the true ‘identity’ is a false and limiting for a culture as it would be for an individual.</w:t>
      </w:r>
      <w:r w:rsidRPr="00C87F9B">
        <w:rPr>
          <w:rStyle w:val="FootnoteReference"/>
          <w:rFonts w:ascii="Calibri" w:hAnsi="Calibri" w:cs="Calibri"/>
        </w:rPr>
        <w:footnoteReference w:id="11"/>
      </w:r>
      <w:r w:rsidR="00203D23" w:rsidRPr="00C87F9B">
        <w:rPr>
          <w:rFonts w:ascii="Calibri" w:hAnsi="Calibri" w:cs="Calibri"/>
        </w:rPr>
        <w:t xml:space="preserve"> </w:t>
      </w:r>
    </w:p>
    <w:p w14:paraId="0ECAD9F1" w14:textId="77777777" w:rsidR="00C87F9B" w:rsidRPr="00C87F9B" w:rsidRDefault="00C87F9B" w:rsidP="00203D23">
      <w:pPr>
        <w:rPr>
          <w:rFonts w:ascii="Calibri" w:hAnsi="Calibri" w:cs="Calibri"/>
        </w:rPr>
      </w:pPr>
    </w:p>
    <w:p w14:paraId="78B759BD" w14:textId="759F9C65" w:rsidR="00203D23" w:rsidRPr="00C87F9B" w:rsidRDefault="00BC03C4" w:rsidP="00203D23">
      <w:pPr>
        <w:rPr>
          <w:rFonts w:ascii="Calibri" w:hAnsi="Calibri" w:cs="Calibri"/>
        </w:rPr>
      </w:pPr>
      <w:r w:rsidRPr="00C87F9B">
        <w:rPr>
          <w:rFonts w:ascii="Calibri" w:hAnsi="Calibri" w:cs="Calibri"/>
        </w:rPr>
        <w:t>The renowned champion of the “Celts”,</w:t>
      </w:r>
      <w:r w:rsidR="00203D23" w:rsidRPr="00C87F9B">
        <w:rPr>
          <w:rFonts w:ascii="Calibri" w:hAnsi="Calibri" w:cs="Calibri"/>
        </w:rPr>
        <w:t xml:space="preserve"> Barry Cunliffe </w:t>
      </w:r>
      <w:r w:rsidRPr="00C87F9B">
        <w:rPr>
          <w:rFonts w:ascii="Calibri" w:hAnsi="Calibri" w:cs="Calibri"/>
        </w:rPr>
        <w:t>takes a somewhat revisionist perspective of their</w:t>
      </w:r>
      <w:r w:rsidR="00203D23" w:rsidRPr="00C87F9B">
        <w:rPr>
          <w:rFonts w:ascii="Calibri" w:hAnsi="Calibri" w:cs="Calibri"/>
        </w:rPr>
        <w:t xml:space="preserve"> narrative in works like </w:t>
      </w:r>
      <w:r w:rsidR="00203D23" w:rsidRPr="00C87F9B">
        <w:rPr>
          <w:rFonts w:ascii="Calibri" w:hAnsi="Calibri" w:cs="Calibri"/>
          <w:i/>
          <w:iCs/>
        </w:rPr>
        <w:t>The Ancient Celts</w:t>
      </w:r>
      <w:r w:rsidR="00203D23" w:rsidRPr="00C87F9B">
        <w:rPr>
          <w:rFonts w:ascii="Calibri" w:hAnsi="Calibri" w:cs="Calibri"/>
        </w:rPr>
        <w:t xml:space="preserve"> and </w:t>
      </w:r>
      <w:r w:rsidR="00203D23" w:rsidRPr="00C87F9B">
        <w:rPr>
          <w:rFonts w:ascii="Calibri" w:hAnsi="Calibri" w:cs="Calibri"/>
          <w:i/>
          <w:iCs/>
        </w:rPr>
        <w:t>Facing the Ocean</w:t>
      </w:r>
      <w:r w:rsidR="00203D23" w:rsidRPr="00C87F9B">
        <w:rPr>
          <w:rFonts w:ascii="Calibri" w:hAnsi="Calibri" w:cs="Calibri"/>
        </w:rPr>
        <w:t>. He dr</w:t>
      </w:r>
      <w:r w:rsidRPr="00C87F9B">
        <w:rPr>
          <w:rFonts w:ascii="Calibri" w:hAnsi="Calibri" w:cs="Calibri"/>
        </w:rPr>
        <w:t>aws</w:t>
      </w:r>
      <w:r w:rsidR="00203D23" w:rsidRPr="00C87F9B">
        <w:rPr>
          <w:rFonts w:ascii="Calibri" w:hAnsi="Calibri" w:cs="Calibri"/>
        </w:rPr>
        <w:t xml:space="preserve"> on ideas emphasizing slow historical change and the importance of maritime connections over land-based interactions. He </w:t>
      </w:r>
      <w:r w:rsidRPr="00C87F9B">
        <w:rPr>
          <w:rFonts w:ascii="Calibri" w:hAnsi="Calibri" w:cs="Calibri"/>
        </w:rPr>
        <w:t>proposes</w:t>
      </w:r>
      <w:r w:rsidR="00203D23" w:rsidRPr="00C87F9B">
        <w:rPr>
          <w:rFonts w:ascii="Calibri" w:hAnsi="Calibri" w:cs="Calibri"/>
        </w:rPr>
        <w:t xml:space="preserve"> that the population of the British Isles was largely stable over time and that cultural developments were driven by local dynamics rather than invasions.</w:t>
      </w:r>
      <w:r w:rsidR="00C87F9B" w:rsidRPr="00C87F9B">
        <w:rPr>
          <w:rFonts w:ascii="Calibri" w:hAnsi="Calibri" w:cs="Calibri"/>
        </w:rPr>
        <w:t xml:space="preserve"> </w:t>
      </w:r>
      <w:r w:rsidR="00203D23" w:rsidRPr="00C87F9B">
        <w:rPr>
          <w:rFonts w:ascii="Calibri" w:hAnsi="Calibri" w:cs="Calibri"/>
        </w:rPr>
        <w:t>Genetic research support</w:t>
      </w:r>
      <w:r w:rsidRPr="00C87F9B">
        <w:rPr>
          <w:rFonts w:ascii="Calibri" w:hAnsi="Calibri" w:cs="Calibri"/>
        </w:rPr>
        <w:t>s</w:t>
      </w:r>
      <w:r w:rsidR="00203D23" w:rsidRPr="00C87F9B">
        <w:rPr>
          <w:rFonts w:ascii="Calibri" w:hAnsi="Calibri" w:cs="Calibri"/>
        </w:rPr>
        <w:t xml:space="preserve"> this view, showing that most modern Britons descended from Mesolithic hunter-gatherers. The spread of Celtic languages, Cunliffe argue</w:t>
      </w:r>
      <w:r w:rsidRPr="00C87F9B">
        <w:rPr>
          <w:rFonts w:ascii="Calibri" w:hAnsi="Calibri" w:cs="Calibri"/>
        </w:rPr>
        <w:t>s</w:t>
      </w:r>
      <w:r w:rsidR="00203D23" w:rsidRPr="00C87F9B">
        <w:rPr>
          <w:rFonts w:ascii="Calibri" w:hAnsi="Calibri" w:cs="Calibri"/>
        </w:rPr>
        <w:t>, was likely linked to trade and seafaring rather than population movements. Linguistic studies suggest that proto-Celtic might have spread from the Iberian Peninsula along Atlantic trade routes</w:t>
      </w:r>
      <w:r w:rsidRPr="00C87F9B">
        <w:rPr>
          <w:rFonts w:ascii="Calibri" w:hAnsi="Calibri" w:cs="Calibri"/>
        </w:rPr>
        <w:t>, and</w:t>
      </w:r>
      <w:r w:rsidR="00203D23" w:rsidRPr="00C87F9B">
        <w:rPr>
          <w:rFonts w:ascii="Calibri" w:hAnsi="Calibri" w:cs="Calibri"/>
        </w:rPr>
        <w:t xml:space="preserve"> Cunliffe </w:t>
      </w:r>
      <w:r w:rsidR="00C87F9B" w:rsidRPr="00C87F9B">
        <w:rPr>
          <w:rFonts w:ascii="Calibri" w:hAnsi="Calibri" w:cs="Calibri"/>
        </w:rPr>
        <w:t>argues that Atlantic seafaring facilitated cultural exchanges and the spread of language, suggesting that the British Isles were more connected to the Atlantic coastal regions of Europe than to inland areas, with seafaring traders using a Celtic lingua-franca, detaching linguistic identity from ethnicity or migration.</w:t>
      </w:r>
      <w:r w:rsidR="00C87F9B">
        <w:rPr>
          <w:rStyle w:val="FootnoteReference"/>
          <w:rFonts w:ascii="Calibri" w:hAnsi="Calibri" w:cs="Calibri"/>
        </w:rPr>
        <w:footnoteReference w:id="12"/>
      </w:r>
      <w:r w:rsidR="00C87F9B" w:rsidRPr="00C87F9B">
        <w:rPr>
          <w:rFonts w:ascii="Calibri" w:hAnsi="Calibri" w:cs="Calibri"/>
        </w:rPr>
        <w:t xml:space="preserve"> </w:t>
      </w:r>
    </w:p>
    <w:p w14:paraId="598947B8" w14:textId="77777777" w:rsidR="00C87F9B" w:rsidRPr="00C87F9B" w:rsidRDefault="00C87F9B" w:rsidP="00203D23">
      <w:pPr>
        <w:rPr>
          <w:rFonts w:ascii="Calibri" w:hAnsi="Calibri" w:cs="Calibri"/>
        </w:rPr>
      </w:pPr>
    </w:p>
    <w:p w14:paraId="5D3F82C3" w14:textId="77777777" w:rsidR="00C87F9B" w:rsidRPr="00C87F9B" w:rsidRDefault="00C87F9B" w:rsidP="00C87F9B">
      <w:pPr>
        <w:rPr>
          <w:rFonts w:ascii="Calibri" w:hAnsi="Calibri" w:cs="Calibri"/>
        </w:rPr>
      </w:pPr>
      <w:r w:rsidRPr="00C87F9B">
        <w:rPr>
          <w:rFonts w:ascii="Calibri" w:hAnsi="Calibri" w:cs="Calibri"/>
        </w:rPr>
        <w:t>Simon James and other scholars dismiss the Celts as a modern invention, emphasizing the diversity of ancient European cultures, and railing against what was a political falsification of history, dangerous in the hands of separatists.</w:t>
      </w:r>
      <w:r w:rsidRPr="00C87F9B">
        <w:rPr>
          <w:rStyle w:val="FootnoteReference"/>
          <w:rFonts w:ascii="Calibri" w:hAnsi="Calibri" w:cs="Calibri"/>
        </w:rPr>
        <w:footnoteReference w:id="13"/>
      </w:r>
      <w:r w:rsidRPr="00C87F9B">
        <w:rPr>
          <w:rFonts w:ascii="Calibri" w:hAnsi="Calibri" w:cs="Calibri"/>
        </w:rPr>
        <w:t xml:space="preserve"> Graham Robb’s </w:t>
      </w:r>
      <w:r w:rsidRPr="00C87F9B">
        <w:rPr>
          <w:rFonts w:ascii="Calibri" w:hAnsi="Calibri" w:cs="Calibri"/>
          <w:i/>
          <w:iCs/>
        </w:rPr>
        <w:t>The Discovery of France</w:t>
      </w:r>
      <w:r w:rsidRPr="00C87F9B">
        <w:rPr>
          <w:rFonts w:ascii="Calibri" w:hAnsi="Calibri" w:cs="Calibri"/>
        </w:rPr>
        <w:t xml:space="preserve"> challenges the idea of a cohesive Celtic identity, pointing out that ancient communities were defined by local loyalties rather than shared ethnicity or language which stretched on well into the 18</w:t>
      </w:r>
      <w:r w:rsidRPr="00C87F9B">
        <w:rPr>
          <w:rFonts w:ascii="Calibri" w:hAnsi="Calibri" w:cs="Calibri"/>
          <w:vertAlign w:val="superscript"/>
        </w:rPr>
        <w:t>th</w:t>
      </w:r>
      <w:r w:rsidRPr="00C87F9B">
        <w:rPr>
          <w:rFonts w:ascii="Calibri" w:hAnsi="Calibri" w:cs="Calibri"/>
        </w:rPr>
        <w:t xml:space="preserve"> and 19</w:t>
      </w:r>
      <w:r w:rsidRPr="00C87F9B">
        <w:rPr>
          <w:rFonts w:ascii="Calibri" w:hAnsi="Calibri" w:cs="Calibri"/>
          <w:vertAlign w:val="superscript"/>
        </w:rPr>
        <w:t>th</w:t>
      </w:r>
      <w:r w:rsidRPr="00C87F9B">
        <w:rPr>
          <w:rFonts w:ascii="Calibri" w:hAnsi="Calibri" w:cs="Calibri"/>
        </w:rPr>
        <w:t xml:space="preserve"> centuries</w:t>
      </w:r>
      <w:r w:rsidRPr="00C87F9B">
        <w:rPr>
          <w:rStyle w:val="FootnoteReference"/>
          <w:rFonts w:ascii="Calibri" w:hAnsi="Calibri" w:cs="Calibri"/>
        </w:rPr>
        <w:footnoteReference w:id="14"/>
      </w:r>
      <w:r w:rsidRPr="00C87F9B">
        <w:rPr>
          <w:rFonts w:ascii="Calibri" w:hAnsi="Calibri" w:cs="Calibri"/>
        </w:rPr>
        <w:t xml:space="preserve">, although his 2013 book </w:t>
      </w:r>
      <w:r w:rsidRPr="00C87F9B">
        <w:rPr>
          <w:rFonts w:ascii="Calibri" w:hAnsi="Calibri" w:cs="Calibri"/>
          <w:i/>
          <w:iCs/>
        </w:rPr>
        <w:t>The Ancient Paths; discovering the lost map of Celtic Europe</w:t>
      </w:r>
      <w:r w:rsidRPr="00C87F9B">
        <w:rPr>
          <w:rFonts w:ascii="Calibri" w:hAnsi="Calibri" w:cs="Calibri"/>
        </w:rPr>
        <w:t xml:space="preserve"> certainly overlooks this earlier position and gleefully revels in the ‘civilisation of the Celts’</w:t>
      </w:r>
      <w:r w:rsidRPr="00C87F9B">
        <w:rPr>
          <w:rStyle w:val="FootnoteReference"/>
          <w:rFonts w:ascii="Calibri" w:hAnsi="Calibri" w:cs="Calibri"/>
        </w:rPr>
        <w:footnoteReference w:id="15"/>
      </w:r>
      <w:r w:rsidRPr="00C87F9B">
        <w:rPr>
          <w:rFonts w:ascii="Calibri" w:hAnsi="Calibri" w:cs="Calibri"/>
        </w:rPr>
        <w:t xml:space="preserve">. </w:t>
      </w:r>
    </w:p>
    <w:p w14:paraId="179C2B8D" w14:textId="77777777" w:rsidR="00C87F9B" w:rsidRPr="00C87F9B" w:rsidRDefault="00C87F9B" w:rsidP="00203D23">
      <w:pPr>
        <w:rPr>
          <w:rFonts w:ascii="Calibri" w:hAnsi="Calibri" w:cs="Calibri"/>
        </w:rPr>
      </w:pPr>
    </w:p>
    <w:p w14:paraId="4FD5E53D" w14:textId="77777777" w:rsidR="00203D23" w:rsidRPr="00C87F9B" w:rsidRDefault="00203D23" w:rsidP="00203D23">
      <w:pPr>
        <w:rPr>
          <w:rFonts w:ascii="Calibri" w:hAnsi="Calibri" w:cs="Calibri"/>
          <w:b/>
          <w:bCs/>
        </w:rPr>
      </w:pPr>
    </w:p>
    <w:p w14:paraId="24530637" w14:textId="4BF0DD3D" w:rsidR="00C87F9B" w:rsidRDefault="00BC03C4" w:rsidP="00203D23">
      <w:pPr>
        <w:rPr>
          <w:rFonts w:ascii="Calibri" w:hAnsi="Calibri" w:cs="Calibri"/>
        </w:rPr>
      </w:pPr>
      <w:r w:rsidRPr="00C87F9B">
        <w:rPr>
          <w:rFonts w:ascii="Calibri" w:hAnsi="Calibri" w:cs="Calibri"/>
        </w:rPr>
        <w:lastRenderedPageBreak/>
        <w:t>Malcolm Chapman and Simon James</w:t>
      </w:r>
      <w:r w:rsidR="00C87F9B" w:rsidRPr="00C87F9B">
        <w:rPr>
          <w:rFonts w:ascii="Calibri" w:hAnsi="Calibri" w:cs="Calibri"/>
        </w:rPr>
        <w:t>’</w:t>
      </w:r>
      <w:r w:rsidRPr="00C87F9B">
        <w:rPr>
          <w:rFonts w:ascii="Calibri" w:hAnsi="Calibri" w:cs="Calibri"/>
        </w:rPr>
        <w:t xml:space="preserve"> argu</w:t>
      </w:r>
      <w:r w:rsidR="00C87F9B" w:rsidRPr="00C87F9B">
        <w:rPr>
          <w:rFonts w:ascii="Calibri" w:hAnsi="Calibri" w:cs="Calibri"/>
        </w:rPr>
        <w:t>ment</w:t>
      </w:r>
      <w:r w:rsidRPr="00C87F9B">
        <w:rPr>
          <w:rFonts w:ascii="Calibri" w:hAnsi="Calibri" w:cs="Calibri"/>
        </w:rPr>
        <w:t xml:space="preserve"> </w:t>
      </w:r>
      <w:r w:rsidR="00C87F9B" w:rsidRPr="00C87F9B">
        <w:rPr>
          <w:rFonts w:ascii="Calibri" w:hAnsi="Calibri" w:cs="Calibri"/>
        </w:rPr>
        <w:t>is that the modern ‘</w:t>
      </w:r>
      <w:proofErr w:type="spellStart"/>
      <w:r w:rsidR="00C87F9B" w:rsidRPr="00C87F9B">
        <w:rPr>
          <w:rFonts w:ascii="Calibri" w:hAnsi="Calibri" w:cs="Calibri"/>
        </w:rPr>
        <w:t>celtic</w:t>
      </w:r>
      <w:proofErr w:type="spellEnd"/>
      <w:r w:rsidR="00C87F9B" w:rsidRPr="00C87F9B">
        <w:rPr>
          <w:rFonts w:ascii="Calibri" w:hAnsi="Calibri" w:cs="Calibri"/>
        </w:rPr>
        <w:t>’ is</w:t>
      </w:r>
      <w:r w:rsidRPr="00C87F9B">
        <w:rPr>
          <w:rFonts w:ascii="Calibri" w:hAnsi="Calibri" w:cs="Calibri"/>
        </w:rPr>
        <w:t xml:space="preserve"> shaped by romantic nationalism and 19th-century archaeology</w:t>
      </w:r>
      <w:r w:rsidR="00C87F9B" w:rsidRPr="00C87F9B">
        <w:rPr>
          <w:rFonts w:ascii="Calibri" w:hAnsi="Calibri" w:cs="Calibri"/>
        </w:rPr>
        <w:t xml:space="preserve">, and many agree with this </w:t>
      </w:r>
      <w:r w:rsidRPr="00C87F9B">
        <w:rPr>
          <w:rFonts w:ascii="Calibri" w:hAnsi="Calibri" w:cs="Calibri"/>
        </w:rPr>
        <w:t xml:space="preserve">interpretation </w:t>
      </w:r>
      <w:r w:rsidR="00C87F9B" w:rsidRPr="00C87F9B">
        <w:rPr>
          <w:rFonts w:ascii="Calibri" w:hAnsi="Calibri" w:cs="Calibri"/>
        </w:rPr>
        <w:t>having</w:t>
      </w:r>
      <w:r w:rsidRPr="00C87F9B">
        <w:rPr>
          <w:rFonts w:ascii="Calibri" w:hAnsi="Calibri" w:cs="Calibri"/>
        </w:rPr>
        <w:t xml:space="preserve"> more to do with contemporary politics and identity-building than with historical accuracy</w:t>
      </w:r>
      <w:r w:rsidR="00C87F9B" w:rsidRPr="00C87F9B">
        <w:rPr>
          <w:rFonts w:ascii="Calibri" w:hAnsi="Calibri" w:cs="Calibri"/>
        </w:rPr>
        <w:t xml:space="preserve">. </w:t>
      </w:r>
      <w:r w:rsidRPr="00C87F9B">
        <w:rPr>
          <w:rFonts w:ascii="Calibri" w:hAnsi="Calibri" w:cs="Calibri"/>
        </w:rPr>
        <w:t xml:space="preserve"> </w:t>
      </w:r>
      <w:r w:rsidR="00C87F9B" w:rsidRPr="00C87F9B">
        <w:rPr>
          <w:rFonts w:ascii="Calibri" w:hAnsi="Calibri" w:cs="Calibri"/>
        </w:rPr>
        <w:t>As noted, n</w:t>
      </w:r>
      <w:r w:rsidR="00C87F9B" w:rsidRPr="00203D23">
        <w:rPr>
          <w:rFonts w:ascii="Calibri" w:hAnsi="Calibri" w:cs="Calibri"/>
        </w:rPr>
        <w:t xml:space="preserve">o ancient source referred to the inhabitants of Britain or Ireland as Celts. The application of this term to Britain in the 17th century </w:t>
      </w:r>
      <w:r w:rsidR="00C87F9B" w:rsidRPr="00C87F9B">
        <w:rPr>
          <w:rFonts w:ascii="Calibri" w:hAnsi="Calibri" w:cs="Calibri"/>
        </w:rPr>
        <w:t xml:space="preserve">is clearly </w:t>
      </w:r>
      <w:r w:rsidR="00C87F9B" w:rsidRPr="00203D23">
        <w:rPr>
          <w:rFonts w:ascii="Calibri" w:hAnsi="Calibri" w:cs="Calibri"/>
        </w:rPr>
        <w:t>a retrospective classification rather than an accurate historical identity</w:t>
      </w:r>
      <w:r w:rsidR="00C87F9B" w:rsidRPr="00C87F9B">
        <w:rPr>
          <w:rFonts w:ascii="Calibri" w:hAnsi="Calibri" w:cs="Calibri"/>
        </w:rPr>
        <w:t xml:space="preserve">, one which could easily have been deemed “Gallic’ or as suggested by some modern scholars, </w:t>
      </w:r>
      <w:r w:rsidR="00C87F9B">
        <w:rPr>
          <w:rFonts w:ascii="Calibri" w:hAnsi="Calibri" w:cs="Calibri"/>
        </w:rPr>
        <w:t>“</w:t>
      </w:r>
      <w:r w:rsidR="00C87F9B" w:rsidRPr="00C87F9B">
        <w:rPr>
          <w:rFonts w:ascii="Calibri" w:hAnsi="Calibri" w:cs="Calibri"/>
        </w:rPr>
        <w:t>Atlantic</w:t>
      </w:r>
      <w:r w:rsidR="00C87F9B">
        <w:rPr>
          <w:rFonts w:ascii="Calibri" w:hAnsi="Calibri" w:cs="Calibri"/>
        </w:rPr>
        <w:t>”</w:t>
      </w:r>
      <w:r w:rsidR="00C87F9B" w:rsidRPr="00C87F9B">
        <w:rPr>
          <w:rFonts w:ascii="Calibri" w:hAnsi="Calibri" w:cs="Calibri"/>
        </w:rPr>
        <w:t xml:space="preserve">. </w:t>
      </w:r>
      <w:r w:rsidR="00203D23" w:rsidRPr="00C87F9B">
        <w:rPr>
          <w:rFonts w:ascii="Calibri" w:hAnsi="Calibri" w:cs="Calibri"/>
        </w:rPr>
        <w:t xml:space="preserve">The division </w:t>
      </w:r>
      <w:r w:rsidR="00C87F9B" w:rsidRPr="00C87F9B">
        <w:rPr>
          <w:rFonts w:ascii="Calibri" w:hAnsi="Calibri" w:cs="Calibri"/>
        </w:rPr>
        <w:t xml:space="preserve">of the language </w:t>
      </w:r>
      <w:r w:rsidR="00203D23" w:rsidRPr="00C87F9B">
        <w:rPr>
          <w:rFonts w:ascii="Calibri" w:hAnsi="Calibri" w:cs="Calibri"/>
        </w:rPr>
        <w:t xml:space="preserve">into Q-Celtic (e.g., Irish and Scots Gaelic) and P-Celtic (e.g., Welsh, Cornish, and Breton) reflects shared linguistic roots, </w:t>
      </w:r>
      <w:r w:rsidR="00C87F9B" w:rsidRPr="00C87F9B">
        <w:rPr>
          <w:rFonts w:ascii="Calibri" w:hAnsi="Calibri" w:cs="Calibri"/>
        </w:rPr>
        <w:t xml:space="preserve">but </w:t>
      </w:r>
      <w:r w:rsidR="00C87F9B" w:rsidRPr="00203D23">
        <w:rPr>
          <w:rFonts w:ascii="Calibri" w:hAnsi="Calibri" w:cs="Calibri"/>
        </w:rPr>
        <w:t xml:space="preserve">significant regional differences. Additionally, cultural practices in Ireland, Scotland, Wales, and Brittany </w:t>
      </w:r>
      <w:r w:rsidR="00C87F9B" w:rsidRPr="00C87F9B">
        <w:rPr>
          <w:rFonts w:ascii="Calibri" w:hAnsi="Calibri" w:cs="Calibri"/>
        </w:rPr>
        <w:t>are not and were</w:t>
      </w:r>
      <w:r w:rsidR="00C87F9B" w:rsidRPr="00203D23">
        <w:rPr>
          <w:rFonts w:ascii="Calibri" w:hAnsi="Calibri" w:cs="Calibri"/>
        </w:rPr>
        <w:t xml:space="preserve"> not uniform, even during the Iron Age.</w:t>
      </w:r>
      <w:r w:rsidR="00C87F9B" w:rsidRPr="00C87F9B">
        <w:rPr>
          <w:rFonts w:ascii="Calibri" w:hAnsi="Calibri" w:cs="Calibri"/>
        </w:rPr>
        <w:t xml:space="preserve"> T</w:t>
      </w:r>
      <w:r w:rsidR="00C87F9B" w:rsidRPr="00203D23">
        <w:rPr>
          <w:rFonts w:ascii="Calibri" w:hAnsi="Calibri" w:cs="Calibri"/>
        </w:rPr>
        <w:t>his fragmentation calls into question the appropriateness of using a single term to describe such varied traditions</w:t>
      </w:r>
      <w:r w:rsidR="00C87F9B" w:rsidRPr="00C87F9B">
        <w:rPr>
          <w:rFonts w:ascii="Calibri" w:hAnsi="Calibri" w:cs="Calibri"/>
        </w:rPr>
        <w:t>.</w:t>
      </w:r>
    </w:p>
    <w:p w14:paraId="58799909" w14:textId="77777777" w:rsidR="00C87F9B" w:rsidRDefault="00C87F9B" w:rsidP="00203D23">
      <w:pPr>
        <w:rPr>
          <w:rFonts w:ascii="Calibri" w:hAnsi="Calibri" w:cs="Calibri"/>
        </w:rPr>
      </w:pPr>
    </w:p>
    <w:p w14:paraId="6ED4370D" w14:textId="202221DB" w:rsidR="00C87F9B" w:rsidRPr="00C87F9B" w:rsidRDefault="00BC03C4" w:rsidP="00203D23">
      <w:pPr>
        <w:rPr>
          <w:rFonts w:ascii="Calibri" w:hAnsi="Calibri" w:cs="Calibri"/>
        </w:rPr>
      </w:pPr>
      <w:r w:rsidRPr="00C87F9B">
        <w:rPr>
          <w:rFonts w:ascii="Calibri" w:hAnsi="Calibri" w:cs="Calibri"/>
        </w:rPr>
        <w:t>It is important to note t</w:t>
      </w:r>
      <w:r w:rsidR="00C87F9B" w:rsidRPr="00C87F9B">
        <w:rPr>
          <w:rFonts w:ascii="Calibri" w:hAnsi="Calibri" w:cs="Calibri"/>
        </w:rPr>
        <w:t>hat</w:t>
      </w:r>
      <w:r w:rsidR="00203D23" w:rsidRPr="00C87F9B">
        <w:rPr>
          <w:rFonts w:ascii="Calibri" w:hAnsi="Calibri" w:cs="Calibri"/>
        </w:rPr>
        <w:t xml:space="preserve"> populations of the British Isles</w:t>
      </w:r>
      <w:r w:rsidRPr="00C87F9B">
        <w:rPr>
          <w:rFonts w:ascii="Calibri" w:hAnsi="Calibri" w:cs="Calibri"/>
        </w:rPr>
        <w:t>, like all communities and cultures,</w:t>
      </w:r>
      <w:r w:rsidR="00203D23" w:rsidRPr="00C87F9B">
        <w:rPr>
          <w:rFonts w:ascii="Calibri" w:hAnsi="Calibri" w:cs="Calibri"/>
        </w:rPr>
        <w:t xml:space="preserve"> are a mosaic of influences. The term “Celtic” </w:t>
      </w:r>
      <w:r w:rsidRPr="00C87F9B">
        <w:rPr>
          <w:rFonts w:ascii="Calibri" w:hAnsi="Calibri" w:cs="Calibri"/>
        </w:rPr>
        <w:t xml:space="preserve">can </w:t>
      </w:r>
      <w:r w:rsidR="00203D23" w:rsidRPr="00C87F9B">
        <w:rPr>
          <w:rFonts w:ascii="Calibri" w:hAnsi="Calibri" w:cs="Calibri"/>
        </w:rPr>
        <w:t>oversimplif</w:t>
      </w:r>
      <w:r w:rsidRPr="00C87F9B">
        <w:rPr>
          <w:rFonts w:ascii="Calibri" w:hAnsi="Calibri" w:cs="Calibri"/>
        </w:rPr>
        <w:t>y</w:t>
      </w:r>
      <w:r w:rsidR="00203D23" w:rsidRPr="00C87F9B">
        <w:rPr>
          <w:rFonts w:ascii="Calibri" w:hAnsi="Calibri" w:cs="Calibri"/>
        </w:rPr>
        <w:t xml:space="preserve"> this complexity, masking the diversity of these ancient communities</w:t>
      </w:r>
      <w:r w:rsidR="00C87F9B" w:rsidRPr="00C87F9B">
        <w:rPr>
          <w:rFonts w:ascii="Calibri" w:hAnsi="Calibri" w:cs="Calibri"/>
        </w:rPr>
        <w:t xml:space="preserve">, and </w:t>
      </w:r>
      <w:r w:rsidR="00203D23" w:rsidRPr="00C87F9B">
        <w:rPr>
          <w:rFonts w:ascii="Calibri" w:hAnsi="Calibri" w:cs="Calibri"/>
        </w:rPr>
        <w:t xml:space="preserve">its historical inaccuracies and modern constructions call for cautious use. </w:t>
      </w:r>
    </w:p>
    <w:p w14:paraId="400A0757" w14:textId="77777777" w:rsidR="00C87F9B" w:rsidRPr="00C87F9B" w:rsidRDefault="00C87F9B" w:rsidP="00203D23">
      <w:pPr>
        <w:rPr>
          <w:rFonts w:ascii="Calibri" w:hAnsi="Calibri" w:cs="Calibri"/>
        </w:rPr>
      </w:pPr>
    </w:p>
    <w:p w14:paraId="218B1F1D" w14:textId="77777777" w:rsidR="00C87F9B" w:rsidRPr="00C87F9B" w:rsidRDefault="00C87F9B" w:rsidP="00C87F9B">
      <w:pPr>
        <w:rPr>
          <w:rFonts w:ascii="Calibri" w:hAnsi="Calibri" w:cs="Calibri"/>
        </w:rPr>
      </w:pPr>
      <w:r w:rsidRPr="00C87F9B">
        <w:rPr>
          <w:rFonts w:ascii="Calibri" w:hAnsi="Calibri" w:cs="Calibri"/>
        </w:rPr>
        <w:t>Modern academics face the challenge of bridging the gap between historical accuracy and public perception of the term "Celtic." In contemporary Celtic nations, the label has transformed into a potent symbol of cultural identity, representing unity and distinctiveness, particularly in opposition to English dominance. However, while "Celtic" serves as a powerful cultural and political marker, it oversimplifies the intricate tapestry of historical influences and identities within the British Isles and Ireland. This term, though deeply ingrained in public consciousness, distorts the complex realities of these regions’ histories. While scholars may continue to question and debate its accuracy, its entrenched place in common usage suggests that disentangling it from modern discourse would be a near-impossible task. Nonetheless, its application as a blanket term for both ancient Britons and the modern "Celtic" nations remains a misnomer that demands ongoing scrutiny within academic circles.</w:t>
      </w:r>
    </w:p>
    <w:p w14:paraId="65E76E76" w14:textId="7B14BA2F" w:rsidR="00203D23" w:rsidRDefault="00203D23" w:rsidP="00C87F9B">
      <w:pPr>
        <w:rPr>
          <w:rFonts w:ascii="Calibri" w:hAnsi="Calibri" w:cs="Calibri"/>
        </w:rPr>
      </w:pPr>
    </w:p>
    <w:p w14:paraId="5E19F4EC" w14:textId="6E9E0864" w:rsidR="00C87F9B" w:rsidRPr="00C87F9B" w:rsidRDefault="00C87F9B" w:rsidP="00C87F9B">
      <w:pPr>
        <w:rPr>
          <w:rFonts w:ascii="Calibri" w:hAnsi="Calibri" w:cs="Calibri"/>
          <w:b/>
          <w:bCs/>
        </w:rPr>
      </w:pPr>
      <w:r w:rsidRPr="00C87F9B">
        <w:rPr>
          <w:rFonts w:ascii="Calibri" w:hAnsi="Calibri" w:cs="Calibri"/>
          <w:b/>
          <w:bCs/>
        </w:rPr>
        <w:t xml:space="preserve">Bibliography </w:t>
      </w:r>
    </w:p>
    <w:p w14:paraId="16B3698E" w14:textId="77777777" w:rsidR="00C87F9B" w:rsidRPr="00C87F9B" w:rsidRDefault="00C87F9B" w:rsidP="00C87F9B">
      <w:pPr>
        <w:rPr>
          <w:rFonts w:ascii="Calibri" w:hAnsi="Calibri" w:cs="Calibri"/>
        </w:rPr>
      </w:pPr>
    </w:p>
    <w:p w14:paraId="24D5EC36" w14:textId="53F0C864" w:rsidR="00C87F9B" w:rsidRPr="00C87F9B" w:rsidRDefault="00C87F9B" w:rsidP="00C87F9B">
      <w:pPr>
        <w:rPr>
          <w:rFonts w:ascii="Calibri" w:hAnsi="Calibri" w:cs="Calibri"/>
        </w:rPr>
      </w:pPr>
      <w:r w:rsidRPr="00C87F9B">
        <w:rPr>
          <w:rFonts w:ascii="Calibri" w:hAnsi="Calibri" w:cs="Calibri"/>
        </w:rPr>
        <w:t>Chapman, Malcolm. 1992. </w:t>
      </w:r>
      <w:r w:rsidRPr="00C87F9B">
        <w:rPr>
          <w:rFonts w:ascii="Calibri" w:hAnsi="Calibri" w:cs="Calibri"/>
          <w:i/>
          <w:iCs/>
        </w:rPr>
        <w:t>The Celts: The Construction of a Myth</w:t>
      </w:r>
      <w:r>
        <w:rPr>
          <w:rFonts w:ascii="Calibri" w:hAnsi="Calibri" w:cs="Calibri"/>
        </w:rPr>
        <w:t xml:space="preserve"> (London, England: Macmillan Press)</w:t>
      </w:r>
    </w:p>
    <w:p w14:paraId="3DD38B5D" w14:textId="77777777" w:rsidR="00C87F9B" w:rsidRPr="00C87F9B" w:rsidRDefault="00C87F9B" w:rsidP="00C87F9B">
      <w:pPr>
        <w:rPr>
          <w:rFonts w:ascii="Calibri" w:hAnsi="Calibri" w:cs="Calibri"/>
        </w:rPr>
      </w:pPr>
    </w:p>
    <w:p w14:paraId="77964E04" w14:textId="77777777" w:rsidR="00C87F9B" w:rsidRPr="00C87F9B" w:rsidRDefault="00C87F9B" w:rsidP="00C87F9B">
      <w:pPr>
        <w:rPr>
          <w:rFonts w:ascii="Calibri" w:hAnsi="Calibri" w:cs="Calibri"/>
        </w:rPr>
      </w:pPr>
      <w:r w:rsidRPr="00C87F9B">
        <w:rPr>
          <w:rFonts w:ascii="Calibri" w:hAnsi="Calibri" w:cs="Calibri"/>
        </w:rPr>
        <w:t>Collis, John. 2003. </w:t>
      </w:r>
      <w:r w:rsidRPr="00C87F9B">
        <w:rPr>
          <w:rFonts w:ascii="Calibri" w:hAnsi="Calibri" w:cs="Calibri"/>
          <w:i/>
          <w:iCs/>
        </w:rPr>
        <w:t>The Celts: Origins, Myths &amp; Inventions</w:t>
      </w:r>
      <w:r w:rsidRPr="00C87F9B">
        <w:rPr>
          <w:rFonts w:ascii="Calibri" w:hAnsi="Calibri" w:cs="Calibri"/>
        </w:rPr>
        <w:t> (London, England: History Press)</w:t>
      </w:r>
    </w:p>
    <w:p w14:paraId="5C3BEA7C" w14:textId="77777777" w:rsidR="00C87F9B" w:rsidRPr="00C87F9B" w:rsidRDefault="00C87F9B" w:rsidP="00C87F9B">
      <w:pPr>
        <w:rPr>
          <w:rFonts w:ascii="Calibri" w:hAnsi="Calibri" w:cs="Calibri"/>
        </w:rPr>
      </w:pPr>
    </w:p>
    <w:p w14:paraId="019F7AA1" w14:textId="77777777" w:rsidR="00C87F9B" w:rsidRPr="00C87F9B" w:rsidRDefault="00C87F9B" w:rsidP="00C87F9B">
      <w:pPr>
        <w:rPr>
          <w:rFonts w:ascii="Calibri" w:hAnsi="Calibri" w:cs="Calibri"/>
        </w:rPr>
      </w:pPr>
      <w:r w:rsidRPr="00C87F9B">
        <w:rPr>
          <w:rFonts w:ascii="Calibri" w:hAnsi="Calibri" w:cs="Calibri"/>
        </w:rPr>
        <w:t>Cunliffe, Barry. 1979. </w:t>
      </w:r>
      <w:r w:rsidRPr="00C87F9B">
        <w:rPr>
          <w:rFonts w:ascii="Calibri" w:hAnsi="Calibri" w:cs="Calibri"/>
          <w:i/>
          <w:iCs/>
        </w:rPr>
        <w:t>The Celtic World</w:t>
      </w:r>
      <w:r w:rsidRPr="00C87F9B">
        <w:rPr>
          <w:rFonts w:ascii="Calibri" w:hAnsi="Calibri" w:cs="Calibri"/>
        </w:rPr>
        <w:t> (London, England: Bodley Head)</w:t>
      </w:r>
    </w:p>
    <w:p w14:paraId="5E303553" w14:textId="77777777" w:rsidR="00C87F9B" w:rsidRPr="00C87F9B" w:rsidRDefault="00C87F9B" w:rsidP="00C87F9B">
      <w:pPr>
        <w:rPr>
          <w:rFonts w:ascii="Calibri" w:hAnsi="Calibri" w:cs="Calibri"/>
        </w:rPr>
      </w:pPr>
    </w:p>
    <w:p w14:paraId="7A7A8BE3" w14:textId="1544D415" w:rsidR="00C87F9B" w:rsidRPr="00C87F9B" w:rsidRDefault="00C87F9B" w:rsidP="00C87F9B">
      <w:pPr>
        <w:rPr>
          <w:rFonts w:ascii="Calibri" w:hAnsi="Calibri" w:cs="Calibri"/>
        </w:rPr>
      </w:pPr>
      <w:r w:rsidRPr="00C87F9B">
        <w:rPr>
          <w:rFonts w:ascii="Calibri" w:hAnsi="Calibri" w:cs="Calibri"/>
        </w:rPr>
        <w:t>Cunliffe, Barry. 2001. </w:t>
      </w:r>
      <w:r w:rsidRPr="00C87F9B">
        <w:rPr>
          <w:rFonts w:ascii="Calibri" w:hAnsi="Calibri" w:cs="Calibri"/>
          <w:i/>
          <w:iCs/>
        </w:rPr>
        <w:t>Facing the Ocean: The Atlantic and Its Peoples, 8000 BC to AD 1500</w:t>
      </w:r>
      <w:r w:rsidRPr="00C87F9B">
        <w:rPr>
          <w:rFonts w:ascii="Calibri" w:hAnsi="Calibri" w:cs="Calibri"/>
        </w:rPr>
        <w:t> (London, England: Oxford University Press)</w:t>
      </w:r>
    </w:p>
    <w:p w14:paraId="4A558DDB" w14:textId="77777777" w:rsidR="00C87F9B" w:rsidRPr="00C87F9B" w:rsidRDefault="00C87F9B" w:rsidP="00C87F9B">
      <w:pPr>
        <w:rPr>
          <w:rFonts w:ascii="Calibri" w:hAnsi="Calibri" w:cs="Calibri"/>
        </w:rPr>
      </w:pPr>
    </w:p>
    <w:p w14:paraId="4F2FF747" w14:textId="307AF575" w:rsidR="00C87F9B" w:rsidRPr="00C87F9B" w:rsidRDefault="00C87F9B" w:rsidP="00C87F9B">
      <w:pPr>
        <w:rPr>
          <w:rFonts w:ascii="Calibri" w:hAnsi="Calibri" w:cs="Calibri"/>
        </w:rPr>
      </w:pPr>
      <w:r w:rsidRPr="00C87F9B">
        <w:rPr>
          <w:rFonts w:ascii="Calibri" w:hAnsi="Calibri" w:cs="Calibri"/>
        </w:rPr>
        <w:t>Cunliffe, Barry. 2018. </w:t>
      </w:r>
      <w:r w:rsidRPr="00C87F9B">
        <w:rPr>
          <w:rFonts w:ascii="Calibri" w:hAnsi="Calibri" w:cs="Calibri"/>
          <w:i/>
          <w:iCs/>
        </w:rPr>
        <w:t>The Ancient Celts, Second Edition</w:t>
      </w:r>
      <w:r w:rsidRPr="00C87F9B">
        <w:rPr>
          <w:rFonts w:ascii="Calibri" w:hAnsi="Calibri" w:cs="Calibri"/>
        </w:rPr>
        <w:t xml:space="preserve">, 2nd </w:t>
      </w:r>
      <w:proofErr w:type="spellStart"/>
      <w:r w:rsidRPr="00C87F9B">
        <w:rPr>
          <w:rFonts w:ascii="Calibri" w:hAnsi="Calibri" w:cs="Calibri"/>
        </w:rPr>
        <w:t>edn</w:t>
      </w:r>
      <w:proofErr w:type="spellEnd"/>
      <w:r w:rsidRPr="00C87F9B">
        <w:rPr>
          <w:rFonts w:ascii="Calibri" w:hAnsi="Calibri" w:cs="Calibri"/>
        </w:rPr>
        <w:t xml:space="preserve"> (London, England: Oxford University Press)</w:t>
      </w:r>
    </w:p>
    <w:p w14:paraId="7E2E4E22" w14:textId="77777777" w:rsidR="00C87F9B" w:rsidRPr="00C87F9B" w:rsidRDefault="00C87F9B" w:rsidP="00C87F9B">
      <w:pPr>
        <w:rPr>
          <w:rFonts w:ascii="Calibri" w:hAnsi="Calibri" w:cs="Calibri"/>
        </w:rPr>
      </w:pPr>
    </w:p>
    <w:p w14:paraId="51786B68" w14:textId="08C89EAD" w:rsidR="00C87F9B" w:rsidRPr="00C87F9B" w:rsidRDefault="00C87F9B" w:rsidP="00C87F9B">
      <w:pPr>
        <w:rPr>
          <w:rFonts w:ascii="Calibri" w:hAnsi="Calibri" w:cs="Calibri"/>
        </w:rPr>
      </w:pPr>
      <w:r w:rsidRPr="00C87F9B">
        <w:rPr>
          <w:rFonts w:ascii="Calibri" w:hAnsi="Calibri" w:cs="Calibri"/>
        </w:rPr>
        <w:t>Cunliffe, Barry. 2023. </w:t>
      </w:r>
      <w:r w:rsidRPr="00C87F9B">
        <w:rPr>
          <w:rFonts w:ascii="Calibri" w:hAnsi="Calibri" w:cs="Calibri"/>
          <w:i/>
          <w:iCs/>
        </w:rPr>
        <w:t>Europe between the Oceans: 9000 BC-Ad 1000</w:t>
      </w:r>
      <w:r w:rsidRPr="00C87F9B">
        <w:rPr>
          <w:rFonts w:ascii="Calibri" w:hAnsi="Calibri" w:cs="Calibri"/>
        </w:rPr>
        <w:t> (</w:t>
      </w:r>
      <w:proofErr w:type="spellStart"/>
      <w:r w:rsidRPr="00C87F9B">
        <w:rPr>
          <w:rFonts w:ascii="Calibri" w:hAnsi="Calibri" w:cs="Calibri"/>
        </w:rPr>
        <w:t>Tantor</w:t>
      </w:r>
      <w:proofErr w:type="spellEnd"/>
      <w:r w:rsidRPr="00C87F9B">
        <w:rPr>
          <w:rFonts w:ascii="Calibri" w:hAnsi="Calibri" w:cs="Calibri"/>
        </w:rPr>
        <w:t xml:space="preserve"> Audio)</w:t>
      </w:r>
    </w:p>
    <w:p w14:paraId="13BD54C4" w14:textId="77777777" w:rsidR="00C87F9B" w:rsidRPr="00C87F9B" w:rsidRDefault="00C87F9B" w:rsidP="00C87F9B">
      <w:pPr>
        <w:rPr>
          <w:rFonts w:ascii="Calibri" w:hAnsi="Calibri" w:cs="Calibri"/>
        </w:rPr>
      </w:pPr>
    </w:p>
    <w:p w14:paraId="6169B0D4" w14:textId="77777777" w:rsidR="00C87F9B" w:rsidRPr="00C87F9B" w:rsidRDefault="00C87F9B" w:rsidP="00C87F9B">
      <w:pPr>
        <w:rPr>
          <w:rFonts w:ascii="Calibri" w:hAnsi="Calibri" w:cs="Calibri"/>
        </w:rPr>
      </w:pPr>
      <w:r w:rsidRPr="00C87F9B">
        <w:rPr>
          <w:rFonts w:ascii="Calibri" w:hAnsi="Calibri" w:cs="Calibri"/>
        </w:rPr>
        <w:lastRenderedPageBreak/>
        <w:t>Cunliffe, Barry, and John Koch (eds.). 2020. </w:t>
      </w:r>
      <w:r w:rsidRPr="00C87F9B">
        <w:rPr>
          <w:rFonts w:ascii="Calibri" w:hAnsi="Calibri" w:cs="Calibri"/>
          <w:i/>
          <w:iCs/>
        </w:rPr>
        <w:t>Exploring Celtic Origins: New Ways Forward in Archaeology, Linguistics, and Genetics</w:t>
      </w:r>
      <w:r w:rsidRPr="00C87F9B">
        <w:rPr>
          <w:rFonts w:ascii="Calibri" w:hAnsi="Calibri" w:cs="Calibri"/>
        </w:rPr>
        <w:t> (Oxford, England: Oxbow Books)</w:t>
      </w:r>
    </w:p>
    <w:p w14:paraId="2EB195C0" w14:textId="77777777" w:rsidR="00C87F9B" w:rsidRPr="00C87F9B" w:rsidRDefault="00C87F9B" w:rsidP="00C87F9B">
      <w:pPr>
        <w:rPr>
          <w:rFonts w:ascii="Calibri" w:hAnsi="Calibri" w:cs="Calibri"/>
        </w:rPr>
      </w:pPr>
    </w:p>
    <w:p w14:paraId="6DCAAD54" w14:textId="77777777" w:rsidR="00C87F9B" w:rsidRPr="00C87F9B" w:rsidRDefault="00C87F9B" w:rsidP="00C87F9B">
      <w:pPr>
        <w:rPr>
          <w:rFonts w:ascii="Calibri" w:hAnsi="Calibri" w:cs="Calibri"/>
        </w:rPr>
      </w:pPr>
      <w:r w:rsidRPr="00C87F9B">
        <w:rPr>
          <w:rFonts w:ascii="Calibri" w:hAnsi="Calibri" w:cs="Calibri"/>
        </w:rPr>
        <w:t>Cunliffe, Barry, and John T. Koch (eds.). 2016. </w:t>
      </w:r>
      <w:r w:rsidRPr="00C87F9B">
        <w:rPr>
          <w:rFonts w:ascii="Calibri" w:hAnsi="Calibri" w:cs="Calibri"/>
          <w:i/>
          <w:iCs/>
        </w:rPr>
        <w:t>Celtic from the West 3: Atlantic Europe in the Metal Ages - Questions of Shared Language</w:t>
      </w:r>
      <w:r w:rsidRPr="00C87F9B">
        <w:rPr>
          <w:rFonts w:ascii="Calibri" w:hAnsi="Calibri" w:cs="Calibri"/>
        </w:rPr>
        <w:t> (Oxford, England: Oxbow Books)</w:t>
      </w:r>
    </w:p>
    <w:p w14:paraId="136873C4" w14:textId="77777777" w:rsidR="00C87F9B" w:rsidRDefault="00C87F9B" w:rsidP="00C87F9B">
      <w:pPr>
        <w:rPr>
          <w:rFonts w:ascii="Calibri" w:hAnsi="Calibri" w:cs="Calibri"/>
        </w:rPr>
      </w:pPr>
    </w:p>
    <w:p w14:paraId="574327D3" w14:textId="0AD87AE7" w:rsidR="00C87F9B" w:rsidRPr="00C87F9B" w:rsidRDefault="00C87F9B" w:rsidP="00C87F9B">
      <w:pPr>
        <w:rPr>
          <w:rFonts w:ascii="Calibri" w:hAnsi="Calibri" w:cs="Calibri"/>
        </w:rPr>
      </w:pPr>
      <w:r>
        <w:rPr>
          <w:rFonts w:ascii="Calibri" w:hAnsi="Calibri" w:cs="Calibri"/>
        </w:rPr>
        <w:t xml:space="preserve">Currie, Andrew, </w:t>
      </w:r>
      <w:r w:rsidRPr="00C87F9B">
        <w:rPr>
          <w:rFonts w:ascii="Calibri" w:hAnsi="Calibri" w:cs="Calibri"/>
          <w:i/>
          <w:iCs/>
        </w:rPr>
        <w:t>The Early Celts</w:t>
      </w:r>
      <w:r>
        <w:rPr>
          <w:rFonts w:ascii="Calibri" w:hAnsi="Calibri" w:cs="Calibri"/>
        </w:rPr>
        <w:t xml:space="preserve">, </w:t>
      </w:r>
      <w:r w:rsidRPr="00C87F9B">
        <w:rPr>
          <w:rFonts w:ascii="Calibri" w:hAnsi="Calibri" w:cs="Calibri"/>
        </w:rPr>
        <w:t>Moodle</w:t>
      </w:r>
      <w:r>
        <w:rPr>
          <w:rFonts w:ascii="Calibri" w:hAnsi="Calibri" w:cs="Calibri"/>
          <w:i/>
          <w:iCs/>
        </w:rPr>
        <w:t xml:space="preserve"> </w:t>
      </w:r>
      <w:r w:rsidRPr="00C87F9B">
        <w:rPr>
          <w:rFonts w:ascii="Calibri" w:hAnsi="Calibri" w:cs="Calibri"/>
          <w:i/>
          <w:iCs/>
        </w:rPr>
        <w:t>https://moodle.uwtsd.ac.uk/course/view.php?id=3985</w:t>
      </w:r>
    </w:p>
    <w:p w14:paraId="490E373B" w14:textId="77777777" w:rsidR="00C87F9B" w:rsidRPr="00C87F9B" w:rsidRDefault="00C87F9B" w:rsidP="00C87F9B">
      <w:pPr>
        <w:rPr>
          <w:rFonts w:ascii="Calibri" w:hAnsi="Calibri" w:cs="Calibri"/>
        </w:rPr>
      </w:pPr>
    </w:p>
    <w:p w14:paraId="292DF09C" w14:textId="77777777" w:rsidR="00C87F9B" w:rsidRPr="00C87F9B" w:rsidRDefault="00C87F9B" w:rsidP="00C87F9B">
      <w:pPr>
        <w:rPr>
          <w:rFonts w:ascii="Calibri" w:hAnsi="Calibri" w:cs="Calibri"/>
        </w:rPr>
      </w:pPr>
      <w:r w:rsidRPr="00C87F9B">
        <w:rPr>
          <w:rFonts w:ascii="Calibri" w:hAnsi="Calibri" w:cs="Calibri"/>
        </w:rPr>
        <w:t xml:space="preserve">Ellis </w:t>
      </w:r>
      <w:proofErr w:type="spellStart"/>
      <w:r w:rsidRPr="00C87F9B">
        <w:rPr>
          <w:rFonts w:ascii="Calibri" w:hAnsi="Calibri" w:cs="Calibri"/>
        </w:rPr>
        <w:t>Berresford</w:t>
      </w:r>
      <w:proofErr w:type="spellEnd"/>
      <w:r w:rsidRPr="00C87F9B">
        <w:rPr>
          <w:rFonts w:ascii="Calibri" w:hAnsi="Calibri" w:cs="Calibri"/>
        </w:rPr>
        <w:t xml:space="preserve">, Peter, and Peter </w:t>
      </w:r>
      <w:proofErr w:type="spellStart"/>
      <w:r w:rsidRPr="00C87F9B">
        <w:rPr>
          <w:rFonts w:ascii="Calibri" w:hAnsi="Calibri" w:cs="Calibri"/>
        </w:rPr>
        <w:t>Berresford</w:t>
      </w:r>
      <w:proofErr w:type="spellEnd"/>
      <w:r w:rsidRPr="00C87F9B">
        <w:rPr>
          <w:rFonts w:ascii="Calibri" w:hAnsi="Calibri" w:cs="Calibri"/>
        </w:rPr>
        <w:t xml:space="preserve"> Ellis. 2013. </w:t>
      </w:r>
      <w:r w:rsidRPr="00C87F9B">
        <w:rPr>
          <w:rFonts w:ascii="Calibri" w:hAnsi="Calibri" w:cs="Calibri"/>
          <w:i/>
          <w:iCs/>
        </w:rPr>
        <w:t>Brief History of the Celts</w:t>
      </w:r>
      <w:r w:rsidRPr="00C87F9B">
        <w:rPr>
          <w:rFonts w:ascii="Calibri" w:hAnsi="Calibri" w:cs="Calibri"/>
        </w:rPr>
        <w:t> (Constable &amp; Robinson)</w:t>
      </w:r>
    </w:p>
    <w:p w14:paraId="6274524F" w14:textId="77777777" w:rsidR="00C87F9B" w:rsidRPr="00C87F9B" w:rsidRDefault="00C87F9B" w:rsidP="00C87F9B">
      <w:pPr>
        <w:rPr>
          <w:rFonts w:ascii="Calibri" w:hAnsi="Calibri" w:cs="Calibri"/>
        </w:rPr>
      </w:pPr>
    </w:p>
    <w:p w14:paraId="23867F09" w14:textId="77777777" w:rsidR="00C87F9B" w:rsidRPr="00C87F9B" w:rsidRDefault="00C87F9B" w:rsidP="00C87F9B">
      <w:pPr>
        <w:rPr>
          <w:rFonts w:ascii="Calibri" w:hAnsi="Calibri" w:cs="Calibri"/>
        </w:rPr>
      </w:pPr>
      <w:r w:rsidRPr="00C87F9B">
        <w:rPr>
          <w:rFonts w:ascii="Calibri" w:hAnsi="Calibri" w:cs="Calibri"/>
        </w:rPr>
        <w:t>Green, Miranda (ed.). 2012. </w:t>
      </w:r>
      <w:r w:rsidRPr="00C87F9B">
        <w:rPr>
          <w:rFonts w:ascii="Calibri" w:hAnsi="Calibri" w:cs="Calibri"/>
          <w:i/>
          <w:iCs/>
        </w:rPr>
        <w:t>The Celtic World</w:t>
      </w:r>
      <w:r w:rsidRPr="00C87F9B">
        <w:rPr>
          <w:rFonts w:ascii="Calibri" w:hAnsi="Calibri" w:cs="Calibri"/>
        </w:rPr>
        <w:t> (London, England: Routledge)</w:t>
      </w:r>
    </w:p>
    <w:p w14:paraId="79C44A0B" w14:textId="77777777" w:rsidR="00C87F9B" w:rsidRPr="00C87F9B" w:rsidRDefault="00C87F9B" w:rsidP="00C87F9B">
      <w:pPr>
        <w:rPr>
          <w:rFonts w:ascii="Calibri" w:hAnsi="Calibri" w:cs="Calibri"/>
        </w:rPr>
      </w:pPr>
    </w:p>
    <w:p w14:paraId="7A5976A9" w14:textId="77777777" w:rsidR="00C87F9B" w:rsidRPr="00C87F9B" w:rsidRDefault="00C87F9B" w:rsidP="00C87F9B">
      <w:pPr>
        <w:rPr>
          <w:rFonts w:ascii="Calibri" w:hAnsi="Calibri" w:cs="Calibri"/>
        </w:rPr>
      </w:pPr>
      <w:r w:rsidRPr="00C87F9B">
        <w:rPr>
          <w:rFonts w:ascii="Calibri" w:hAnsi="Calibri" w:cs="Calibri"/>
        </w:rPr>
        <w:t>Haywood, John. 2009. </w:t>
      </w:r>
      <w:r w:rsidRPr="00C87F9B">
        <w:rPr>
          <w:rFonts w:ascii="Calibri" w:hAnsi="Calibri" w:cs="Calibri"/>
          <w:i/>
          <w:iCs/>
        </w:rPr>
        <w:t>The Historical Atlas of the Celtic World</w:t>
      </w:r>
      <w:r w:rsidRPr="00C87F9B">
        <w:rPr>
          <w:rFonts w:ascii="Calibri" w:hAnsi="Calibri" w:cs="Calibri"/>
        </w:rPr>
        <w:t> (London, England: Thames &amp; Hudson)</w:t>
      </w:r>
    </w:p>
    <w:p w14:paraId="552A3C89" w14:textId="77777777" w:rsidR="00C87F9B" w:rsidRPr="00C87F9B" w:rsidRDefault="00C87F9B" w:rsidP="00C87F9B">
      <w:pPr>
        <w:rPr>
          <w:rFonts w:ascii="Calibri" w:hAnsi="Calibri" w:cs="Calibri"/>
        </w:rPr>
      </w:pPr>
    </w:p>
    <w:p w14:paraId="50613972" w14:textId="77777777" w:rsidR="00C87F9B" w:rsidRPr="00C87F9B" w:rsidRDefault="00C87F9B" w:rsidP="00C87F9B">
      <w:pPr>
        <w:rPr>
          <w:rFonts w:ascii="Calibri" w:hAnsi="Calibri" w:cs="Calibri"/>
        </w:rPr>
      </w:pPr>
      <w:r w:rsidRPr="00C87F9B">
        <w:rPr>
          <w:rFonts w:ascii="Calibri" w:hAnsi="Calibri" w:cs="Calibri"/>
        </w:rPr>
        <w:t>James, Simon, and Valery Rigby. 1997. </w:t>
      </w:r>
      <w:r w:rsidRPr="00C87F9B">
        <w:rPr>
          <w:rFonts w:ascii="Calibri" w:hAnsi="Calibri" w:cs="Calibri"/>
          <w:i/>
          <w:iCs/>
        </w:rPr>
        <w:t>Britain and the Celtic Iron Age</w:t>
      </w:r>
      <w:r w:rsidRPr="00C87F9B">
        <w:rPr>
          <w:rFonts w:ascii="Calibri" w:hAnsi="Calibri" w:cs="Calibri"/>
        </w:rPr>
        <w:t> (London, England: British Museum Press)</w:t>
      </w:r>
    </w:p>
    <w:p w14:paraId="3CE5B6E9" w14:textId="77777777" w:rsidR="00C87F9B" w:rsidRPr="00C87F9B" w:rsidRDefault="00C87F9B" w:rsidP="00C87F9B">
      <w:pPr>
        <w:rPr>
          <w:rFonts w:ascii="Calibri" w:hAnsi="Calibri" w:cs="Calibri"/>
        </w:rPr>
      </w:pPr>
    </w:p>
    <w:p w14:paraId="53A6E315" w14:textId="77777777" w:rsidR="00C87F9B" w:rsidRPr="00C87F9B" w:rsidRDefault="00C87F9B" w:rsidP="00C87F9B">
      <w:pPr>
        <w:rPr>
          <w:rFonts w:ascii="Calibri" w:hAnsi="Calibri" w:cs="Calibri"/>
        </w:rPr>
      </w:pPr>
      <w:r w:rsidRPr="00C87F9B">
        <w:rPr>
          <w:rFonts w:ascii="Calibri" w:hAnsi="Calibri" w:cs="Calibri"/>
        </w:rPr>
        <w:t>Jenkins, Simon. 2023. </w:t>
      </w:r>
      <w:r w:rsidRPr="00C87F9B">
        <w:rPr>
          <w:rFonts w:ascii="Calibri" w:hAnsi="Calibri" w:cs="Calibri"/>
          <w:i/>
          <w:iCs/>
        </w:rPr>
        <w:t>The Celts: A Sceptical History</w:t>
      </w:r>
      <w:r w:rsidRPr="00C87F9B">
        <w:rPr>
          <w:rFonts w:ascii="Calibri" w:hAnsi="Calibri" w:cs="Calibri"/>
        </w:rPr>
        <w:t> (London, England: Profile Books)</w:t>
      </w:r>
    </w:p>
    <w:p w14:paraId="44627FAF" w14:textId="77777777" w:rsidR="00C87F9B" w:rsidRPr="00C87F9B" w:rsidRDefault="00C87F9B" w:rsidP="00C87F9B">
      <w:pPr>
        <w:rPr>
          <w:rFonts w:ascii="Calibri" w:hAnsi="Calibri" w:cs="Calibri"/>
        </w:rPr>
      </w:pPr>
    </w:p>
    <w:p w14:paraId="11C93B5D" w14:textId="77777777" w:rsidR="00C87F9B" w:rsidRPr="00C87F9B" w:rsidRDefault="00C87F9B" w:rsidP="00C87F9B">
      <w:pPr>
        <w:rPr>
          <w:rFonts w:ascii="Calibri" w:hAnsi="Calibri" w:cs="Calibri"/>
        </w:rPr>
      </w:pPr>
      <w:r w:rsidRPr="00C87F9B">
        <w:rPr>
          <w:rFonts w:ascii="Calibri" w:hAnsi="Calibri" w:cs="Calibri"/>
        </w:rPr>
        <w:t>Koch, John T., and Barry Cunliffe (eds.). 2017. </w:t>
      </w:r>
      <w:r w:rsidRPr="00C87F9B">
        <w:rPr>
          <w:rFonts w:ascii="Calibri" w:hAnsi="Calibri" w:cs="Calibri"/>
          <w:i/>
          <w:iCs/>
        </w:rPr>
        <w:t>Celtic from the West 2: Rethinking the Bronze Age and the Arrival of Indo-European in Atlantic Europe</w:t>
      </w:r>
      <w:r w:rsidRPr="00C87F9B">
        <w:rPr>
          <w:rFonts w:ascii="Calibri" w:hAnsi="Calibri" w:cs="Calibri"/>
        </w:rPr>
        <w:t> (Oxford, England: Oxbow Books)</w:t>
      </w:r>
    </w:p>
    <w:p w14:paraId="6FF709A4" w14:textId="77777777" w:rsidR="00C87F9B" w:rsidRPr="00C87F9B" w:rsidRDefault="00C87F9B" w:rsidP="00C87F9B">
      <w:pPr>
        <w:rPr>
          <w:rFonts w:ascii="Calibri" w:hAnsi="Calibri" w:cs="Calibri"/>
        </w:rPr>
      </w:pPr>
    </w:p>
    <w:p w14:paraId="7339D4E2" w14:textId="77777777" w:rsidR="00C87F9B" w:rsidRPr="00C87F9B" w:rsidRDefault="00C87F9B" w:rsidP="00C87F9B">
      <w:pPr>
        <w:rPr>
          <w:rFonts w:ascii="Calibri" w:hAnsi="Calibri" w:cs="Calibri"/>
        </w:rPr>
      </w:pPr>
      <w:r w:rsidRPr="00C87F9B">
        <w:rPr>
          <w:rFonts w:ascii="Calibri" w:hAnsi="Calibri" w:cs="Calibri"/>
        </w:rPr>
        <w:t>Robb, Graham. 2013. </w:t>
      </w:r>
      <w:r w:rsidRPr="00C87F9B">
        <w:rPr>
          <w:rFonts w:ascii="Calibri" w:hAnsi="Calibri" w:cs="Calibri"/>
          <w:i/>
          <w:iCs/>
        </w:rPr>
        <w:t>The Ancient Paths: Discovering the Lost Map of Celtic Europe</w:t>
      </w:r>
      <w:r w:rsidRPr="00C87F9B">
        <w:rPr>
          <w:rFonts w:ascii="Calibri" w:hAnsi="Calibri" w:cs="Calibri"/>
        </w:rPr>
        <w:t> (London, England: Picador)</w:t>
      </w:r>
    </w:p>
    <w:p w14:paraId="0CA8C922" w14:textId="77777777" w:rsidR="00C87F9B" w:rsidRPr="00C87F9B" w:rsidRDefault="00C87F9B" w:rsidP="00C87F9B">
      <w:pPr>
        <w:rPr>
          <w:rFonts w:ascii="Calibri" w:hAnsi="Calibri" w:cs="Calibri"/>
        </w:rPr>
      </w:pPr>
    </w:p>
    <w:p w14:paraId="4238C789" w14:textId="6A803D5C" w:rsidR="00C87F9B" w:rsidRPr="00C87F9B" w:rsidRDefault="00C87F9B" w:rsidP="00C87F9B">
      <w:pPr>
        <w:rPr>
          <w:rFonts w:ascii="Calibri" w:hAnsi="Calibri" w:cs="Calibri"/>
        </w:rPr>
      </w:pPr>
      <w:r w:rsidRPr="00C87F9B">
        <w:rPr>
          <w:rFonts w:ascii="Calibri" w:hAnsi="Calibri" w:cs="Calibri"/>
        </w:rPr>
        <w:t>Robb, Graham. 2024. </w:t>
      </w:r>
      <w:r w:rsidRPr="00C87F9B">
        <w:rPr>
          <w:rFonts w:ascii="Calibri" w:hAnsi="Calibri" w:cs="Calibri"/>
          <w:i/>
          <w:iCs/>
        </w:rPr>
        <w:t>The Discovery of France</w:t>
      </w:r>
      <w:r w:rsidRPr="00C87F9B">
        <w:rPr>
          <w:rFonts w:ascii="Calibri" w:hAnsi="Calibri" w:cs="Calibri"/>
        </w:rPr>
        <w:t> (London, England: Picador)</w:t>
      </w:r>
    </w:p>
    <w:p w14:paraId="174BB6BA" w14:textId="77777777" w:rsidR="00C87F9B" w:rsidRPr="00C87F9B" w:rsidRDefault="00C87F9B" w:rsidP="00C87F9B">
      <w:pPr>
        <w:rPr>
          <w:rFonts w:ascii="Calibri" w:hAnsi="Calibri" w:cs="Calibri"/>
        </w:rPr>
      </w:pPr>
    </w:p>
    <w:p w14:paraId="4EADBCE2" w14:textId="77777777" w:rsidR="00C87F9B" w:rsidRPr="00C87F9B" w:rsidRDefault="00C87F9B" w:rsidP="00C87F9B">
      <w:pPr>
        <w:rPr>
          <w:rFonts w:ascii="Calibri" w:hAnsi="Calibri" w:cs="Calibri"/>
        </w:rPr>
      </w:pPr>
      <w:r w:rsidRPr="00C87F9B">
        <w:rPr>
          <w:rFonts w:ascii="Calibri" w:hAnsi="Calibri" w:cs="Calibri"/>
        </w:rPr>
        <w:t>Roberts, Alice. 2023. </w:t>
      </w:r>
      <w:r w:rsidRPr="00C87F9B">
        <w:rPr>
          <w:rFonts w:ascii="Calibri" w:hAnsi="Calibri" w:cs="Calibri"/>
          <w:i/>
          <w:iCs/>
        </w:rPr>
        <w:t>The Celts - Search for a Civilisation</w:t>
      </w:r>
      <w:r w:rsidRPr="00C87F9B">
        <w:rPr>
          <w:rFonts w:ascii="Calibri" w:hAnsi="Calibri" w:cs="Calibri"/>
        </w:rPr>
        <w:t> (London, England: Heron Books)</w:t>
      </w:r>
    </w:p>
    <w:p w14:paraId="7A341698" w14:textId="77777777" w:rsidR="00C87F9B" w:rsidRPr="00C87F9B" w:rsidRDefault="00C87F9B" w:rsidP="00C87F9B">
      <w:pPr>
        <w:rPr>
          <w:rFonts w:ascii="Calibri" w:hAnsi="Calibri" w:cs="Calibri"/>
        </w:rPr>
      </w:pPr>
    </w:p>
    <w:p w14:paraId="3B53C605" w14:textId="77777777" w:rsidR="00C87F9B" w:rsidRPr="00C87F9B" w:rsidRDefault="00C87F9B" w:rsidP="00C87F9B">
      <w:pPr>
        <w:rPr>
          <w:rFonts w:ascii="Calibri" w:hAnsi="Calibri" w:cs="Calibri"/>
        </w:rPr>
      </w:pPr>
      <w:r w:rsidRPr="00C87F9B">
        <w:rPr>
          <w:rFonts w:ascii="Calibri" w:hAnsi="Calibri" w:cs="Calibri"/>
        </w:rPr>
        <w:t>Strabo. 2023. </w:t>
      </w:r>
      <w:r w:rsidRPr="00C87F9B">
        <w:rPr>
          <w:rFonts w:ascii="Calibri" w:hAnsi="Calibri" w:cs="Calibri"/>
          <w:i/>
          <w:iCs/>
        </w:rPr>
        <w:t>The Geography of Strabo: Vol. III</w:t>
      </w:r>
      <w:r w:rsidRPr="00C87F9B">
        <w:rPr>
          <w:rFonts w:ascii="Calibri" w:hAnsi="Calibri" w:cs="Calibri"/>
        </w:rPr>
        <w:t> (</w:t>
      </w:r>
      <w:proofErr w:type="spellStart"/>
      <w:r w:rsidRPr="00C87F9B">
        <w:rPr>
          <w:rFonts w:ascii="Calibri" w:hAnsi="Calibri" w:cs="Calibri"/>
        </w:rPr>
        <w:t>Salzwasser</w:t>
      </w:r>
      <w:proofErr w:type="spellEnd"/>
      <w:r w:rsidRPr="00C87F9B">
        <w:rPr>
          <w:rFonts w:ascii="Calibri" w:hAnsi="Calibri" w:cs="Calibri"/>
        </w:rPr>
        <w:t xml:space="preserve"> Verlag)</w:t>
      </w:r>
    </w:p>
    <w:p w14:paraId="17E090F3" w14:textId="77777777" w:rsidR="00C87F9B" w:rsidRPr="00C87F9B" w:rsidRDefault="00C87F9B" w:rsidP="00C87F9B">
      <w:pPr>
        <w:rPr>
          <w:rFonts w:ascii="Calibri" w:hAnsi="Calibri" w:cs="Calibri"/>
        </w:rPr>
      </w:pPr>
    </w:p>
    <w:p w14:paraId="1D2579AB" w14:textId="2BAF2CE1" w:rsidR="00C87F9B" w:rsidRPr="00C87F9B" w:rsidRDefault="00C87F9B" w:rsidP="00C87F9B">
      <w:pPr>
        <w:rPr>
          <w:rFonts w:ascii="Calibri" w:hAnsi="Calibri" w:cs="Calibri"/>
        </w:rPr>
      </w:pPr>
      <w:r w:rsidRPr="00C87F9B">
        <w:rPr>
          <w:rFonts w:ascii="Calibri" w:hAnsi="Calibri" w:cs="Calibri"/>
        </w:rPr>
        <w:t xml:space="preserve">“The ‘red Lady’ of </w:t>
      </w:r>
      <w:proofErr w:type="spellStart"/>
      <w:r w:rsidRPr="00C87F9B">
        <w:rPr>
          <w:rFonts w:ascii="Calibri" w:hAnsi="Calibri" w:cs="Calibri"/>
        </w:rPr>
        <w:t>Paviland</w:t>
      </w:r>
      <w:proofErr w:type="spellEnd"/>
      <w:r w:rsidRPr="00C87F9B">
        <w:rPr>
          <w:rFonts w:ascii="Calibri" w:hAnsi="Calibri" w:cs="Calibri"/>
        </w:rPr>
        <w:t>.” [n.d.]. </w:t>
      </w:r>
      <w:r w:rsidRPr="00C87F9B">
        <w:rPr>
          <w:rFonts w:ascii="Calibri" w:hAnsi="Calibri" w:cs="Calibri"/>
          <w:i/>
          <w:iCs/>
        </w:rPr>
        <w:t>Ox.ac.uk</w:t>
      </w:r>
      <w:r w:rsidRPr="00C87F9B">
        <w:rPr>
          <w:rFonts w:ascii="Calibri" w:hAnsi="Calibri" w:cs="Calibri"/>
        </w:rPr>
        <w:t> &lt;https://oumnh.ox.ac.uk/learn-red-lady-of-paviland-0&gt; [accessed 2</w:t>
      </w:r>
      <w:r>
        <w:rPr>
          <w:rFonts w:ascii="Calibri" w:hAnsi="Calibri" w:cs="Calibri"/>
        </w:rPr>
        <w:t>0</w:t>
      </w:r>
      <w:r w:rsidRPr="00C87F9B">
        <w:rPr>
          <w:rFonts w:ascii="Calibri" w:hAnsi="Calibri" w:cs="Calibri"/>
        </w:rPr>
        <w:t xml:space="preserve"> December 2024]</w:t>
      </w:r>
    </w:p>
    <w:p w14:paraId="41B96239" w14:textId="77777777" w:rsidR="00C87F9B" w:rsidRPr="00C87F9B" w:rsidRDefault="00C87F9B" w:rsidP="00C87F9B">
      <w:pPr>
        <w:rPr>
          <w:rFonts w:ascii="Calibri" w:hAnsi="Calibri" w:cs="Calibri"/>
        </w:rPr>
      </w:pPr>
    </w:p>
    <w:p w14:paraId="3EC23689" w14:textId="77777777" w:rsidR="00C87F9B" w:rsidRPr="00C87F9B" w:rsidRDefault="00C87F9B" w:rsidP="00C87F9B">
      <w:pPr>
        <w:rPr>
          <w:rFonts w:ascii="Calibri" w:hAnsi="Calibri" w:cs="Calibri"/>
        </w:rPr>
      </w:pPr>
    </w:p>
    <w:sectPr w:rsidR="00C87F9B" w:rsidRPr="00C87F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CB436" w14:textId="77777777" w:rsidR="002E1B3D" w:rsidRDefault="002E1B3D" w:rsidP="00203D23">
      <w:r>
        <w:separator/>
      </w:r>
    </w:p>
  </w:endnote>
  <w:endnote w:type="continuationSeparator" w:id="0">
    <w:p w14:paraId="736BD697" w14:textId="77777777" w:rsidR="002E1B3D" w:rsidRDefault="002E1B3D" w:rsidP="00203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5344B" w14:textId="77777777" w:rsidR="002E1B3D" w:rsidRDefault="002E1B3D" w:rsidP="00203D23">
      <w:r>
        <w:separator/>
      </w:r>
    </w:p>
  </w:footnote>
  <w:footnote w:type="continuationSeparator" w:id="0">
    <w:p w14:paraId="09CF6053" w14:textId="77777777" w:rsidR="002E1B3D" w:rsidRDefault="002E1B3D" w:rsidP="00203D23">
      <w:r>
        <w:continuationSeparator/>
      </w:r>
    </w:p>
  </w:footnote>
  <w:footnote w:id="1">
    <w:p w14:paraId="5176A4CC" w14:textId="77777777" w:rsidR="00BC03C4" w:rsidRDefault="00BC03C4" w:rsidP="00BC03C4">
      <w:pPr>
        <w:pStyle w:val="FootnoteText"/>
      </w:pPr>
      <w:r>
        <w:rPr>
          <w:rStyle w:val="FootnoteReference"/>
        </w:rPr>
        <w:footnoteRef/>
      </w:r>
      <w:r>
        <w:t xml:space="preserve"> </w:t>
      </w:r>
      <w:r w:rsidRPr="00203D23">
        <w:t xml:space="preserve">(Translation taken from Koch, John. T. &amp; Carey, John (eds) </w:t>
      </w:r>
      <w:r w:rsidRPr="00203D23">
        <w:rPr>
          <w:i/>
          <w:iCs/>
        </w:rPr>
        <w:t>The Celtic Heroic Age: Literary Sources for Ancient Celtic Europe and Early Ireland and Wales</w:t>
      </w:r>
      <w:r w:rsidRPr="00203D23">
        <w:t>, 4th ed, Aberystwyth: Celtic Studies Publications, 2003, p.5)</w:t>
      </w:r>
    </w:p>
  </w:footnote>
  <w:footnote w:id="2">
    <w:p w14:paraId="06102DD4" w14:textId="22BFA3A3" w:rsidR="00C87F9B" w:rsidRDefault="00C87F9B">
      <w:pPr>
        <w:pStyle w:val="FootnoteText"/>
      </w:pPr>
      <w:r>
        <w:rPr>
          <w:rStyle w:val="FootnoteReference"/>
        </w:rPr>
        <w:footnoteRef/>
      </w:r>
      <w:r>
        <w:t xml:space="preserve"> </w:t>
      </w:r>
      <w:r w:rsidRPr="00C87F9B">
        <w:t xml:space="preserve">Translation from: Edwards, H.J. 1986, </w:t>
      </w:r>
      <w:r w:rsidRPr="00C87F9B">
        <w:rPr>
          <w:i/>
          <w:iCs/>
        </w:rPr>
        <w:t>Caesar: The Gallic War, An English Translation</w:t>
      </w:r>
      <w:r w:rsidRPr="00C87F9B">
        <w:t>, London, Heinemann.</w:t>
      </w:r>
    </w:p>
  </w:footnote>
  <w:footnote w:id="3">
    <w:p w14:paraId="36EEF9EC" w14:textId="3C1B598C" w:rsidR="00C87F9B" w:rsidRDefault="00C87F9B">
      <w:pPr>
        <w:pStyle w:val="FootnoteText"/>
      </w:pPr>
      <w:r>
        <w:rPr>
          <w:rStyle w:val="FootnoteReference"/>
        </w:rPr>
        <w:footnoteRef/>
      </w:r>
      <w:r>
        <w:t xml:space="preserve"> </w:t>
      </w:r>
      <w:r w:rsidRPr="00203D23">
        <w:t>Koch</w:t>
      </w:r>
      <w:r>
        <w:t xml:space="preserve"> &amp; </w:t>
      </w:r>
      <w:r w:rsidRPr="00203D23">
        <w:t xml:space="preserve">Carey, </w:t>
      </w:r>
      <w:r w:rsidRPr="00203D23">
        <w:rPr>
          <w:i/>
          <w:iCs/>
        </w:rPr>
        <w:t>The Celtic Heroic Age</w:t>
      </w:r>
      <w:r>
        <w:rPr>
          <w:i/>
          <w:iCs/>
        </w:rPr>
        <w:t xml:space="preserve"> </w:t>
      </w:r>
      <w:r w:rsidRPr="00203D23">
        <w:t>p.</w:t>
      </w:r>
      <w:r>
        <w:t>12-13</w:t>
      </w:r>
    </w:p>
  </w:footnote>
  <w:footnote w:id="4">
    <w:p w14:paraId="417B6968" w14:textId="1B73AFE2" w:rsidR="00C87F9B" w:rsidRDefault="00C87F9B">
      <w:pPr>
        <w:pStyle w:val="FootnoteText"/>
      </w:pPr>
      <w:r>
        <w:rPr>
          <w:rStyle w:val="FootnoteReference"/>
        </w:rPr>
        <w:footnoteRef/>
      </w:r>
      <w:r>
        <w:t xml:space="preserve"> </w:t>
      </w:r>
      <w:r w:rsidRPr="00BC03C4">
        <w:rPr>
          <w:i/>
          <w:iCs/>
        </w:rPr>
        <w:t>Agricola</w:t>
      </w:r>
      <w:r w:rsidRPr="00BC03C4">
        <w:t xml:space="preserve"> 11</w:t>
      </w:r>
    </w:p>
  </w:footnote>
  <w:footnote w:id="5">
    <w:p w14:paraId="2CA9FA42" w14:textId="605988DC" w:rsidR="00C87F9B" w:rsidRPr="00C87F9B" w:rsidRDefault="00C87F9B">
      <w:pPr>
        <w:pStyle w:val="FootnoteText"/>
      </w:pPr>
      <w:r>
        <w:rPr>
          <w:rStyle w:val="FootnoteReference"/>
        </w:rPr>
        <w:footnoteRef/>
      </w:r>
      <w:r>
        <w:t xml:space="preserve"> Andrew Currie, </w:t>
      </w:r>
      <w:r w:rsidRPr="00C87F9B">
        <w:rPr>
          <w:i/>
          <w:iCs/>
        </w:rPr>
        <w:t>The Early Celts Language Family Tree</w:t>
      </w:r>
      <w:r>
        <w:rPr>
          <w:i/>
          <w:iCs/>
        </w:rPr>
        <w:t xml:space="preserve"> </w:t>
      </w:r>
      <w:hyperlink r:id="rId1" w:history="1">
        <w:r w:rsidRPr="00A620BF">
          <w:rPr>
            <w:rStyle w:val="Hyperlink"/>
          </w:rPr>
          <w:t>https://moodle.uwtsd.ac.uk/course/view.php?id=3985&amp;section=5</w:t>
        </w:r>
      </w:hyperlink>
      <w:r>
        <w:t xml:space="preserve"> </w:t>
      </w:r>
    </w:p>
  </w:footnote>
  <w:footnote w:id="6">
    <w:p w14:paraId="1E285813" w14:textId="734C4A32" w:rsidR="00BC03C4" w:rsidRDefault="00BC03C4">
      <w:pPr>
        <w:pStyle w:val="FootnoteText"/>
      </w:pPr>
      <w:r>
        <w:rPr>
          <w:rStyle w:val="FootnoteReference"/>
        </w:rPr>
        <w:footnoteRef/>
      </w:r>
      <w:r>
        <w:t xml:space="preserve"> </w:t>
      </w:r>
      <w:r w:rsidR="00C87F9B">
        <w:t xml:space="preserve">Simon </w:t>
      </w:r>
      <w:r w:rsidR="00C87F9B" w:rsidRPr="00C87F9B">
        <w:t>Jenkins, 2023. </w:t>
      </w:r>
      <w:r w:rsidR="00C87F9B" w:rsidRPr="00C87F9B">
        <w:rPr>
          <w:i/>
          <w:iCs/>
        </w:rPr>
        <w:t>The Celts: A Sceptical History</w:t>
      </w:r>
      <w:r w:rsidR="00C87F9B" w:rsidRPr="00C87F9B">
        <w:t> (London, England: Profile Books)</w:t>
      </w:r>
      <w:r w:rsidR="00C87F9B">
        <w:t xml:space="preserve"> p.13</w:t>
      </w:r>
    </w:p>
  </w:footnote>
  <w:footnote w:id="7">
    <w:p w14:paraId="6A25EC4A" w14:textId="2E64AF42" w:rsidR="00C87F9B" w:rsidRDefault="00C87F9B">
      <w:pPr>
        <w:pStyle w:val="FootnoteText"/>
      </w:pPr>
      <w:r>
        <w:rPr>
          <w:rStyle w:val="FootnoteReference"/>
        </w:rPr>
        <w:footnoteRef/>
      </w:r>
      <w:r>
        <w:t xml:space="preserve"> </w:t>
      </w:r>
      <w:r w:rsidRPr="00C87F9B">
        <w:rPr>
          <w:rFonts w:ascii="Calibri" w:hAnsi="Calibri" w:cs="Calibri"/>
        </w:rPr>
        <w:t>Barry</w:t>
      </w:r>
      <w:r w:rsidRPr="00C87F9B">
        <w:rPr>
          <w:rFonts w:ascii="Calibri" w:hAnsi="Calibri" w:cs="Calibri"/>
        </w:rPr>
        <w:t xml:space="preserve"> </w:t>
      </w:r>
      <w:r w:rsidRPr="00C87F9B">
        <w:rPr>
          <w:rFonts w:ascii="Calibri" w:hAnsi="Calibri" w:cs="Calibri"/>
        </w:rPr>
        <w:t>Cunliffe</w:t>
      </w:r>
      <w:r>
        <w:rPr>
          <w:rFonts w:ascii="Calibri" w:hAnsi="Calibri" w:cs="Calibri"/>
        </w:rPr>
        <w:t>,</w:t>
      </w:r>
      <w:r w:rsidRPr="00C87F9B">
        <w:rPr>
          <w:rFonts w:ascii="Calibri" w:hAnsi="Calibri" w:cs="Calibri"/>
        </w:rPr>
        <w:t xml:space="preserve"> 2018. </w:t>
      </w:r>
      <w:r w:rsidRPr="00C87F9B">
        <w:rPr>
          <w:rFonts w:ascii="Calibri" w:hAnsi="Calibri" w:cs="Calibri"/>
          <w:i/>
          <w:iCs/>
        </w:rPr>
        <w:t>The Ancient Celts, Second Edition</w:t>
      </w:r>
      <w:r w:rsidRPr="00C87F9B">
        <w:rPr>
          <w:rFonts w:ascii="Calibri" w:hAnsi="Calibri" w:cs="Calibri"/>
        </w:rPr>
        <w:t xml:space="preserve">, 2nd </w:t>
      </w:r>
      <w:proofErr w:type="spellStart"/>
      <w:r w:rsidRPr="00C87F9B">
        <w:rPr>
          <w:rFonts w:ascii="Calibri" w:hAnsi="Calibri" w:cs="Calibri"/>
        </w:rPr>
        <w:t>edn</w:t>
      </w:r>
      <w:proofErr w:type="spellEnd"/>
      <w:r w:rsidRPr="00C87F9B">
        <w:rPr>
          <w:rFonts w:ascii="Calibri" w:hAnsi="Calibri" w:cs="Calibri"/>
        </w:rPr>
        <w:t xml:space="preserve"> (London, England: Oxford University Press</w:t>
      </w:r>
    </w:p>
  </w:footnote>
  <w:footnote w:id="8">
    <w:p w14:paraId="52072312" w14:textId="40D985EA" w:rsidR="00BC03C4" w:rsidRDefault="00BC03C4">
      <w:pPr>
        <w:pStyle w:val="FootnoteText"/>
      </w:pPr>
      <w:r>
        <w:rPr>
          <w:rStyle w:val="FootnoteReference"/>
        </w:rPr>
        <w:footnoteRef/>
      </w:r>
      <w:r>
        <w:t xml:space="preserve"> </w:t>
      </w:r>
      <w:r w:rsidR="00C87F9B">
        <w:t xml:space="preserve">Grahame </w:t>
      </w:r>
      <w:r w:rsidR="00C87F9B" w:rsidRPr="00C87F9B">
        <w:t xml:space="preserve">Clark, 1966. </w:t>
      </w:r>
      <w:r w:rsidR="00C87F9B" w:rsidRPr="00C87F9B">
        <w:rPr>
          <w:i/>
          <w:iCs/>
        </w:rPr>
        <w:t>The invasion hypothesis in British archaeology. Antiquity 11</w:t>
      </w:r>
      <w:r w:rsidR="00C87F9B" w:rsidRPr="00C87F9B">
        <w:t xml:space="preserve">: </w:t>
      </w:r>
      <w:r w:rsidR="00C87F9B">
        <w:t>p.</w:t>
      </w:r>
      <w:r w:rsidR="00C87F9B" w:rsidRPr="00C87F9B">
        <w:t>172–189.</w:t>
      </w:r>
    </w:p>
  </w:footnote>
  <w:footnote w:id="9">
    <w:p w14:paraId="0247E447" w14:textId="50C74EFB" w:rsidR="00BC03C4" w:rsidRDefault="00BC03C4">
      <w:pPr>
        <w:pStyle w:val="FootnoteText"/>
      </w:pPr>
      <w:r>
        <w:rPr>
          <w:rStyle w:val="FootnoteReference"/>
        </w:rPr>
        <w:footnoteRef/>
      </w:r>
      <w:r>
        <w:t xml:space="preserve"> </w:t>
      </w:r>
      <w:hyperlink r:id="rId2" w:history="1">
        <w:r w:rsidR="00C87F9B" w:rsidRPr="00A620BF">
          <w:rPr>
            <w:rStyle w:val="Hyperlink"/>
          </w:rPr>
          <w:t>http://faculty.smu.edu/bwheeler/tolkien/online_reader/T-English&amp;Welsh.PDF</w:t>
        </w:r>
      </w:hyperlink>
      <w:r w:rsidR="00C87F9B">
        <w:t xml:space="preserve"> p.186</w:t>
      </w:r>
    </w:p>
  </w:footnote>
  <w:footnote w:id="10">
    <w:p w14:paraId="2A22B5B0" w14:textId="57D7339E" w:rsidR="00BC03C4" w:rsidRDefault="00BC03C4">
      <w:pPr>
        <w:pStyle w:val="FootnoteText"/>
      </w:pPr>
      <w:r>
        <w:rPr>
          <w:rStyle w:val="FootnoteReference"/>
        </w:rPr>
        <w:footnoteRef/>
      </w:r>
      <w:r>
        <w:t xml:space="preserve"> </w:t>
      </w:r>
      <w:r w:rsidR="00C87F9B" w:rsidRPr="00C87F9B">
        <w:t xml:space="preserve">“The ‘red Lady’ of </w:t>
      </w:r>
      <w:proofErr w:type="spellStart"/>
      <w:r w:rsidR="00C87F9B" w:rsidRPr="00C87F9B">
        <w:t>Paviland</w:t>
      </w:r>
      <w:proofErr w:type="spellEnd"/>
      <w:r w:rsidR="00C87F9B" w:rsidRPr="00C87F9B">
        <w:t>.” [n.d.]. </w:t>
      </w:r>
      <w:r w:rsidR="00C87F9B" w:rsidRPr="00C87F9B">
        <w:rPr>
          <w:i/>
          <w:iCs/>
        </w:rPr>
        <w:t>Ox.ac.uk</w:t>
      </w:r>
      <w:r w:rsidR="00C87F9B" w:rsidRPr="00C87F9B">
        <w:t> &lt;https://oumnh.ox.ac.uk/learn-red-lady-of-paviland-0&gt; [accessed 2</w:t>
      </w:r>
      <w:r w:rsidR="00C87F9B">
        <w:t>0</w:t>
      </w:r>
      <w:r w:rsidR="00C87F9B" w:rsidRPr="00C87F9B">
        <w:t xml:space="preserve"> December 2024]</w:t>
      </w:r>
    </w:p>
  </w:footnote>
  <w:footnote w:id="11">
    <w:p w14:paraId="49AE183D" w14:textId="41E2AC2F" w:rsidR="00C87F9B" w:rsidRDefault="00C87F9B">
      <w:pPr>
        <w:pStyle w:val="FootnoteText"/>
      </w:pPr>
      <w:r>
        <w:rPr>
          <w:rStyle w:val="FootnoteReference"/>
        </w:rPr>
        <w:footnoteRef/>
      </w:r>
      <w:r>
        <w:t xml:space="preserve"> </w:t>
      </w:r>
      <w:r w:rsidRPr="00C87F9B">
        <w:t>Malcolm</w:t>
      </w:r>
      <w:r w:rsidRPr="00C87F9B">
        <w:t xml:space="preserve"> </w:t>
      </w:r>
      <w:r w:rsidRPr="00C87F9B">
        <w:t>Chapman, 1992. </w:t>
      </w:r>
      <w:r w:rsidRPr="00C87F9B">
        <w:rPr>
          <w:i/>
          <w:iCs/>
        </w:rPr>
        <w:t>The Celts: The Construction of a Myth</w:t>
      </w:r>
      <w:r w:rsidRPr="00C87F9B">
        <w:t xml:space="preserve"> (London, England: Macmillan Press)</w:t>
      </w:r>
      <w:r>
        <w:t xml:space="preserve"> p.261</w:t>
      </w:r>
    </w:p>
  </w:footnote>
  <w:footnote w:id="12">
    <w:p w14:paraId="073FD14C" w14:textId="2E03F1D5" w:rsidR="00C87F9B" w:rsidRDefault="00C87F9B">
      <w:pPr>
        <w:pStyle w:val="FootnoteText"/>
      </w:pPr>
      <w:r>
        <w:rPr>
          <w:rStyle w:val="FootnoteReference"/>
        </w:rPr>
        <w:footnoteRef/>
      </w:r>
      <w:r>
        <w:t xml:space="preserve"> Cunliffe, </w:t>
      </w:r>
      <w:r w:rsidRPr="00C87F9B">
        <w:rPr>
          <w:i/>
          <w:iCs/>
        </w:rPr>
        <w:t>The Ancient Celts</w:t>
      </w:r>
      <w:r>
        <w:t>, p.62-65</w:t>
      </w:r>
    </w:p>
  </w:footnote>
  <w:footnote w:id="13">
    <w:p w14:paraId="688848B5" w14:textId="2708702C" w:rsidR="00C87F9B" w:rsidRDefault="00C87F9B" w:rsidP="00C87F9B">
      <w:pPr>
        <w:pStyle w:val="FootnoteText"/>
      </w:pPr>
      <w:r>
        <w:rPr>
          <w:rStyle w:val="FootnoteReference"/>
        </w:rPr>
        <w:footnoteRef/>
      </w:r>
      <w:r>
        <w:t xml:space="preserve"> </w:t>
      </w:r>
      <w:r w:rsidRPr="00C87F9B">
        <w:t>Simon</w:t>
      </w:r>
      <w:r w:rsidRPr="00C87F9B">
        <w:t xml:space="preserve"> </w:t>
      </w:r>
      <w:r w:rsidRPr="00C87F9B">
        <w:t>James and Valery Rigby. 1997. </w:t>
      </w:r>
      <w:r w:rsidRPr="00C87F9B">
        <w:rPr>
          <w:i/>
          <w:iCs/>
        </w:rPr>
        <w:t>Britain and the Celtic Iron Age</w:t>
      </w:r>
      <w:r w:rsidRPr="00C87F9B">
        <w:t> (London, England: British Museum Press)</w:t>
      </w:r>
      <w:r>
        <w:t xml:space="preserve"> </w:t>
      </w:r>
      <w:r>
        <w:t>p</w:t>
      </w:r>
      <w:r>
        <w:t>.</w:t>
      </w:r>
      <w:r>
        <w:t>12</w:t>
      </w:r>
    </w:p>
  </w:footnote>
  <w:footnote w:id="14">
    <w:p w14:paraId="4F5A27BD" w14:textId="6E8E2D4F" w:rsidR="00C87F9B" w:rsidRDefault="00C87F9B" w:rsidP="00C87F9B">
      <w:pPr>
        <w:pStyle w:val="FootnoteText"/>
      </w:pPr>
      <w:r>
        <w:rPr>
          <w:rStyle w:val="FootnoteReference"/>
        </w:rPr>
        <w:footnoteRef/>
      </w:r>
      <w:r>
        <w:t xml:space="preserve"> </w:t>
      </w:r>
      <w:r w:rsidRPr="00C87F9B">
        <w:t>Robb, Graham. 2024. </w:t>
      </w:r>
      <w:r w:rsidRPr="00C87F9B">
        <w:rPr>
          <w:i/>
          <w:iCs/>
        </w:rPr>
        <w:t>The Discovery of France</w:t>
      </w:r>
      <w:r w:rsidRPr="00C87F9B">
        <w:t> (London, England: Picador)</w:t>
      </w:r>
      <w:r>
        <w:t xml:space="preserve"> p.46-47</w:t>
      </w:r>
    </w:p>
  </w:footnote>
  <w:footnote w:id="15">
    <w:p w14:paraId="7DE88967" w14:textId="77777777" w:rsidR="00C87F9B" w:rsidRPr="00C87F9B" w:rsidRDefault="00C87F9B" w:rsidP="00C87F9B">
      <w:pPr>
        <w:pStyle w:val="FootnoteText"/>
      </w:pPr>
      <w:r>
        <w:rPr>
          <w:rStyle w:val="FootnoteReference"/>
        </w:rPr>
        <w:footnoteRef/>
      </w:r>
      <w:r>
        <w:t xml:space="preserve"> </w:t>
      </w:r>
      <w:r w:rsidRPr="00C87F9B">
        <w:t>Robb, Graham. 2013. </w:t>
      </w:r>
      <w:r w:rsidRPr="00C87F9B">
        <w:rPr>
          <w:i/>
          <w:iCs/>
        </w:rPr>
        <w:t>The Ancient Paths: Discovering the Lost Map of Celtic Europe</w:t>
      </w:r>
      <w:r w:rsidRPr="00C87F9B">
        <w:t> (London, England: Picador)</w:t>
      </w:r>
    </w:p>
    <w:p w14:paraId="50B34B49" w14:textId="5CEC2A94" w:rsidR="00C87F9B" w:rsidRDefault="00C87F9B" w:rsidP="00C87F9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14C1E"/>
    <w:multiLevelType w:val="multilevel"/>
    <w:tmpl w:val="D68AE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DD1CEC"/>
    <w:multiLevelType w:val="multilevel"/>
    <w:tmpl w:val="84DA22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DF4DAA"/>
    <w:multiLevelType w:val="multilevel"/>
    <w:tmpl w:val="5E9E2A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CE5403"/>
    <w:multiLevelType w:val="multilevel"/>
    <w:tmpl w:val="58C60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0152352">
    <w:abstractNumId w:val="2"/>
  </w:num>
  <w:num w:numId="2" w16cid:durableId="58870813">
    <w:abstractNumId w:val="1"/>
  </w:num>
  <w:num w:numId="3" w16cid:durableId="1597596895">
    <w:abstractNumId w:val="3"/>
  </w:num>
  <w:num w:numId="4" w16cid:durableId="831022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D23"/>
    <w:rsid w:val="00203D23"/>
    <w:rsid w:val="002E1B3D"/>
    <w:rsid w:val="003F0BAF"/>
    <w:rsid w:val="004F7216"/>
    <w:rsid w:val="008F4F45"/>
    <w:rsid w:val="009116FB"/>
    <w:rsid w:val="00BC03C4"/>
    <w:rsid w:val="00C87F9B"/>
    <w:rsid w:val="00CB0C6A"/>
    <w:rsid w:val="00FA5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C077E"/>
  <w15:chartTrackingRefBased/>
  <w15:docId w15:val="{F98CAB9E-FB88-B447-8094-5939DA4C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3D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3D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3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3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3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3D2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3D2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3D2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3D2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3D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3D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3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3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3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3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3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3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3D23"/>
    <w:rPr>
      <w:rFonts w:eastAsiaTheme="majorEastAsia" w:cstheme="majorBidi"/>
      <w:color w:val="272727" w:themeColor="text1" w:themeTint="D8"/>
    </w:rPr>
  </w:style>
  <w:style w:type="paragraph" w:styleId="Title">
    <w:name w:val="Title"/>
    <w:basedOn w:val="Normal"/>
    <w:next w:val="Normal"/>
    <w:link w:val="TitleChar"/>
    <w:uiPriority w:val="10"/>
    <w:qFormat/>
    <w:rsid w:val="00203D2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3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3D2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3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3D2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3D23"/>
    <w:rPr>
      <w:i/>
      <w:iCs/>
      <w:color w:val="404040" w:themeColor="text1" w:themeTint="BF"/>
    </w:rPr>
  </w:style>
  <w:style w:type="paragraph" w:styleId="ListParagraph">
    <w:name w:val="List Paragraph"/>
    <w:basedOn w:val="Normal"/>
    <w:uiPriority w:val="34"/>
    <w:qFormat/>
    <w:rsid w:val="00203D23"/>
    <w:pPr>
      <w:ind w:left="720"/>
      <w:contextualSpacing/>
    </w:pPr>
  </w:style>
  <w:style w:type="character" w:styleId="IntenseEmphasis">
    <w:name w:val="Intense Emphasis"/>
    <w:basedOn w:val="DefaultParagraphFont"/>
    <w:uiPriority w:val="21"/>
    <w:qFormat/>
    <w:rsid w:val="00203D23"/>
    <w:rPr>
      <w:i/>
      <w:iCs/>
      <w:color w:val="0F4761" w:themeColor="accent1" w:themeShade="BF"/>
    </w:rPr>
  </w:style>
  <w:style w:type="paragraph" w:styleId="IntenseQuote">
    <w:name w:val="Intense Quote"/>
    <w:basedOn w:val="Normal"/>
    <w:next w:val="Normal"/>
    <w:link w:val="IntenseQuoteChar"/>
    <w:uiPriority w:val="30"/>
    <w:qFormat/>
    <w:rsid w:val="00203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3D23"/>
    <w:rPr>
      <w:i/>
      <w:iCs/>
      <w:color w:val="0F4761" w:themeColor="accent1" w:themeShade="BF"/>
    </w:rPr>
  </w:style>
  <w:style w:type="character" w:styleId="IntenseReference">
    <w:name w:val="Intense Reference"/>
    <w:basedOn w:val="DefaultParagraphFont"/>
    <w:uiPriority w:val="32"/>
    <w:qFormat/>
    <w:rsid w:val="00203D23"/>
    <w:rPr>
      <w:b/>
      <w:bCs/>
      <w:smallCaps/>
      <w:color w:val="0F4761" w:themeColor="accent1" w:themeShade="BF"/>
      <w:spacing w:val="5"/>
    </w:rPr>
  </w:style>
  <w:style w:type="paragraph" w:styleId="FootnoteText">
    <w:name w:val="footnote text"/>
    <w:basedOn w:val="Normal"/>
    <w:link w:val="FootnoteTextChar"/>
    <w:uiPriority w:val="99"/>
    <w:semiHidden/>
    <w:unhideWhenUsed/>
    <w:rsid w:val="00203D23"/>
    <w:rPr>
      <w:sz w:val="20"/>
      <w:szCs w:val="20"/>
    </w:rPr>
  </w:style>
  <w:style w:type="character" w:customStyle="1" w:styleId="FootnoteTextChar">
    <w:name w:val="Footnote Text Char"/>
    <w:basedOn w:val="DefaultParagraphFont"/>
    <w:link w:val="FootnoteText"/>
    <w:uiPriority w:val="99"/>
    <w:semiHidden/>
    <w:rsid w:val="00203D23"/>
    <w:rPr>
      <w:sz w:val="20"/>
      <w:szCs w:val="20"/>
    </w:rPr>
  </w:style>
  <w:style w:type="character" w:styleId="FootnoteReference">
    <w:name w:val="footnote reference"/>
    <w:basedOn w:val="DefaultParagraphFont"/>
    <w:uiPriority w:val="99"/>
    <w:semiHidden/>
    <w:unhideWhenUsed/>
    <w:rsid w:val="00203D23"/>
    <w:rPr>
      <w:vertAlign w:val="superscript"/>
    </w:rPr>
  </w:style>
  <w:style w:type="paragraph" w:styleId="NormalWeb">
    <w:name w:val="Normal (Web)"/>
    <w:basedOn w:val="Normal"/>
    <w:uiPriority w:val="99"/>
    <w:unhideWhenUsed/>
    <w:rsid w:val="00BC03C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BC03C4"/>
    <w:rPr>
      <w:i/>
      <w:iCs/>
    </w:rPr>
  </w:style>
  <w:style w:type="character" w:styleId="Hyperlink">
    <w:name w:val="Hyperlink"/>
    <w:basedOn w:val="DefaultParagraphFont"/>
    <w:uiPriority w:val="99"/>
    <w:unhideWhenUsed/>
    <w:rsid w:val="00C87F9B"/>
    <w:rPr>
      <w:color w:val="467886" w:themeColor="hyperlink"/>
      <w:u w:val="single"/>
    </w:rPr>
  </w:style>
  <w:style w:type="character" w:styleId="UnresolvedMention">
    <w:name w:val="Unresolved Mention"/>
    <w:basedOn w:val="DefaultParagraphFont"/>
    <w:uiPriority w:val="99"/>
    <w:semiHidden/>
    <w:unhideWhenUsed/>
    <w:rsid w:val="00C87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558213">
      <w:bodyDiv w:val="1"/>
      <w:marLeft w:val="0"/>
      <w:marRight w:val="0"/>
      <w:marTop w:val="0"/>
      <w:marBottom w:val="0"/>
      <w:divBdr>
        <w:top w:val="none" w:sz="0" w:space="0" w:color="auto"/>
        <w:left w:val="none" w:sz="0" w:space="0" w:color="auto"/>
        <w:bottom w:val="none" w:sz="0" w:space="0" w:color="auto"/>
        <w:right w:val="none" w:sz="0" w:space="0" w:color="auto"/>
      </w:divBdr>
      <w:divsChild>
        <w:div w:id="81923620">
          <w:marLeft w:val="0"/>
          <w:marRight w:val="0"/>
          <w:marTop w:val="0"/>
          <w:marBottom w:val="0"/>
          <w:divBdr>
            <w:top w:val="none" w:sz="0" w:space="0" w:color="auto"/>
            <w:left w:val="none" w:sz="0" w:space="0" w:color="auto"/>
            <w:bottom w:val="none" w:sz="0" w:space="0" w:color="auto"/>
            <w:right w:val="none" w:sz="0" w:space="0" w:color="auto"/>
          </w:divBdr>
        </w:div>
      </w:divsChild>
    </w:div>
    <w:div w:id="689526624">
      <w:bodyDiv w:val="1"/>
      <w:marLeft w:val="0"/>
      <w:marRight w:val="0"/>
      <w:marTop w:val="0"/>
      <w:marBottom w:val="0"/>
      <w:divBdr>
        <w:top w:val="none" w:sz="0" w:space="0" w:color="auto"/>
        <w:left w:val="none" w:sz="0" w:space="0" w:color="auto"/>
        <w:bottom w:val="none" w:sz="0" w:space="0" w:color="auto"/>
        <w:right w:val="none" w:sz="0" w:space="0" w:color="auto"/>
      </w:divBdr>
    </w:div>
    <w:div w:id="696585028">
      <w:bodyDiv w:val="1"/>
      <w:marLeft w:val="0"/>
      <w:marRight w:val="0"/>
      <w:marTop w:val="0"/>
      <w:marBottom w:val="0"/>
      <w:divBdr>
        <w:top w:val="none" w:sz="0" w:space="0" w:color="auto"/>
        <w:left w:val="none" w:sz="0" w:space="0" w:color="auto"/>
        <w:bottom w:val="none" w:sz="0" w:space="0" w:color="auto"/>
        <w:right w:val="none" w:sz="0" w:space="0" w:color="auto"/>
      </w:divBdr>
    </w:div>
    <w:div w:id="847788646">
      <w:bodyDiv w:val="1"/>
      <w:marLeft w:val="0"/>
      <w:marRight w:val="0"/>
      <w:marTop w:val="0"/>
      <w:marBottom w:val="0"/>
      <w:divBdr>
        <w:top w:val="none" w:sz="0" w:space="0" w:color="auto"/>
        <w:left w:val="none" w:sz="0" w:space="0" w:color="auto"/>
        <w:bottom w:val="none" w:sz="0" w:space="0" w:color="auto"/>
        <w:right w:val="none" w:sz="0" w:space="0" w:color="auto"/>
      </w:divBdr>
      <w:divsChild>
        <w:div w:id="713772639">
          <w:marLeft w:val="0"/>
          <w:marRight w:val="0"/>
          <w:marTop w:val="0"/>
          <w:marBottom w:val="0"/>
          <w:divBdr>
            <w:top w:val="none" w:sz="0" w:space="0" w:color="auto"/>
            <w:left w:val="none" w:sz="0" w:space="0" w:color="auto"/>
            <w:bottom w:val="none" w:sz="0" w:space="0" w:color="auto"/>
            <w:right w:val="none" w:sz="0" w:space="0" w:color="auto"/>
          </w:divBdr>
        </w:div>
      </w:divsChild>
    </w:div>
    <w:div w:id="1000037961">
      <w:bodyDiv w:val="1"/>
      <w:marLeft w:val="0"/>
      <w:marRight w:val="0"/>
      <w:marTop w:val="0"/>
      <w:marBottom w:val="0"/>
      <w:divBdr>
        <w:top w:val="none" w:sz="0" w:space="0" w:color="auto"/>
        <w:left w:val="none" w:sz="0" w:space="0" w:color="auto"/>
        <w:bottom w:val="none" w:sz="0" w:space="0" w:color="auto"/>
        <w:right w:val="none" w:sz="0" w:space="0" w:color="auto"/>
      </w:divBdr>
      <w:divsChild>
        <w:div w:id="1183940085">
          <w:marLeft w:val="0"/>
          <w:marRight w:val="0"/>
          <w:marTop w:val="0"/>
          <w:marBottom w:val="0"/>
          <w:divBdr>
            <w:top w:val="none" w:sz="0" w:space="0" w:color="auto"/>
            <w:left w:val="none" w:sz="0" w:space="0" w:color="auto"/>
            <w:bottom w:val="none" w:sz="0" w:space="0" w:color="auto"/>
            <w:right w:val="none" w:sz="0" w:space="0" w:color="auto"/>
          </w:divBdr>
          <w:divsChild>
            <w:div w:id="1087120826">
              <w:marLeft w:val="0"/>
              <w:marRight w:val="0"/>
              <w:marTop w:val="0"/>
              <w:marBottom w:val="0"/>
              <w:divBdr>
                <w:top w:val="none" w:sz="0" w:space="0" w:color="auto"/>
                <w:left w:val="none" w:sz="0" w:space="0" w:color="auto"/>
                <w:bottom w:val="none" w:sz="0" w:space="0" w:color="auto"/>
                <w:right w:val="none" w:sz="0" w:space="0" w:color="auto"/>
              </w:divBdr>
            </w:div>
            <w:div w:id="1700937468">
              <w:marLeft w:val="0"/>
              <w:marRight w:val="0"/>
              <w:marTop w:val="0"/>
              <w:marBottom w:val="0"/>
              <w:divBdr>
                <w:top w:val="none" w:sz="0" w:space="0" w:color="auto"/>
                <w:left w:val="none" w:sz="0" w:space="0" w:color="auto"/>
                <w:bottom w:val="none" w:sz="0" w:space="0" w:color="auto"/>
                <w:right w:val="none" w:sz="0" w:space="0" w:color="auto"/>
              </w:divBdr>
            </w:div>
            <w:div w:id="1445150556">
              <w:marLeft w:val="0"/>
              <w:marRight w:val="0"/>
              <w:marTop w:val="0"/>
              <w:marBottom w:val="0"/>
              <w:divBdr>
                <w:top w:val="none" w:sz="0" w:space="0" w:color="auto"/>
                <w:left w:val="none" w:sz="0" w:space="0" w:color="auto"/>
                <w:bottom w:val="none" w:sz="0" w:space="0" w:color="auto"/>
                <w:right w:val="none" w:sz="0" w:space="0" w:color="auto"/>
              </w:divBdr>
            </w:div>
            <w:div w:id="1096899605">
              <w:marLeft w:val="0"/>
              <w:marRight w:val="0"/>
              <w:marTop w:val="0"/>
              <w:marBottom w:val="0"/>
              <w:divBdr>
                <w:top w:val="none" w:sz="0" w:space="0" w:color="auto"/>
                <w:left w:val="none" w:sz="0" w:space="0" w:color="auto"/>
                <w:bottom w:val="none" w:sz="0" w:space="0" w:color="auto"/>
                <w:right w:val="none" w:sz="0" w:space="0" w:color="auto"/>
              </w:divBdr>
            </w:div>
            <w:div w:id="804353623">
              <w:marLeft w:val="0"/>
              <w:marRight w:val="0"/>
              <w:marTop w:val="0"/>
              <w:marBottom w:val="0"/>
              <w:divBdr>
                <w:top w:val="none" w:sz="0" w:space="0" w:color="auto"/>
                <w:left w:val="none" w:sz="0" w:space="0" w:color="auto"/>
                <w:bottom w:val="none" w:sz="0" w:space="0" w:color="auto"/>
                <w:right w:val="none" w:sz="0" w:space="0" w:color="auto"/>
              </w:divBdr>
            </w:div>
            <w:div w:id="275528702">
              <w:marLeft w:val="0"/>
              <w:marRight w:val="0"/>
              <w:marTop w:val="0"/>
              <w:marBottom w:val="0"/>
              <w:divBdr>
                <w:top w:val="none" w:sz="0" w:space="0" w:color="auto"/>
                <w:left w:val="none" w:sz="0" w:space="0" w:color="auto"/>
                <w:bottom w:val="none" w:sz="0" w:space="0" w:color="auto"/>
                <w:right w:val="none" w:sz="0" w:space="0" w:color="auto"/>
              </w:divBdr>
            </w:div>
            <w:div w:id="643588301">
              <w:marLeft w:val="0"/>
              <w:marRight w:val="0"/>
              <w:marTop w:val="0"/>
              <w:marBottom w:val="0"/>
              <w:divBdr>
                <w:top w:val="none" w:sz="0" w:space="0" w:color="auto"/>
                <w:left w:val="none" w:sz="0" w:space="0" w:color="auto"/>
                <w:bottom w:val="none" w:sz="0" w:space="0" w:color="auto"/>
                <w:right w:val="none" w:sz="0" w:space="0" w:color="auto"/>
              </w:divBdr>
            </w:div>
            <w:div w:id="936476563">
              <w:marLeft w:val="0"/>
              <w:marRight w:val="0"/>
              <w:marTop w:val="0"/>
              <w:marBottom w:val="0"/>
              <w:divBdr>
                <w:top w:val="none" w:sz="0" w:space="0" w:color="auto"/>
                <w:left w:val="none" w:sz="0" w:space="0" w:color="auto"/>
                <w:bottom w:val="none" w:sz="0" w:space="0" w:color="auto"/>
                <w:right w:val="none" w:sz="0" w:space="0" w:color="auto"/>
              </w:divBdr>
            </w:div>
            <w:div w:id="1684673537">
              <w:marLeft w:val="0"/>
              <w:marRight w:val="0"/>
              <w:marTop w:val="0"/>
              <w:marBottom w:val="0"/>
              <w:divBdr>
                <w:top w:val="none" w:sz="0" w:space="0" w:color="auto"/>
                <w:left w:val="none" w:sz="0" w:space="0" w:color="auto"/>
                <w:bottom w:val="none" w:sz="0" w:space="0" w:color="auto"/>
                <w:right w:val="none" w:sz="0" w:space="0" w:color="auto"/>
              </w:divBdr>
            </w:div>
            <w:div w:id="1761758820">
              <w:marLeft w:val="0"/>
              <w:marRight w:val="0"/>
              <w:marTop w:val="0"/>
              <w:marBottom w:val="0"/>
              <w:divBdr>
                <w:top w:val="none" w:sz="0" w:space="0" w:color="auto"/>
                <w:left w:val="none" w:sz="0" w:space="0" w:color="auto"/>
                <w:bottom w:val="none" w:sz="0" w:space="0" w:color="auto"/>
                <w:right w:val="none" w:sz="0" w:space="0" w:color="auto"/>
              </w:divBdr>
            </w:div>
            <w:div w:id="1657298798">
              <w:marLeft w:val="0"/>
              <w:marRight w:val="0"/>
              <w:marTop w:val="0"/>
              <w:marBottom w:val="0"/>
              <w:divBdr>
                <w:top w:val="none" w:sz="0" w:space="0" w:color="auto"/>
                <w:left w:val="none" w:sz="0" w:space="0" w:color="auto"/>
                <w:bottom w:val="none" w:sz="0" w:space="0" w:color="auto"/>
                <w:right w:val="none" w:sz="0" w:space="0" w:color="auto"/>
              </w:divBdr>
            </w:div>
            <w:div w:id="678393363">
              <w:marLeft w:val="0"/>
              <w:marRight w:val="0"/>
              <w:marTop w:val="0"/>
              <w:marBottom w:val="0"/>
              <w:divBdr>
                <w:top w:val="none" w:sz="0" w:space="0" w:color="auto"/>
                <w:left w:val="none" w:sz="0" w:space="0" w:color="auto"/>
                <w:bottom w:val="none" w:sz="0" w:space="0" w:color="auto"/>
                <w:right w:val="none" w:sz="0" w:space="0" w:color="auto"/>
              </w:divBdr>
            </w:div>
            <w:div w:id="1485664504">
              <w:marLeft w:val="0"/>
              <w:marRight w:val="0"/>
              <w:marTop w:val="0"/>
              <w:marBottom w:val="0"/>
              <w:divBdr>
                <w:top w:val="none" w:sz="0" w:space="0" w:color="auto"/>
                <w:left w:val="none" w:sz="0" w:space="0" w:color="auto"/>
                <w:bottom w:val="none" w:sz="0" w:space="0" w:color="auto"/>
                <w:right w:val="none" w:sz="0" w:space="0" w:color="auto"/>
              </w:divBdr>
            </w:div>
            <w:div w:id="172494038">
              <w:marLeft w:val="0"/>
              <w:marRight w:val="0"/>
              <w:marTop w:val="0"/>
              <w:marBottom w:val="0"/>
              <w:divBdr>
                <w:top w:val="none" w:sz="0" w:space="0" w:color="auto"/>
                <w:left w:val="none" w:sz="0" w:space="0" w:color="auto"/>
                <w:bottom w:val="none" w:sz="0" w:space="0" w:color="auto"/>
                <w:right w:val="none" w:sz="0" w:space="0" w:color="auto"/>
              </w:divBdr>
            </w:div>
            <w:div w:id="2052924392">
              <w:marLeft w:val="0"/>
              <w:marRight w:val="0"/>
              <w:marTop w:val="0"/>
              <w:marBottom w:val="0"/>
              <w:divBdr>
                <w:top w:val="none" w:sz="0" w:space="0" w:color="auto"/>
                <w:left w:val="none" w:sz="0" w:space="0" w:color="auto"/>
                <w:bottom w:val="none" w:sz="0" w:space="0" w:color="auto"/>
                <w:right w:val="none" w:sz="0" w:space="0" w:color="auto"/>
              </w:divBdr>
            </w:div>
            <w:div w:id="128213139">
              <w:marLeft w:val="0"/>
              <w:marRight w:val="0"/>
              <w:marTop w:val="0"/>
              <w:marBottom w:val="0"/>
              <w:divBdr>
                <w:top w:val="none" w:sz="0" w:space="0" w:color="auto"/>
                <w:left w:val="none" w:sz="0" w:space="0" w:color="auto"/>
                <w:bottom w:val="none" w:sz="0" w:space="0" w:color="auto"/>
                <w:right w:val="none" w:sz="0" w:space="0" w:color="auto"/>
              </w:divBdr>
            </w:div>
            <w:div w:id="252934657">
              <w:marLeft w:val="0"/>
              <w:marRight w:val="0"/>
              <w:marTop w:val="0"/>
              <w:marBottom w:val="0"/>
              <w:divBdr>
                <w:top w:val="none" w:sz="0" w:space="0" w:color="auto"/>
                <w:left w:val="none" w:sz="0" w:space="0" w:color="auto"/>
                <w:bottom w:val="none" w:sz="0" w:space="0" w:color="auto"/>
                <w:right w:val="none" w:sz="0" w:space="0" w:color="auto"/>
              </w:divBdr>
            </w:div>
            <w:div w:id="850069451">
              <w:marLeft w:val="0"/>
              <w:marRight w:val="0"/>
              <w:marTop w:val="0"/>
              <w:marBottom w:val="0"/>
              <w:divBdr>
                <w:top w:val="none" w:sz="0" w:space="0" w:color="auto"/>
                <w:left w:val="none" w:sz="0" w:space="0" w:color="auto"/>
                <w:bottom w:val="none" w:sz="0" w:space="0" w:color="auto"/>
                <w:right w:val="none" w:sz="0" w:space="0" w:color="auto"/>
              </w:divBdr>
            </w:div>
            <w:div w:id="21300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313397">
      <w:bodyDiv w:val="1"/>
      <w:marLeft w:val="0"/>
      <w:marRight w:val="0"/>
      <w:marTop w:val="0"/>
      <w:marBottom w:val="0"/>
      <w:divBdr>
        <w:top w:val="none" w:sz="0" w:space="0" w:color="auto"/>
        <w:left w:val="none" w:sz="0" w:space="0" w:color="auto"/>
        <w:bottom w:val="none" w:sz="0" w:space="0" w:color="auto"/>
        <w:right w:val="none" w:sz="0" w:space="0" w:color="auto"/>
      </w:divBdr>
      <w:divsChild>
        <w:div w:id="1434206725">
          <w:marLeft w:val="0"/>
          <w:marRight w:val="0"/>
          <w:marTop w:val="0"/>
          <w:marBottom w:val="0"/>
          <w:divBdr>
            <w:top w:val="none" w:sz="0" w:space="0" w:color="auto"/>
            <w:left w:val="none" w:sz="0" w:space="0" w:color="auto"/>
            <w:bottom w:val="none" w:sz="0" w:space="0" w:color="auto"/>
            <w:right w:val="none" w:sz="0" w:space="0" w:color="auto"/>
          </w:divBdr>
        </w:div>
      </w:divsChild>
    </w:div>
    <w:div w:id="1147286528">
      <w:bodyDiv w:val="1"/>
      <w:marLeft w:val="0"/>
      <w:marRight w:val="0"/>
      <w:marTop w:val="0"/>
      <w:marBottom w:val="0"/>
      <w:divBdr>
        <w:top w:val="none" w:sz="0" w:space="0" w:color="auto"/>
        <w:left w:val="none" w:sz="0" w:space="0" w:color="auto"/>
        <w:bottom w:val="none" w:sz="0" w:space="0" w:color="auto"/>
        <w:right w:val="none" w:sz="0" w:space="0" w:color="auto"/>
      </w:divBdr>
      <w:divsChild>
        <w:div w:id="1134710651">
          <w:marLeft w:val="0"/>
          <w:marRight w:val="0"/>
          <w:marTop w:val="0"/>
          <w:marBottom w:val="0"/>
          <w:divBdr>
            <w:top w:val="none" w:sz="0" w:space="0" w:color="auto"/>
            <w:left w:val="none" w:sz="0" w:space="0" w:color="auto"/>
            <w:bottom w:val="none" w:sz="0" w:space="0" w:color="auto"/>
            <w:right w:val="none" w:sz="0" w:space="0" w:color="auto"/>
          </w:divBdr>
          <w:divsChild>
            <w:div w:id="200480053">
              <w:marLeft w:val="0"/>
              <w:marRight w:val="0"/>
              <w:marTop w:val="0"/>
              <w:marBottom w:val="0"/>
              <w:divBdr>
                <w:top w:val="none" w:sz="0" w:space="0" w:color="auto"/>
                <w:left w:val="none" w:sz="0" w:space="0" w:color="auto"/>
                <w:bottom w:val="none" w:sz="0" w:space="0" w:color="auto"/>
                <w:right w:val="none" w:sz="0" w:space="0" w:color="auto"/>
              </w:divBdr>
            </w:div>
            <w:div w:id="662585033">
              <w:marLeft w:val="0"/>
              <w:marRight w:val="0"/>
              <w:marTop w:val="0"/>
              <w:marBottom w:val="0"/>
              <w:divBdr>
                <w:top w:val="none" w:sz="0" w:space="0" w:color="auto"/>
                <w:left w:val="none" w:sz="0" w:space="0" w:color="auto"/>
                <w:bottom w:val="none" w:sz="0" w:space="0" w:color="auto"/>
                <w:right w:val="none" w:sz="0" w:space="0" w:color="auto"/>
              </w:divBdr>
            </w:div>
            <w:div w:id="1226648234">
              <w:marLeft w:val="0"/>
              <w:marRight w:val="0"/>
              <w:marTop w:val="0"/>
              <w:marBottom w:val="0"/>
              <w:divBdr>
                <w:top w:val="none" w:sz="0" w:space="0" w:color="auto"/>
                <w:left w:val="none" w:sz="0" w:space="0" w:color="auto"/>
                <w:bottom w:val="none" w:sz="0" w:space="0" w:color="auto"/>
                <w:right w:val="none" w:sz="0" w:space="0" w:color="auto"/>
              </w:divBdr>
            </w:div>
            <w:div w:id="1331326653">
              <w:marLeft w:val="0"/>
              <w:marRight w:val="0"/>
              <w:marTop w:val="0"/>
              <w:marBottom w:val="0"/>
              <w:divBdr>
                <w:top w:val="none" w:sz="0" w:space="0" w:color="auto"/>
                <w:left w:val="none" w:sz="0" w:space="0" w:color="auto"/>
                <w:bottom w:val="none" w:sz="0" w:space="0" w:color="auto"/>
                <w:right w:val="none" w:sz="0" w:space="0" w:color="auto"/>
              </w:divBdr>
            </w:div>
            <w:div w:id="36055615">
              <w:marLeft w:val="0"/>
              <w:marRight w:val="0"/>
              <w:marTop w:val="0"/>
              <w:marBottom w:val="0"/>
              <w:divBdr>
                <w:top w:val="none" w:sz="0" w:space="0" w:color="auto"/>
                <w:left w:val="none" w:sz="0" w:space="0" w:color="auto"/>
                <w:bottom w:val="none" w:sz="0" w:space="0" w:color="auto"/>
                <w:right w:val="none" w:sz="0" w:space="0" w:color="auto"/>
              </w:divBdr>
            </w:div>
            <w:div w:id="1108088411">
              <w:marLeft w:val="0"/>
              <w:marRight w:val="0"/>
              <w:marTop w:val="0"/>
              <w:marBottom w:val="0"/>
              <w:divBdr>
                <w:top w:val="none" w:sz="0" w:space="0" w:color="auto"/>
                <w:left w:val="none" w:sz="0" w:space="0" w:color="auto"/>
                <w:bottom w:val="none" w:sz="0" w:space="0" w:color="auto"/>
                <w:right w:val="none" w:sz="0" w:space="0" w:color="auto"/>
              </w:divBdr>
            </w:div>
            <w:div w:id="767391340">
              <w:marLeft w:val="0"/>
              <w:marRight w:val="0"/>
              <w:marTop w:val="0"/>
              <w:marBottom w:val="0"/>
              <w:divBdr>
                <w:top w:val="none" w:sz="0" w:space="0" w:color="auto"/>
                <w:left w:val="none" w:sz="0" w:space="0" w:color="auto"/>
                <w:bottom w:val="none" w:sz="0" w:space="0" w:color="auto"/>
                <w:right w:val="none" w:sz="0" w:space="0" w:color="auto"/>
              </w:divBdr>
            </w:div>
            <w:div w:id="1096097118">
              <w:marLeft w:val="0"/>
              <w:marRight w:val="0"/>
              <w:marTop w:val="0"/>
              <w:marBottom w:val="0"/>
              <w:divBdr>
                <w:top w:val="none" w:sz="0" w:space="0" w:color="auto"/>
                <w:left w:val="none" w:sz="0" w:space="0" w:color="auto"/>
                <w:bottom w:val="none" w:sz="0" w:space="0" w:color="auto"/>
                <w:right w:val="none" w:sz="0" w:space="0" w:color="auto"/>
              </w:divBdr>
            </w:div>
            <w:div w:id="790979569">
              <w:marLeft w:val="0"/>
              <w:marRight w:val="0"/>
              <w:marTop w:val="0"/>
              <w:marBottom w:val="0"/>
              <w:divBdr>
                <w:top w:val="none" w:sz="0" w:space="0" w:color="auto"/>
                <w:left w:val="none" w:sz="0" w:space="0" w:color="auto"/>
                <w:bottom w:val="none" w:sz="0" w:space="0" w:color="auto"/>
                <w:right w:val="none" w:sz="0" w:space="0" w:color="auto"/>
              </w:divBdr>
            </w:div>
            <w:div w:id="1052653670">
              <w:marLeft w:val="0"/>
              <w:marRight w:val="0"/>
              <w:marTop w:val="0"/>
              <w:marBottom w:val="0"/>
              <w:divBdr>
                <w:top w:val="none" w:sz="0" w:space="0" w:color="auto"/>
                <w:left w:val="none" w:sz="0" w:space="0" w:color="auto"/>
                <w:bottom w:val="none" w:sz="0" w:space="0" w:color="auto"/>
                <w:right w:val="none" w:sz="0" w:space="0" w:color="auto"/>
              </w:divBdr>
            </w:div>
            <w:div w:id="1114985531">
              <w:marLeft w:val="0"/>
              <w:marRight w:val="0"/>
              <w:marTop w:val="0"/>
              <w:marBottom w:val="0"/>
              <w:divBdr>
                <w:top w:val="none" w:sz="0" w:space="0" w:color="auto"/>
                <w:left w:val="none" w:sz="0" w:space="0" w:color="auto"/>
                <w:bottom w:val="none" w:sz="0" w:space="0" w:color="auto"/>
                <w:right w:val="none" w:sz="0" w:space="0" w:color="auto"/>
              </w:divBdr>
            </w:div>
            <w:div w:id="39592254">
              <w:marLeft w:val="0"/>
              <w:marRight w:val="0"/>
              <w:marTop w:val="0"/>
              <w:marBottom w:val="0"/>
              <w:divBdr>
                <w:top w:val="none" w:sz="0" w:space="0" w:color="auto"/>
                <w:left w:val="none" w:sz="0" w:space="0" w:color="auto"/>
                <w:bottom w:val="none" w:sz="0" w:space="0" w:color="auto"/>
                <w:right w:val="none" w:sz="0" w:space="0" w:color="auto"/>
              </w:divBdr>
            </w:div>
            <w:div w:id="1549150740">
              <w:marLeft w:val="0"/>
              <w:marRight w:val="0"/>
              <w:marTop w:val="0"/>
              <w:marBottom w:val="0"/>
              <w:divBdr>
                <w:top w:val="none" w:sz="0" w:space="0" w:color="auto"/>
                <w:left w:val="none" w:sz="0" w:space="0" w:color="auto"/>
                <w:bottom w:val="none" w:sz="0" w:space="0" w:color="auto"/>
                <w:right w:val="none" w:sz="0" w:space="0" w:color="auto"/>
              </w:divBdr>
            </w:div>
            <w:div w:id="1145003614">
              <w:marLeft w:val="0"/>
              <w:marRight w:val="0"/>
              <w:marTop w:val="0"/>
              <w:marBottom w:val="0"/>
              <w:divBdr>
                <w:top w:val="none" w:sz="0" w:space="0" w:color="auto"/>
                <w:left w:val="none" w:sz="0" w:space="0" w:color="auto"/>
                <w:bottom w:val="none" w:sz="0" w:space="0" w:color="auto"/>
                <w:right w:val="none" w:sz="0" w:space="0" w:color="auto"/>
              </w:divBdr>
            </w:div>
            <w:div w:id="1351565473">
              <w:marLeft w:val="0"/>
              <w:marRight w:val="0"/>
              <w:marTop w:val="0"/>
              <w:marBottom w:val="0"/>
              <w:divBdr>
                <w:top w:val="none" w:sz="0" w:space="0" w:color="auto"/>
                <w:left w:val="none" w:sz="0" w:space="0" w:color="auto"/>
                <w:bottom w:val="none" w:sz="0" w:space="0" w:color="auto"/>
                <w:right w:val="none" w:sz="0" w:space="0" w:color="auto"/>
              </w:divBdr>
            </w:div>
            <w:div w:id="1925871332">
              <w:marLeft w:val="0"/>
              <w:marRight w:val="0"/>
              <w:marTop w:val="0"/>
              <w:marBottom w:val="0"/>
              <w:divBdr>
                <w:top w:val="none" w:sz="0" w:space="0" w:color="auto"/>
                <w:left w:val="none" w:sz="0" w:space="0" w:color="auto"/>
                <w:bottom w:val="none" w:sz="0" w:space="0" w:color="auto"/>
                <w:right w:val="none" w:sz="0" w:space="0" w:color="auto"/>
              </w:divBdr>
            </w:div>
            <w:div w:id="822158650">
              <w:marLeft w:val="0"/>
              <w:marRight w:val="0"/>
              <w:marTop w:val="0"/>
              <w:marBottom w:val="0"/>
              <w:divBdr>
                <w:top w:val="none" w:sz="0" w:space="0" w:color="auto"/>
                <w:left w:val="none" w:sz="0" w:space="0" w:color="auto"/>
                <w:bottom w:val="none" w:sz="0" w:space="0" w:color="auto"/>
                <w:right w:val="none" w:sz="0" w:space="0" w:color="auto"/>
              </w:divBdr>
            </w:div>
            <w:div w:id="698891628">
              <w:marLeft w:val="0"/>
              <w:marRight w:val="0"/>
              <w:marTop w:val="0"/>
              <w:marBottom w:val="0"/>
              <w:divBdr>
                <w:top w:val="none" w:sz="0" w:space="0" w:color="auto"/>
                <w:left w:val="none" w:sz="0" w:space="0" w:color="auto"/>
                <w:bottom w:val="none" w:sz="0" w:space="0" w:color="auto"/>
                <w:right w:val="none" w:sz="0" w:space="0" w:color="auto"/>
              </w:divBdr>
            </w:div>
            <w:div w:id="186162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166461">
      <w:bodyDiv w:val="1"/>
      <w:marLeft w:val="0"/>
      <w:marRight w:val="0"/>
      <w:marTop w:val="0"/>
      <w:marBottom w:val="0"/>
      <w:divBdr>
        <w:top w:val="none" w:sz="0" w:space="0" w:color="auto"/>
        <w:left w:val="none" w:sz="0" w:space="0" w:color="auto"/>
        <w:bottom w:val="none" w:sz="0" w:space="0" w:color="auto"/>
        <w:right w:val="none" w:sz="0" w:space="0" w:color="auto"/>
      </w:divBdr>
    </w:div>
    <w:div w:id="1252547483">
      <w:bodyDiv w:val="1"/>
      <w:marLeft w:val="0"/>
      <w:marRight w:val="0"/>
      <w:marTop w:val="0"/>
      <w:marBottom w:val="0"/>
      <w:divBdr>
        <w:top w:val="none" w:sz="0" w:space="0" w:color="auto"/>
        <w:left w:val="none" w:sz="0" w:space="0" w:color="auto"/>
        <w:bottom w:val="none" w:sz="0" w:space="0" w:color="auto"/>
        <w:right w:val="none" w:sz="0" w:space="0" w:color="auto"/>
      </w:divBdr>
    </w:div>
    <w:div w:id="1274508878">
      <w:bodyDiv w:val="1"/>
      <w:marLeft w:val="0"/>
      <w:marRight w:val="0"/>
      <w:marTop w:val="0"/>
      <w:marBottom w:val="0"/>
      <w:divBdr>
        <w:top w:val="none" w:sz="0" w:space="0" w:color="auto"/>
        <w:left w:val="none" w:sz="0" w:space="0" w:color="auto"/>
        <w:bottom w:val="none" w:sz="0" w:space="0" w:color="auto"/>
        <w:right w:val="none" w:sz="0" w:space="0" w:color="auto"/>
      </w:divBdr>
    </w:div>
    <w:div w:id="1836534644">
      <w:bodyDiv w:val="1"/>
      <w:marLeft w:val="0"/>
      <w:marRight w:val="0"/>
      <w:marTop w:val="0"/>
      <w:marBottom w:val="0"/>
      <w:divBdr>
        <w:top w:val="none" w:sz="0" w:space="0" w:color="auto"/>
        <w:left w:val="none" w:sz="0" w:space="0" w:color="auto"/>
        <w:bottom w:val="none" w:sz="0" w:space="0" w:color="auto"/>
        <w:right w:val="none" w:sz="0" w:space="0" w:color="auto"/>
      </w:divBdr>
    </w:div>
    <w:div w:id="1960912190">
      <w:bodyDiv w:val="1"/>
      <w:marLeft w:val="0"/>
      <w:marRight w:val="0"/>
      <w:marTop w:val="0"/>
      <w:marBottom w:val="0"/>
      <w:divBdr>
        <w:top w:val="none" w:sz="0" w:space="0" w:color="auto"/>
        <w:left w:val="none" w:sz="0" w:space="0" w:color="auto"/>
        <w:bottom w:val="none" w:sz="0" w:space="0" w:color="auto"/>
        <w:right w:val="none" w:sz="0" w:space="0" w:color="auto"/>
      </w:divBdr>
    </w:div>
    <w:div w:id="2012833510">
      <w:bodyDiv w:val="1"/>
      <w:marLeft w:val="0"/>
      <w:marRight w:val="0"/>
      <w:marTop w:val="0"/>
      <w:marBottom w:val="0"/>
      <w:divBdr>
        <w:top w:val="none" w:sz="0" w:space="0" w:color="auto"/>
        <w:left w:val="none" w:sz="0" w:space="0" w:color="auto"/>
        <w:bottom w:val="none" w:sz="0" w:space="0" w:color="auto"/>
        <w:right w:val="none" w:sz="0" w:space="0" w:color="auto"/>
      </w:divBdr>
    </w:div>
    <w:div w:id="2085182605">
      <w:bodyDiv w:val="1"/>
      <w:marLeft w:val="0"/>
      <w:marRight w:val="0"/>
      <w:marTop w:val="0"/>
      <w:marBottom w:val="0"/>
      <w:divBdr>
        <w:top w:val="none" w:sz="0" w:space="0" w:color="auto"/>
        <w:left w:val="none" w:sz="0" w:space="0" w:color="auto"/>
        <w:bottom w:val="none" w:sz="0" w:space="0" w:color="auto"/>
        <w:right w:val="none" w:sz="0" w:space="0" w:color="auto"/>
      </w:divBdr>
      <w:divsChild>
        <w:div w:id="304311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faculty.smu.edu/bwheeler/tolkien/online_reader/T-English&amp;Welsh.PDF" TargetMode="External"/><Relationship Id="rId1" Type="http://schemas.openxmlformats.org/officeDocument/2006/relationships/hyperlink" Target="https://moodle.uwtsd.ac.uk/course/view.php?id=3985&amp;sectio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1448D-EF8F-1E44-9CB9-7B77FD8D2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1899</Words>
  <Characters>10545</Characters>
  <Application>Microsoft Office Word</Application>
  <DocSecurity>0</DocSecurity>
  <Lines>185</Lines>
  <Paragraphs>33</Paragraphs>
  <ScaleCrop>false</ScaleCrop>
  <Company/>
  <LinksUpToDate>false</LinksUpToDate>
  <CharactersWithSpaces>12411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Love (2321358)</dc:creator>
  <cp:keywords/>
  <dc:description/>
  <cp:lastModifiedBy>Kate Love (2321358)</cp:lastModifiedBy>
  <cp:revision>2</cp:revision>
  <dcterms:created xsi:type="dcterms:W3CDTF">2024-12-24T11:28:00Z</dcterms:created>
  <dcterms:modified xsi:type="dcterms:W3CDTF">2024-12-24T11:28:00Z</dcterms:modified>
</cp:coreProperties>
</file>