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6320C7" w14:textId="77777777" w:rsidR="00C30B6C" w:rsidRDefault="00C30B6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C6320C8" w14:textId="77777777" w:rsidR="00C30B6C" w:rsidRDefault="00C30B6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C6320C9" w14:textId="77777777" w:rsidR="00C30B6C" w:rsidRDefault="00C30B6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C6320CA" w14:textId="77777777" w:rsidR="00C30B6C" w:rsidRDefault="00C30B6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C6320CB" w14:textId="77777777" w:rsidR="00C30B6C" w:rsidRDefault="00C30B6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C6320D1" w14:textId="77777777" w:rsidR="00C30B6C" w:rsidRDefault="00C30B6C">
      <w:pPr>
        <w:pBdr>
          <w:top w:val="nil"/>
          <w:left w:val="nil"/>
          <w:bottom w:val="nil"/>
          <w:right w:val="nil"/>
          <w:between w:val="nil"/>
        </w:pBdr>
        <w:spacing w:line="360" w:lineRule="auto"/>
        <w:rPr>
          <w:rFonts w:ascii="Times New Roman" w:eastAsia="Times New Roman" w:hAnsi="Times New Roman" w:cs="Times New Roman"/>
          <w:b/>
          <w:color w:val="000000"/>
          <w:sz w:val="32"/>
          <w:szCs w:val="32"/>
        </w:rPr>
      </w:pPr>
    </w:p>
    <w:p w14:paraId="6D50BAD0" w14:textId="77777777" w:rsidR="00E72785" w:rsidRPr="00E72785" w:rsidRDefault="00E72785" w:rsidP="00E7278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sidRPr="00E72785">
        <w:rPr>
          <w:rFonts w:ascii="Times New Roman" w:eastAsia="Times New Roman" w:hAnsi="Times New Roman" w:cs="Times New Roman"/>
          <w:b/>
          <w:color w:val="000000"/>
          <w:sz w:val="32"/>
          <w:szCs w:val="32"/>
        </w:rPr>
        <w:t>Programme: BA Business Management</w:t>
      </w:r>
    </w:p>
    <w:p w14:paraId="4D1BC136" w14:textId="77777777" w:rsidR="00E72785" w:rsidRPr="00E72785" w:rsidRDefault="00E72785" w:rsidP="00E7278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sidRPr="00E72785">
        <w:rPr>
          <w:rFonts w:ascii="Times New Roman" w:eastAsia="Times New Roman" w:hAnsi="Times New Roman" w:cs="Times New Roman"/>
          <w:b/>
          <w:color w:val="000000"/>
          <w:sz w:val="32"/>
          <w:szCs w:val="32"/>
        </w:rPr>
        <w:t xml:space="preserve">Module: Strategic Management &amp; Sustainability </w:t>
      </w:r>
    </w:p>
    <w:p w14:paraId="3CD01400" w14:textId="1788A1CC" w:rsidR="00E72785" w:rsidRPr="00E72785" w:rsidRDefault="00E72785" w:rsidP="00AC0E3A">
      <w:pPr>
        <w:pBdr>
          <w:top w:val="nil"/>
          <w:left w:val="nil"/>
          <w:bottom w:val="nil"/>
          <w:right w:val="nil"/>
          <w:between w:val="nil"/>
        </w:pBdr>
        <w:spacing w:line="360" w:lineRule="auto"/>
        <w:rPr>
          <w:rFonts w:ascii="Times New Roman" w:eastAsia="Times New Roman" w:hAnsi="Times New Roman" w:cs="Times New Roman"/>
          <w:b/>
          <w:color w:val="000000"/>
          <w:sz w:val="32"/>
          <w:szCs w:val="32"/>
        </w:rPr>
      </w:pPr>
      <w:r w:rsidRPr="00E72785">
        <w:rPr>
          <w:rFonts w:ascii="Times New Roman" w:eastAsia="Times New Roman" w:hAnsi="Times New Roman" w:cs="Times New Roman"/>
          <w:b/>
          <w:color w:val="000000"/>
          <w:sz w:val="32"/>
          <w:szCs w:val="32"/>
        </w:rPr>
        <w:t xml:space="preserve"> </w:t>
      </w:r>
    </w:p>
    <w:p w14:paraId="7A8720F4" w14:textId="77777777" w:rsidR="00AC0E3A" w:rsidRDefault="00AC0E3A" w:rsidP="00AC0E3A">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Student </w:t>
      </w:r>
      <w:proofErr w:type="spellStart"/>
      <w:r>
        <w:rPr>
          <w:rFonts w:ascii="Times New Roman" w:eastAsia="Times New Roman" w:hAnsi="Times New Roman" w:cs="Times New Roman"/>
          <w:b/>
          <w:color w:val="000000"/>
          <w:sz w:val="32"/>
          <w:szCs w:val="32"/>
        </w:rPr>
        <w:t>name</w:t>
      </w:r>
      <w:proofErr w:type="gramStart"/>
      <w:r>
        <w:rPr>
          <w:rFonts w:ascii="Times New Roman" w:eastAsia="Times New Roman" w:hAnsi="Times New Roman" w:cs="Times New Roman"/>
          <w:b/>
          <w:color w:val="000000"/>
          <w:sz w:val="32"/>
          <w:szCs w:val="32"/>
        </w:rPr>
        <w:t>:Maxim</w:t>
      </w:r>
      <w:proofErr w:type="spellEnd"/>
      <w:proofErr w:type="gramEnd"/>
      <w:r>
        <w:rPr>
          <w:rFonts w:ascii="Times New Roman" w:eastAsia="Times New Roman" w:hAnsi="Times New Roman" w:cs="Times New Roman"/>
          <w:b/>
          <w:color w:val="000000"/>
          <w:sz w:val="32"/>
          <w:szCs w:val="32"/>
        </w:rPr>
        <w:t xml:space="preserve"> </w:t>
      </w:r>
      <w:proofErr w:type="spellStart"/>
      <w:r>
        <w:rPr>
          <w:rFonts w:ascii="Times New Roman" w:eastAsia="Times New Roman" w:hAnsi="Times New Roman" w:cs="Times New Roman"/>
          <w:b/>
          <w:color w:val="000000"/>
          <w:sz w:val="32"/>
          <w:szCs w:val="32"/>
        </w:rPr>
        <w:t>Popa</w:t>
      </w:r>
      <w:proofErr w:type="spellEnd"/>
    </w:p>
    <w:p w14:paraId="5C6320D4" w14:textId="2EFBB825" w:rsidR="00C30B6C" w:rsidRPr="005105CE" w:rsidRDefault="00AC0E3A" w:rsidP="00AC0E3A">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id</w:t>
      </w:r>
      <w:proofErr w:type="gramStart"/>
      <w:r>
        <w:rPr>
          <w:rFonts w:ascii="Times New Roman" w:eastAsia="Times New Roman" w:hAnsi="Times New Roman" w:cs="Times New Roman"/>
          <w:b/>
          <w:color w:val="000000"/>
          <w:sz w:val="32"/>
          <w:szCs w:val="32"/>
        </w:rPr>
        <w:t>:2029761</w:t>
      </w:r>
      <w:bookmarkStart w:id="0" w:name="_GoBack"/>
      <w:bookmarkEnd w:id="0"/>
      <w:proofErr w:type="gramEnd"/>
      <w:r w:rsidR="003213A1">
        <w:br w:type="page"/>
      </w:r>
    </w:p>
    <w:p w14:paraId="5C6320D5" w14:textId="77777777" w:rsidR="00C30B6C" w:rsidRDefault="003213A1" w:rsidP="00194A55">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Executive summary </w:t>
      </w:r>
    </w:p>
    <w:p w14:paraId="5C6320D6"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highlights the strategic management and sustainability management of Tesco. Detailed description regarding the major business and corporate strategy of Tesco has been provided in the study. It also highlights the main resources as well as capabilities of the company. Implementation process of each strategy has been described in the study for better understanding. The overall impacts of sustainability related strategies of Tesco have been described.</w:t>
      </w:r>
    </w:p>
    <w:p w14:paraId="5C6320D7" w14:textId="799B7AC8" w:rsidR="003213A1" w:rsidRDefault="003213A1">
      <w:r>
        <w:br w:type="page"/>
      </w:r>
    </w:p>
    <w:p w14:paraId="5CC2447D" w14:textId="77777777" w:rsidR="00C30B6C" w:rsidRDefault="00C30B6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C6320D8" w14:textId="77777777" w:rsidR="00C30B6C" w:rsidRDefault="003213A1">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sdt>
      <w:sdtPr>
        <w:id w:val="-745104474"/>
        <w:docPartObj>
          <w:docPartGallery w:val="Table of Contents"/>
          <w:docPartUnique/>
        </w:docPartObj>
      </w:sdtPr>
      <w:sdtEndPr/>
      <w:sdtContent>
        <w:p w14:paraId="5C6320D9" w14:textId="77777777" w:rsidR="00C30B6C" w:rsidRDefault="003213A1">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5C6320DA" w14:textId="77777777" w:rsidR="00C30B6C" w:rsidRDefault="006E05B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30j0zll">
            <w:r w:rsidR="003213A1">
              <w:rPr>
                <w:rFonts w:ascii="Times New Roman" w:eastAsia="Times New Roman" w:hAnsi="Times New Roman" w:cs="Times New Roman"/>
                <w:color w:val="000000"/>
                <w:sz w:val="24"/>
                <w:szCs w:val="24"/>
              </w:rPr>
              <w:t>Company background</w:t>
            </w:r>
            <w:r w:rsidR="003213A1">
              <w:rPr>
                <w:rFonts w:ascii="Times New Roman" w:eastAsia="Times New Roman" w:hAnsi="Times New Roman" w:cs="Times New Roman"/>
                <w:color w:val="000000"/>
                <w:sz w:val="24"/>
                <w:szCs w:val="24"/>
              </w:rPr>
              <w:tab/>
              <w:t>3</w:t>
            </w:r>
          </w:hyperlink>
        </w:p>
        <w:p w14:paraId="5C6320DB" w14:textId="77777777" w:rsidR="00C30B6C" w:rsidRDefault="006E05B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1fob9te">
            <w:r w:rsidR="003213A1">
              <w:rPr>
                <w:rFonts w:ascii="Times New Roman" w:eastAsia="Times New Roman" w:hAnsi="Times New Roman" w:cs="Times New Roman"/>
                <w:color w:val="000000"/>
                <w:sz w:val="24"/>
                <w:szCs w:val="24"/>
              </w:rPr>
              <w:t>Key business and corporate strategy of the organisation</w:t>
            </w:r>
            <w:r w:rsidR="003213A1">
              <w:rPr>
                <w:rFonts w:ascii="Times New Roman" w:eastAsia="Times New Roman" w:hAnsi="Times New Roman" w:cs="Times New Roman"/>
                <w:color w:val="000000"/>
                <w:sz w:val="24"/>
                <w:szCs w:val="24"/>
              </w:rPr>
              <w:tab/>
              <w:t>3</w:t>
            </w:r>
          </w:hyperlink>
        </w:p>
        <w:p w14:paraId="5C6320DC" w14:textId="77777777" w:rsidR="00C30B6C" w:rsidRDefault="006E05B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3znysh7">
            <w:r w:rsidR="003213A1">
              <w:rPr>
                <w:rFonts w:ascii="Times New Roman" w:eastAsia="Times New Roman" w:hAnsi="Times New Roman" w:cs="Times New Roman"/>
                <w:color w:val="000000"/>
                <w:sz w:val="24"/>
                <w:szCs w:val="24"/>
              </w:rPr>
              <w:t>Key resources as well as capabilities of the company</w:t>
            </w:r>
            <w:r w:rsidR="003213A1">
              <w:rPr>
                <w:rFonts w:ascii="Times New Roman" w:eastAsia="Times New Roman" w:hAnsi="Times New Roman" w:cs="Times New Roman"/>
                <w:color w:val="000000"/>
                <w:sz w:val="24"/>
                <w:szCs w:val="24"/>
              </w:rPr>
              <w:tab/>
              <w:t>5</w:t>
            </w:r>
          </w:hyperlink>
        </w:p>
        <w:p w14:paraId="5C6320DD" w14:textId="77777777" w:rsidR="00C30B6C" w:rsidRDefault="006E05B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2et92p0">
            <w:r w:rsidR="003213A1">
              <w:rPr>
                <w:rFonts w:ascii="Times New Roman" w:eastAsia="Times New Roman" w:hAnsi="Times New Roman" w:cs="Times New Roman"/>
                <w:color w:val="000000"/>
                <w:sz w:val="24"/>
                <w:szCs w:val="24"/>
              </w:rPr>
              <w:t>Implementation of the strategies</w:t>
            </w:r>
            <w:r w:rsidR="003213A1">
              <w:rPr>
                <w:rFonts w:ascii="Times New Roman" w:eastAsia="Times New Roman" w:hAnsi="Times New Roman" w:cs="Times New Roman"/>
                <w:color w:val="000000"/>
                <w:sz w:val="24"/>
                <w:szCs w:val="24"/>
              </w:rPr>
              <w:tab/>
              <w:t>6</w:t>
            </w:r>
          </w:hyperlink>
        </w:p>
        <w:p w14:paraId="5C6320DE" w14:textId="77777777" w:rsidR="00C30B6C" w:rsidRDefault="006E05B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tyjcwt">
            <w:r w:rsidR="003213A1">
              <w:rPr>
                <w:rFonts w:ascii="Times New Roman" w:eastAsia="Times New Roman" w:hAnsi="Times New Roman" w:cs="Times New Roman"/>
                <w:color w:val="000000"/>
                <w:sz w:val="24"/>
                <w:szCs w:val="24"/>
              </w:rPr>
              <w:t>Sustainability related strategies of the company</w:t>
            </w:r>
            <w:r w:rsidR="003213A1">
              <w:rPr>
                <w:rFonts w:ascii="Times New Roman" w:eastAsia="Times New Roman" w:hAnsi="Times New Roman" w:cs="Times New Roman"/>
                <w:color w:val="000000"/>
                <w:sz w:val="24"/>
                <w:szCs w:val="24"/>
              </w:rPr>
              <w:tab/>
              <w:t>6</w:t>
            </w:r>
          </w:hyperlink>
        </w:p>
        <w:p w14:paraId="5C6320DF" w14:textId="77777777" w:rsidR="00C30B6C" w:rsidRDefault="006E05B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3dy6vkm">
            <w:r w:rsidR="003213A1">
              <w:rPr>
                <w:rFonts w:ascii="Times New Roman" w:eastAsia="Times New Roman" w:hAnsi="Times New Roman" w:cs="Times New Roman"/>
                <w:color w:val="000000"/>
                <w:sz w:val="24"/>
                <w:szCs w:val="24"/>
              </w:rPr>
              <w:t>Choices available to the company and recommendations</w:t>
            </w:r>
            <w:r w:rsidR="003213A1">
              <w:rPr>
                <w:rFonts w:ascii="Times New Roman" w:eastAsia="Times New Roman" w:hAnsi="Times New Roman" w:cs="Times New Roman"/>
                <w:color w:val="000000"/>
                <w:sz w:val="24"/>
                <w:szCs w:val="24"/>
              </w:rPr>
              <w:tab/>
              <w:t>7</w:t>
            </w:r>
          </w:hyperlink>
        </w:p>
        <w:p w14:paraId="5C6320E0" w14:textId="77777777" w:rsidR="00C30B6C" w:rsidRDefault="006E05B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1t3h5sf">
            <w:r w:rsidR="003213A1">
              <w:rPr>
                <w:rFonts w:ascii="Times New Roman" w:eastAsia="Times New Roman" w:hAnsi="Times New Roman" w:cs="Times New Roman"/>
                <w:color w:val="000000"/>
                <w:sz w:val="24"/>
                <w:szCs w:val="24"/>
              </w:rPr>
              <w:t>Conclusion</w:t>
            </w:r>
            <w:r w:rsidR="003213A1">
              <w:rPr>
                <w:rFonts w:ascii="Times New Roman" w:eastAsia="Times New Roman" w:hAnsi="Times New Roman" w:cs="Times New Roman"/>
                <w:color w:val="000000"/>
                <w:sz w:val="24"/>
                <w:szCs w:val="24"/>
              </w:rPr>
              <w:tab/>
              <w:t>8</w:t>
            </w:r>
          </w:hyperlink>
        </w:p>
        <w:p w14:paraId="5C6320E1" w14:textId="77777777" w:rsidR="00C30B6C" w:rsidRDefault="006E05B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4d34og8">
            <w:r w:rsidR="003213A1">
              <w:rPr>
                <w:rFonts w:ascii="Times New Roman" w:eastAsia="Times New Roman" w:hAnsi="Times New Roman" w:cs="Times New Roman"/>
                <w:color w:val="000000"/>
                <w:sz w:val="24"/>
                <w:szCs w:val="24"/>
              </w:rPr>
              <w:t>References</w:t>
            </w:r>
            <w:r w:rsidR="003213A1">
              <w:rPr>
                <w:rFonts w:ascii="Times New Roman" w:eastAsia="Times New Roman" w:hAnsi="Times New Roman" w:cs="Times New Roman"/>
                <w:color w:val="000000"/>
                <w:sz w:val="24"/>
                <w:szCs w:val="24"/>
              </w:rPr>
              <w:tab/>
              <w:t>10</w:t>
            </w:r>
          </w:hyperlink>
        </w:p>
        <w:p w14:paraId="5C6320E2" w14:textId="77777777" w:rsidR="00C30B6C" w:rsidRDefault="006E05B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2s8eyo1">
            <w:r w:rsidR="003213A1">
              <w:rPr>
                <w:rFonts w:ascii="Times New Roman" w:eastAsia="Times New Roman" w:hAnsi="Times New Roman" w:cs="Times New Roman"/>
                <w:color w:val="000000"/>
                <w:sz w:val="24"/>
                <w:szCs w:val="24"/>
              </w:rPr>
              <w:t>Appendices</w:t>
            </w:r>
            <w:r w:rsidR="003213A1">
              <w:rPr>
                <w:rFonts w:ascii="Times New Roman" w:eastAsia="Times New Roman" w:hAnsi="Times New Roman" w:cs="Times New Roman"/>
                <w:color w:val="000000"/>
                <w:sz w:val="24"/>
                <w:szCs w:val="24"/>
              </w:rPr>
              <w:tab/>
              <w:t>12</w:t>
            </w:r>
          </w:hyperlink>
        </w:p>
        <w:p w14:paraId="5C6320E3" w14:textId="77777777" w:rsidR="00C30B6C" w:rsidRDefault="006E05B3">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17dp8vu">
            <w:r w:rsidR="003213A1">
              <w:rPr>
                <w:rFonts w:ascii="Times New Roman" w:eastAsia="Times New Roman" w:hAnsi="Times New Roman" w:cs="Times New Roman"/>
                <w:color w:val="000000"/>
                <w:sz w:val="24"/>
                <w:szCs w:val="24"/>
              </w:rPr>
              <w:t>Appendix A: Ansoff's Matrix</w:t>
            </w:r>
            <w:r w:rsidR="003213A1">
              <w:rPr>
                <w:rFonts w:ascii="Times New Roman" w:eastAsia="Times New Roman" w:hAnsi="Times New Roman" w:cs="Times New Roman"/>
                <w:color w:val="000000"/>
                <w:sz w:val="24"/>
                <w:szCs w:val="24"/>
              </w:rPr>
              <w:tab/>
              <w:t>12</w:t>
            </w:r>
          </w:hyperlink>
        </w:p>
        <w:p w14:paraId="5C6320E4" w14:textId="77777777" w:rsidR="00C30B6C" w:rsidRDefault="006E05B3">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3rdcrjn">
            <w:r w:rsidR="003213A1">
              <w:rPr>
                <w:rFonts w:ascii="Times New Roman" w:eastAsia="Times New Roman" w:hAnsi="Times New Roman" w:cs="Times New Roman"/>
                <w:color w:val="000000"/>
                <w:sz w:val="24"/>
                <w:szCs w:val="24"/>
              </w:rPr>
              <w:t>Appendix B: Porter's five forces</w:t>
            </w:r>
            <w:r w:rsidR="003213A1">
              <w:rPr>
                <w:rFonts w:ascii="Times New Roman" w:eastAsia="Times New Roman" w:hAnsi="Times New Roman" w:cs="Times New Roman"/>
                <w:color w:val="000000"/>
                <w:sz w:val="24"/>
                <w:szCs w:val="24"/>
              </w:rPr>
              <w:tab/>
              <w:t>12</w:t>
            </w:r>
          </w:hyperlink>
        </w:p>
        <w:p w14:paraId="5C6320E5" w14:textId="77777777" w:rsidR="00C30B6C" w:rsidRDefault="006E05B3">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26in1rg">
            <w:r w:rsidR="003213A1">
              <w:rPr>
                <w:rFonts w:ascii="Times New Roman" w:eastAsia="Times New Roman" w:hAnsi="Times New Roman" w:cs="Times New Roman"/>
                <w:color w:val="000000"/>
                <w:sz w:val="24"/>
                <w:szCs w:val="24"/>
              </w:rPr>
              <w:t>Appendix C: SWOT</w:t>
            </w:r>
            <w:r w:rsidR="003213A1">
              <w:rPr>
                <w:rFonts w:ascii="Times New Roman" w:eastAsia="Times New Roman" w:hAnsi="Times New Roman" w:cs="Times New Roman"/>
                <w:color w:val="000000"/>
                <w:sz w:val="24"/>
                <w:szCs w:val="24"/>
              </w:rPr>
              <w:tab/>
              <w:t>13</w:t>
            </w:r>
          </w:hyperlink>
        </w:p>
        <w:p w14:paraId="5C6320E6" w14:textId="77777777" w:rsidR="00C30B6C" w:rsidRDefault="003213A1">
          <w:pPr>
            <w:spacing w:line="360" w:lineRule="auto"/>
            <w:jc w:val="both"/>
          </w:pPr>
          <w:r>
            <w:fldChar w:fldCharType="end"/>
          </w:r>
        </w:p>
      </w:sdtContent>
    </w:sdt>
    <w:p w14:paraId="5C6320E7"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5C6320E8" w14:textId="77777777" w:rsidR="00C30B6C" w:rsidRDefault="003213A1">
      <w:pPr>
        <w:pStyle w:val="Heading1"/>
      </w:pPr>
      <w:bookmarkStart w:id="1" w:name="_gjdgxs" w:colFirst="0" w:colLast="0"/>
      <w:bookmarkEnd w:id="1"/>
      <w:r>
        <w:lastRenderedPageBreak/>
        <w:t xml:space="preserve">Introduction </w:t>
      </w:r>
    </w:p>
    <w:p w14:paraId="5C6320E9"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Strategic management and sustainability are considered as two important components associated with market reputation as well as brand value of a business. Tesco is a British retail organisation listed on the London stock exchange. Analysing business as well as corporate strategy of this organisation and discussing the sustainability related strategies of the company are the two major purposes of this study. It also focuses on identifying the available opportunities of this company and providing proper recommendations for the company for sustainable growth. A proper theoretical explanation of its corporate strategies has been made in this study.</w:t>
      </w:r>
    </w:p>
    <w:p w14:paraId="5C6320EA" w14:textId="77777777" w:rsidR="00C30B6C" w:rsidRDefault="003213A1">
      <w:pPr>
        <w:pStyle w:val="Heading1"/>
      </w:pPr>
      <w:bookmarkStart w:id="2" w:name="_30j0zll" w:colFirst="0" w:colLast="0"/>
      <w:bookmarkEnd w:id="2"/>
      <w:r>
        <w:t xml:space="preserve">Company background </w:t>
      </w:r>
    </w:p>
    <w:p w14:paraId="5C6320EB"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Tesco is considered as a popular British multinational grocery as well as general merchandise retailer. Headquarters of this organisation are in Welwyn Garden City, Hertfordshire, England. It is a market leader in the grocery retailer industry of the UK as it holds more than 26% of the total market (Statista.com, 2023). Human resource management of this organisation is a critical aspect as it has a huge employee base. 336926 was the number of employees of Tesco in 2023 (Statista.com, 2023). It is a highly profitable organisation in the UK. For instance, £60 billion was the total annual revenue of this organisation in the 2022 financial year. It is an increase of more than £3 billion compared to the previous financial year (Statista.com, 2023). </w:t>
      </w:r>
    </w:p>
    <w:p w14:paraId="5C6320EC" w14:textId="77777777" w:rsidR="00C30B6C" w:rsidRDefault="003213A1">
      <w:pPr>
        <w:pStyle w:val="Heading1"/>
      </w:pPr>
      <w:bookmarkStart w:id="3" w:name="_1fob9te" w:colFirst="0" w:colLast="0"/>
      <w:bookmarkEnd w:id="3"/>
      <w:r>
        <w:t xml:space="preserve">Key business and corporate strategy of the organisation </w:t>
      </w:r>
    </w:p>
    <w:p w14:paraId="5C6320ED"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 penetration strategy includes the concept of enhancing market share of existing services or products within the existing markets. Tesco is categorised as one of the major market players in the grocery retail sector of the UK and it has historically employed the basic elements of the market penetration strategy to enhance its position and increase market share in the retail market. Tesco is known for expanding its market through its convenience store format. The comparatively smaller sized stores of this organisation are strategically located within the urban locations and near residential locations to fulfil the immediate requirements of the customers. This approach is crucial for Tesco to reach a comparatively broader customer base and enhance its presence in locations, where establishing compatible larger markets is not feasible. For instance, Tesco will have more than 4169 stores across the UK in 2023. The number of stores has been increasing since 2012 and the organisation experienced the biggest increase in terms of store numbers in the 2014 financial year. In this financial year the organisation introduced 246 </w:t>
      </w:r>
      <w:r>
        <w:rPr>
          <w:rFonts w:ascii="Times New Roman" w:eastAsia="Times New Roman" w:hAnsi="Times New Roman" w:cs="Times New Roman"/>
          <w:color w:val="000000"/>
          <w:sz w:val="24"/>
          <w:szCs w:val="24"/>
        </w:rPr>
        <w:lastRenderedPageBreak/>
        <w:t xml:space="preserve">more stores compared to the previous financial year (Statista.com, 2023). </w:t>
      </w:r>
      <w:r>
        <w:rPr>
          <w:rFonts w:ascii="Times New Roman" w:eastAsia="Times New Roman" w:hAnsi="Times New Roman" w:cs="Times New Roman"/>
          <w:b/>
          <w:i/>
          <w:color w:val="000000"/>
          <w:sz w:val="24"/>
          <w:szCs w:val="24"/>
        </w:rPr>
        <w:t>Ansoff's Matrix</w:t>
      </w:r>
      <w:r>
        <w:rPr>
          <w:rFonts w:ascii="Times New Roman" w:eastAsia="Times New Roman" w:hAnsi="Times New Roman" w:cs="Times New Roman"/>
          <w:color w:val="000000"/>
          <w:sz w:val="24"/>
          <w:szCs w:val="24"/>
        </w:rPr>
        <w:t xml:space="preserve"> is a strategic planning framework which helps business organisations to identify growth strategies. It has been highlighted by Clarissia (2020), market penetration, market development, product development and diversification are the four major strategies associated with the basic elements of Ansoff's Matrix. Tesco is successful in applying the market penetration element from this matrix to enhance sales of its existing products within the existing customers and it is helping the business to increase market share </w:t>
      </w:r>
      <w:r>
        <w:rPr>
          <w:rFonts w:ascii="Times New Roman" w:eastAsia="Times New Roman" w:hAnsi="Times New Roman" w:cs="Times New Roman"/>
          <w:b/>
          <w:i/>
          <w:color w:val="000000"/>
          <w:sz w:val="24"/>
          <w:szCs w:val="24"/>
        </w:rPr>
        <w:t>[Refer to appendix A]</w:t>
      </w:r>
      <w:r>
        <w:rPr>
          <w:rFonts w:ascii="Times New Roman" w:eastAsia="Times New Roman" w:hAnsi="Times New Roman" w:cs="Times New Roman"/>
          <w:color w:val="000000"/>
          <w:sz w:val="24"/>
          <w:szCs w:val="24"/>
        </w:rPr>
        <w:t xml:space="preserve">. </w:t>
      </w:r>
    </w:p>
    <w:p w14:paraId="5C6320EE" w14:textId="77777777" w:rsidR="00C30B6C" w:rsidRDefault="003213A1">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eastAsia="en-GB"/>
        </w:rPr>
        <w:drawing>
          <wp:inline distT="114300" distB="114300" distL="114300" distR="114300" wp14:anchorId="5C632142" wp14:editId="5C632143">
            <wp:extent cx="4741545" cy="295586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41545" cy="2955867"/>
                    </a:xfrm>
                    <a:prstGeom prst="rect">
                      <a:avLst/>
                    </a:prstGeom>
                    <a:ln/>
                  </pic:spPr>
                </pic:pic>
              </a:graphicData>
            </a:graphic>
          </wp:inline>
        </w:drawing>
      </w:r>
    </w:p>
    <w:p w14:paraId="5C6320EF" w14:textId="77777777" w:rsidR="00C30B6C" w:rsidRDefault="003213A1">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Number of stores of Tesco</w:t>
      </w:r>
    </w:p>
    <w:p w14:paraId="5C6320F0" w14:textId="77777777" w:rsidR="00C30B6C" w:rsidRDefault="003213A1">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Based on Statista.com, 2023)</w:t>
      </w:r>
    </w:p>
    <w:p w14:paraId="5C6320F1"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the application of the </w:t>
      </w:r>
      <w:r>
        <w:rPr>
          <w:rFonts w:ascii="Times New Roman" w:eastAsia="Times New Roman" w:hAnsi="Times New Roman" w:cs="Times New Roman"/>
          <w:b/>
          <w:i/>
          <w:color w:val="000000"/>
          <w:sz w:val="24"/>
          <w:szCs w:val="24"/>
        </w:rPr>
        <w:t>Porter's five forces</w:t>
      </w:r>
      <w:r>
        <w:rPr>
          <w:rFonts w:ascii="Times New Roman" w:eastAsia="Times New Roman" w:hAnsi="Times New Roman" w:cs="Times New Roman"/>
          <w:color w:val="000000"/>
          <w:sz w:val="24"/>
          <w:szCs w:val="24"/>
        </w:rPr>
        <w:t xml:space="preserve"> framework, it can be easily stated that the supermarket industry of the UK is considered as a highly competitive industry </w:t>
      </w:r>
      <w:r>
        <w:rPr>
          <w:rFonts w:ascii="Times New Roman" w:eastAsia="Times New Roman" w:hAnsi="Times New Roman" w:cs="Times New Roman"/>
          <w:b/>
          <w:i/>
          <w:color w:val="000000"/>
          <w:sz w:val="24"/>
          <w:szCs w:val="24"/>
        </w:rPr>
        <w:t>[Refer to appendix B]</w:t>
      </w:r>
      <w:r>
        <w:rPr>
          <w:rFonts w:ascii="Times New Roman" w:eastAsia="Times New Roman" w:hAnsi="Times New Roman" w:cs="Times New Roman"/>
          <w:color w:val="000000"/>
          <w:sz w:val="24"/>
          <w:szCs w:val="24"/>
        </w:rPr>
        <w:t xml:space="preserve">. There are more than 16 supermarket chains in the UK and ASDA, Morrisons, and Sainsbury's are the direct competitors of Tesco. Huge market competition is influencing Tesco to introduce effective customer loyalty related programs. For instance, Tesco has introduced customer loyalty programs like Tesco Clubcard for enhancing its customer retention (Tesco.com, 2023). It also helps the business to collect valuable customer data in a strategic manner. The grocery retail market is a highly competitive sector and the competitive characteristics of this industry in influencing Tesco to introduce effective diversification strategies. Tesco is successful in diversifying its operational activities through entering into new business areas such as non-food products, financial services and telecommunication. Tesco expanded its operations in the </w:t>
      </w:r>
      <w:r>
        <w:rPr>
          <w:rFonts w:ascii="Times New Roman" w:eastAsia="Times New Roman" w:hAnsi="Times New Roman" w:cs="Times New Roman"/>
          <w:color w:val="000000"/>
          <w:sz w:val="24"/>
          <w:szCs w:val="24"/>
        </w:rPr>
        <w:lastRenderedPageBreak/>
        <w:t xml:space="preserve">international market. It is considered as the fourth largest supermarket chain across the globe and it is available in more than 12 different countries (Statista.com, 2023).   </w:t>
      </w:r>
    </w:p>
    <w:p w14:paraId="5C6320F2" w14:textId="77777777" w:rsidR="00C30B6C" w:rsidRDefault="003213A1">
      <w:pPr>
        <w:pStyle w:val="Heading1"/>
      </w:pPr>
      <w:bookmarkStart w:id="4" w:name="_3znysh7" w:colFirst="0" w:colLast="0"/>
      <w:bookmarkEnd w:id="4"/>
      <w:r>
        <w:t xml:space="preserve">Key resources as well as capabilities of the company </w:t>
      </w:r>
    </w:p>
    <w:p w14:paraId="5C6320F3"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SWOT analysis is considered as an important tool to analyse internal resources as well as capabilities of a business. It has been highlighted by </w:t>
      </w:r>
      <w:proofErr w:type="spellStart"/>
      <w:r>
        <w:rPr>
          <w:rFonts w:ascii="Times New Roman" w:eastAsia="Times New Roman" w:hAnsi="Times New Roman" w:cs="Times New Roman"/>
          <w:color w:val="000000"/>
          <w:sz w:val="24"/>
          <w:szCs w:val="24"/>
        </w:rPr>
        <w:t>Benzaghta</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(2021), </w:t>
      </w:r>
      <w:r>
        <w:rPr>
          <w:rFonts w:ascii="Times New Roman" w:eastAsia="Times New Roman" w:hAnsi="Times New Roman" w:cs="Times New Roman"/>
          <w:b/>
          <w:i/>
          <w:color w:val="000000"/>
          <w:sz w:val="24"/>
          <w:szCs w:val="24"/>
        </w:rPr>
        <w:t>SWOT analysis</w:t>
      </w:r>
      <w:r>
        <w:rPr>
          <w:rFonts w:ascii="Times New Roman" w:eastAsia="Times New Roman" w:hAnsi="Times New Roman" w:cs="Times New Roman"/>
          <w:color w:val="000000"/>
          <w:sz w:val="24"/>
          <w:szCs w:val="24"/>
        </w:rPr>
        <w:t xml:space="preserve"> is crucial to identify internal strengths, weaknesses, threats as well as opportunities. According to the application of SWOT analysis on Tesco, it can be stated that the strong retail network is an important resource as well as capability of Tesco </w:t>
      </w:r>
      <w:r>
        <w:rPr>
          <w:rFonts w:ascii="Times New Roman" w:eastAsia="Times New Roman" w:hAnsi="Times New Roman" w:cs="Times New Roman"/>
          <w:b/>
          <w:i/>
          <w:color w:val="000000"/>
          <w:sz w:val="24"/>
          <w:szCs w:val="24"/>
        </w:rPr>
        <w:t>[Refer to appendix C]</w:t>
      </w:r>
      <w:r>
        <w:rPr>
          <w:rFonts w:ascii="Times New Roman" w:eastAsia="Times New Roman" w:hAnsi="Times New Roman" w:cs="Times New Roman"/>
          <w:color w:val="000000"/>
          <w:sz w:val="24"/>
          <w:szCs w:val="24"/>
        </w:rPr>
        <w:t xml:space="preserve">. The first retail network of Tesco includes hypermarkets, convenience, stores and supermarkets. Tesco operates a total of 1998 small convenience stores and 799 large stores across the UK (Statista.com, 2023). The store count of this organisation is significantly higher compared to the market competitors of this company. suppliers of Tesco are categorised as one of the most important resources for this business. Tesco has a wide product range and the requirement of a well-developed supply chain network is crucial to ensure the sustainability of the products. Tesco provides proper attention towards mutual benefit of both the company and the suppliers while establishing relationships. It has more than 5000 companies as its suppliers (Tesco.ie, 2023). more than </w:t>
      </w:r>
      <w:proofErr w:type="spellStart"/>
      <w:r>
        <w:rPr>
          <w:rFonts w:ascii="Times New Roman" w:eastAsia="Times New Roman" w:hAnsi="Times New Roman" w:cs="Times New Roman"/>
          <w:color w:val="000000"/>
          <w:sz w:val="24"/>
          <w:szCs w:val="24"/>
        </w:rPr>
        <w:t>hundred</w:t>
      </w:r>
      <w:proofErr w:type="spellEnd"/>
      <w:r>
        <w:rPr>
          <w:rFonts w:ascii="Times New Roman" w:eastAsia="Times New Roman" w:hAnsi="Times New Roman" w:cs="Times New Roman"/>
          <w:color w:val="000000"/>
          <w:sz w:val="24"/>
          <w:szCs w:val="24"/>
        </w:rPr>
        <w:t xml:space="preserve"> of the total suppliers are strategic partners of Tesco and it helps to develop strategies based on the organisational objectives. </w:t>
      </w:r>
    </w:p>
    <w:p w14:paraId="5C6320F4"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traditional supermarket business was the primary source of income of Tesco for a long time period. However, the Police developers of this organisation have identified the requirements of technological integration and e-commerce in the retail business. Tesco has a strong presence in the e-commerce business sector. For instance the e-commerce sales of Tesco was £8.6 billion in the 2022 financial year and according to the projection it can increase by 20% over the next five years (Statista.com, 2023). Tesco is known for handling a large number of customers on a regular basis and it is considered as the market leader in the grocery business in the UK. Tesco is successful to introduce data analytics strategies within its strategic decision making. Huge customer data is considered as one of the most important resources for a business. Tesco includes a Clubcard loyalty program to collect customer insights in a strategic manner. It helps the business to identify customer preferences and provide personalised offerings to the customers. The marketers of this organisation generally apply targeted marketing initiatives based on valuable insights collected from customer loyalty programs.</w:t>
      </w:r>
    </w:p>
    <w:p w14:paraId="5C6320F5" w14:textId="77777777" w:rsidR="00C30B6C" w:rsidRDefault="003213A1">
      <w:pPr>
        <w:pStyle w:val="Heading1"/>
      </w:pPr>
      <w:bookmarkStart w:id="5" w:name="_2et92p0" w:colFirst="0" w:colLast="0"/>
      <w:bookmarkEnd w:id="5"/>
      <w:r>
        <w:lastRenderedPageBreak/>
        <w:t xml:space="preserve">Implementation of the strategies </w:t>
      </w:r>
    </w:p>
    <w:p w14:paraId="5C6320F6"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Enhancing the market share is one of the primary purposes of Tesco. According to the findings of Kurniawan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(2020), market penetration strategy is important to enhance the overall market share of a business organisation. Tesco is successful in operating small sized convenience stores throughout the UK to enhance its market share. The managers of this organisation are continuously searching for opportunities to open new stores in the locations which are suitable for Tesco. For instance, during 2013, the number of stores of this organisation was 6653 and it was 7305 in 2014. However, the organisation has significantly reduced its stores during 2016. 6733 was the number of Tesco stores in 2016 and this number was 7033 in 2018 (Statista.com, 2023). Most of the stores are located in urban locations as middle to high income candidates are the target audience of Tesco. The financial statement of this organisation can provide proper evidence regarding the successful implementation of the market penetration related strategies. For instance, Tesco and Sainsbury's have the largest market share in the UK as the combination of both organisations hold 41.8% of the total grocery market of the UK in 2023 (Statista.com, 2023).</w:t>
      </w:r>
    </w:p>
    <w:p w14:paraId="5C6320F7"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diversification strategy of Tesco plays an integral role to enhance its revenue in a significant manner. Tesco is a global company and there is increasing competition in the UK. Retail market chain has influenced this organisation to diversify its revenue stream. It has started to focus on new business areas like telecommunications, financial services and non-food products. The banking service of this organisation is successful in generating sustainable profit as £67 million was the adjusted operating profit of Tesco bank during the first half of 2023 (Statista.com, 2023). Tesco is also successful to introduce technological advancement within its business characteristics. For instance, it has significantly improved its online platforms during the Covid outbreak. The Covid outbreak has influenced the business to focus on e-commerce business and the e-commerce business is considered as one of the most sources of revenue generating for this company. The sales value of the e-commerce business of Tesco can reach nearly £10.3 billion by the end of 2027 financial year. The e-commerce business is a great medium for this business to collect customer data and utilise the data in strategic decision-making. Tesco holds 27.2% market share in the UK business market and it highlights the competitive edge of this business over its nearest competitors.</w:t>
      </w:r>
    </w:p>
    <w:p w14:paraId="5C6320F8" w14:textId="77777777" w:rsidR="00C30B6C" w:rsidRDefault="003213A1">
      <w:pPr>
        <w:pStyle w:val="Heading1"/>
      </w:pPr>
      <w:bookmarkStart w:id="6" w:name="_tyjcwt" w:colFirst="0" w:colLast="0"/>
      <w:bookmarkEnd w:id="6"/>
      <w:r>
        <w:t>Sustainability related strategies of the company</w:t>
      </w:r>
    </w:p>
    <w:p w14:paraId="5C6320F9"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CSR initiatives taken by a business organisation play a crucial role to ensure competitive advantage for a business organisation. It has been highlighted by Velte (2022), business organisations are responsible to contribute to societal and community development. CSR initiatives of Tesco include both societal contribution and environmental contributions. For instance, community food connection introduced by Tesco aims to reduce food through distributing surplus food to local community groups and charities (Tescoplc.com, 2023). It works with volunteer organisations to ensure the sustainable distribution of surplus food from its stores. At the end of every business day, the Tesco stores donate surplus food to the individuals with needs.</w:t>
      </w:r>
    </w:p>
    <w:p w14:paraId="5C6320FA"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CSR initiatives of Tesco are not only focused on community development but also focused on environmental sustainability. Tesco is successful in introducing a set of strategies to achieve the net zero targets. All the strategies are focused to achieve carbon neutrality within the operational activities of this organisation by the end of 2035 and the focus of this organisation is to ensure carbon neutrality throughout its value chain by 2050. The organisation has already adopted 100% renewable energy within its operational activities. It has helped the company to achieve absolute emissions reductions throughout its operation of 55% against the baseline of 2015 (Tescoplc.com, 2023).</w:t>
      </w:r>
    </w:p>
    <w:p w14:paraId="5C6320FB"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‘Ethical First’ initiative of Tesco is crucial to ensure ethical characteristics within the internal employees and external suppliers of this organisation. This approach highlights that the organisation is committed to purchasing as well as selling ethically and it has requested its suppliers to consider the concept of ethical implications as a priority. The supplies of this organisation have to ensure transparency throughout the operational activities to meet the ethical standards of this organisation. The UK is the main business market for Tesco and it is a financially developed country. 99% is the literacy rate of the UK and customers of this nation are ever regarding the ethical and sustainable business initiatives taken by business organisations. The sustainable strategies taken by Tesco are helping this organisation to enhance brand reputation and brand awareness. On the other hand, multiple negative aspects associated with ethical concerns of Tesco such as the horsemeat scandal affected the overall brand reputation of Tesco. This organisation has taken initiatives such as targeted and integrated marketing techniques to counter the negative reputation related aspects in a strategic manner. </w:t>
      </w:r>
    </w:p>
    <w:p w14:paraId="5C6320FC" w14:textId="77777777" w:rsidR="00C30B6C" w:rsidRDefault="003213A1">
      <w:pPr>
        <w:pStyle w:val="Heading1"/>
      </w:pPr>
      <w:bookmarkStart w:id="7" w:name="_3dy6vkm" w:colFirst="0" w:colLast="0"/>
      <w:bookmarkEnd w:id="7"/>
      <w:r>
        <w:t xml:space="preserve">Choices available to the company and recommendations </w:t>
      </w:r>
    </w:p>
    <w:p w14:paraId="5C6320FD"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Identifying the available opportunities is considered as one of the most important tasks for a business organisation. Business organisations can utilise the available opportunities and overcome the major barriers to ensure sustainable success. According to the findings of (), technology plays a crucial role in the overall success of a business. Digital business or e-commerce sector is experiencing a huge potential during the recent time period. Tesco the opportunity to integrate its traditional business techniques with advanced technology such as mobile application based business or website based business. It already has a strong presence in the e-commerce sector as the online sales of this organisation are increasing day by day. The organisation can utilise its internal resources to focus more on environmental sustainability. For instance, it can provide electric vehicles to the delivery boys of its online business. Electric vehicles can act as a strong evidence of the commitment of Tesco towards achieving net zero targets.</w:t>
      </w:r>
    </w:p>
    <w:p w14:paraId="5C6320FE"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Implementation of green initiatives within the transportation, overall logistics and distributed centres might be effective for Tesco to ensure environmental sustainability related characteristics. Tesco can make investment in the eco-friendly transportation methods and optimise delivery routes for reducing carbon emissions. Providing comparatively higher focus on renewable energy related solutions for the distribution centres of this organisation can be effective for this business. It demands comparatively higher investment at the initial stage and Tesco has the capability to invest in renewable energy resources. This strategy is not only effective to establish a strong ethical standpoint for Tesco but also effective to reduce its overall operational cost on a long-term basis.</w:t>
      </w:r>
    </w:p>
    <w:p w14:paraId="5C6320FF"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Tesco needs to go beyond food distribution as it can focus on providing free healthcare facilities and education to backward communities. Collaborating with local healthcare centres and local communities to identify the needs of local communities is important in this aspect. The marketers of this organisation can conduct social research to understand the basic requirements of the local community. Utilising advanced technology as well as data analytics to enhance its ability for monitoring as well as managing its sustainability related initiatives can provide more accuracy. Investing in advanced technology such as block chain to ensure the transparency of its supply chain can be beneficial to ensure high ethical standards within its whole supply chain network.</w:t>
      </w:r>
    </w:p>
    <w:p w14:paraId="5C632100" w14:textId="77777777" w:rsidR="00C30B6C" w:rsidRDefault="003213A1">
      <w:pPr>
        <w:pStyle w:val="Heading1"/>
      </w:pPr>
      <w:bookmarkStart w:id="8" w:name="_1t3h5sf" w:colFirst="0" w:colLast="0"/>
      <w:bookmarkEnd w:id="8"/>
      <w:r>
        <w:t xml:space="preserve">Conclusion </w:t>
      </w:r>
    </w:p>
    <w:p w14:paraId="5C632101"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According to the overall discussion, it can be understood that Tesco is the market leader in the market chain industry of the UK. Market penetration strategy is the most important aspect of this business to ensure success on a long-term basis. However, Tesco is committed towards ensuring environmental sustainability. Effective CSR strategies are also helping this business organisation to enhance its brand reputation. It is important for the marketers of this organisation to utilise data analytics for improving environmental sustainability related strategies of the business. Continuous monitoring and continuous development are the two major elements associated with the integral success of Tesco for a long-term basis.</w:t>
      </w:r>
    </w:p>
    <w:p w14:paraId="5C632102" w14:textId="77777777" w:rsidR="00C30B6C" w:rsidRDefault="003213A1">
      <w:pPr>
        <w:rPr>
          <w:rFonts w:ascii="Times New Roman" w:eastAsia="Times New Roman" w:hAnsi="Times New Roman" w:cs="Times New Roman"/>
          <w:sz w:val="24"/>
          <w:szCs w:val="24"/>
        </w:rPr>
      </w:pPr>
      <w:r>
        <w:br w:type="page"/>
      </w:r>
    </w:p>
    <w:p w14:paraId="5C632103" w14:textId="77777777" w:rsidR="00C30B6C" w:rsidRDefault="003213A1">
      <w:pPr>
        <w:pStyle w:val="Heading1"/>
      </w:pPr>
      <w:bookmarkStart w:id="9" w:name="_4d34og8" w:colFirst="0" w:colLast="0"/>
      <w:bookmarkEnd w:id="9"/>
      <w:r>
        <w:lastRenderedPageBreak/>
        <w:t xml:space="preserve">References </w:t>
      </w:r>
    </w:p>
    <w:p w14:paraId="5C632104" w14:textId="77777777" w:rsidR="00C30B6C" w:rsidRDefault="003213A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Benzaghta</w:t>
      </w:r>
      <w:proofErr w:type="spellEnd"/>
      <w:r>
        <w:rPr>
          <w:rFonts w:ascii="Times New Roman" w:eastAsia="Times New Roman" w:hAnsi="Times New Roman" w:cs="Times New Roman"/>
          <w:sz w:val="24"/>
          <w:szCs w:val="24"/>
        </w:rPr>
        <w:t xml:space="preserve">, M.A., </w:t>
      </w:r>
      <w:proofErr w:type="spellStart"/>
      <w:r>
        <w:rPr>
          <w:rFonts w:ascii="Times New Roman" w:eastAsia="Times New Roman" w:hAnsi="Times New Roman" w:cs="Times New Roman"/>
          <w:sz w:val="24"/>
          <w:szCs w:val="24"/>
        </w:rPr>
        <w:t>Elwalda</w:t>
      </w:r>
      <w:proofErr w:type="spellEnd"/>
      <w:r>
        <w:rPr>
          <w:rFonts w:ascii="Times New Roman" w:eastAsia="Times New Roman" w:hAnsi="Times New Roman" w:cs="Times New Roman"/>
          <w:sz w:val="24"/>
          <w:szCs w:val="24"/>
        </w:rPr>
        <w:t>, A., Mousa, M.M., Erkan, I. and Rahman, M., (2021). SWOT analysis applications: An integrative literature review. </w:t>
      </w:r>
      <w:r>
        <w:rPr>
          <w:rFonts w:ascii="Times New Roman" w:eastAsia="Times New Roman" w:hAnsi="Times New Roman" w:cs="Times New Roman"/>
          <w:i/>
          <w:sz w:val="24"/>
          <w:szCs w:val="24"/>
        </w:rPr>
        <w:t>Journal of Global Business Insights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(1), pp.55-73.</w:t>
      </w:r>
    </w:p>
    <w:p w14:paraId="5C632105"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Clarissia, S.M.S., (2020). A study on Ansoff Matrix Technique: As a growth strategy and an adaptive learning technique adopted in the leading brand of products. </w:t>
      </w:r>
      <w:r>
        <w:rPr>
          <w:rFonts w:ascii="Times New Roman" w:eastAsia="Times New Roman" w:hAnsi="Times New Roman" w:cs="Times New Roman"/>
          <w:i/>
          <w:sz w:val="24"/>
          <w:szCs w:val="24"/>
        </w:rPr>
        <w:t>BIMS Journal of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w:t>
      </w:r>
    </w:p>
    <w:p w14:paraId="5C632106"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Kurniawan, D., </w:t>
      </w:r>
      <w:proofErr w:type="spellStart"/>
      <w:r>
        <w:rPr>
          <w:rFonts w:ascii="Times New Roman" w:eastAsia="Times New Roman" w:hAnsi="Times New Roman" w:cs="Times New Roman"/>
          <w:sz w:val="24"/>
          <w:szCs w:val="24"/>
        </w:rPr>
        <w:t>Iswahyudin</w:t>
      </w:r>
      <w:proofErr w:type="spellEnd"/>
      <w:r>
        <w:rPr>
          <w:rFonts w:ascii="Times New Roman" w:eastAsia="Times New Roman" w:hAnsi="Times New Roman" w:cs="Times New Roman"/>
          <w:sz w:val="24"/>
          <w:szCs w:val="24"/>
        </w:rPr>
        <w:t xml:space="preserve">, M.D. and </w:t>
      </w:r>
      <w:proofErr w:type="spellStart"/>
      <w:r>
        <w:rPr>
          <w:rFonts w:ascii="Times New Roman" w:eastAsia="Times New Roman" w:hAnsi="Times New Roman" w:cs="Times New Roman"/>
          <w:sz w:val="24"/>
          <w:szCs w:val="24"/>
        </w:rPr>
        <w:t>Suciati</w:t>
      </w:r>
      <w:proofErr w:type="spellEnd"/>
      <w:r>
        <w:rPr>
          <w:rFonts w:ascii="Times New Roman" w:eastAsia="Times New Roman" w:hAnsi="Times New Roman" w:cs="Times New Roman"/>
          <w:sz w:val="24"/>
          <w:szCs w:val="24"/>
        </w:rPr>
        <w:t>, T.R., (2020). SWOT Analysis and Ansoff Matrix in Creative Food Industry Business Development: A Study on Creative Food Business “Komala”. </w:t>
      </w:r>
      <w:r>
        <w:rPr>
          <w:rFonts w:ascii="Times New Roman" w:eastAsia="Times New Roman" w:hAnsi="Times New Roman" w:cs="Times New Roman"/>
          <w:i/>
          <w:sz w:val="24"/>
          <w:szCs w:val="24"/>
        </w:rPr>
        <w:t>Open Access Indonesia Journal of Social Sciences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(2), pp.128-136.</w:t>
      </w:r>
    </w:p>
    <w:p w14:paraId="5C632107"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(2023).  </w:t>
      </w:r>
      <w:r>
        <w:rPr>
          <w:rFonts w:ascii="Times New Roman" w:eastAsia="Times New Roman" w:hAnsi="Times New Roman" w:cs="Times New Roman"/>
          <w:i/>
          <w:sz w:val="24"/>
          <w:szCs w:val="24"/>
        </w:rPr>
        <w:t>Average number of employees at Tesco in the United Kingdom (UK)* from 2012 to 2023</w:t>
      </w:r>
      <w:r>
        <w:rPr>
          <w:rFonts w:ascii="Times New Roman" w:eastAsia="Times New Roman" w:hAnsi="Times New Roman" w:cs="Times New Roman"/>
          <w:sz w:val="24"/>
          <w:szCs w:val="24"/>
        </w:rPr>
        <w:t>. Available at: https://www.statista.com/statistics/490882/tesco-group-united-kingdom-uk-number-of-employees/ [Accessed on 10.11.2023]</w:t>
      </w:r>
    </w:p>
    <w:p w14:paraId="5C632108"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(2023). </w:t>
      </w:r>
      <w:r>
        <w:rPr>
          <w:rFonts w:ascii="Times New Roman" w:eastAsia="Times New Roman" w:hAnsi="Times New Roman" w:cs="Times New Roman"/>
          <w:i/>
          <w:sz w:val="24"/>
          <w:szCs w:val="24"/>
        </w:rPr>
        <w:t>Annual revenue of Tesco Group in the United Kingdom (UK) and the Republic of Ireland from financial year 2015 to 2023</w:t>
      </w:r>
      <w:r>
        <w:rPr>
          <w:rFonts w:ascii="Times New Roman" w:eastAsia="Times New Roman" w:hAnsi="Times New Roman" w:cs="Times New Roman"/>
          <w:sz w:val="24"/>
          <w:szCs w:val="24"/>
        </w:rPr>
        <w:t>. Available at: https://www.statista.com/statistics/490931/tesco-group-finance-revenue-united-kingdom-uk/ [Accessed on 10.11.2023]</w:t>
      </w:r>
    </w:p>
    <w:p w14:paraId="5C632109"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(2023). </w:t>
      </w:r>
      <w:r>
        <w:rPr>
          <w:rFonts w:ascii="Times New Roman" w:eastAsia="Times New Roman" w:hAnsi="Times New Roman" w:cs="Times New Roman"/>
          <w:i/>
          <w:sz w:val="24"/>
          <w:szCs w:val="24"/>
        </w:rPr>
        <w:t>E-commerce sales value of Tesco in 2022 and 2027</w:t>
      </w:r>
      <w:r>
        <w:rPr>
          <w:rFonts w:ascii="Times New Roman" w:eastAsia="Times New Roman" w:hAnsi="Times New Roman" w:cs="Times New Roman"/>
          <w:sz w:val="24"/>
          <w:szCs w:val="24"/>
        </w:rPr>
        <w:t>. Available at: https://www.statista.com/statistics/1327622/tesco-ecommerce-sales-value/ [Accessed on 10.11.2023]</w:t>
      </w:r>
    </w:p>
    <w:p w14:paraId="5C63210A"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(2023). </w:t>
      </w:r>
      <w:r>
        <w:rPr>
          <w:rFonts w:ascii="Times New Roman" w:eastAsia="Times New Roman" w:hAnsi="Times New Roman" w:cs="Times New Roman"/>
          <w:i/>
          <w:sz w:val="24"/>
          <w:szCs w:val="24"/>
        </w:rPr>
        <w:t>Financial breakdown of Tesco Bank in the United Kingdom (UK) in financial year 2022/23</w:t>
      </w:r>
      <w:r>
        <w:rPr>
          <w:rFonts w:ascii="Times New Roman" w:eastAsia="Times New Roman" w:hAnsi="Times New Roman" w:cs="Times New Roman"/>
          <w:sz w:val="24"/>
          <w:szCs w:val="24"/>
        </w:rPr>
        <w:t>. Available at:  https://www.statista.com/statistics/490835/tesco-bank-financial-review-united-kingdom-uk/#:~:text=This%20statistic%20presents%20the%20breakdown,British%20pounds%20in%20this%20period. [Accessed on 10.11.2023]</w:t>
      </w:r>
    </w:p>
    <w:p w14:paraId="5C63210B"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Statista.com, (2023).</w:t>
      </w:r>
      <w:r>
        <w:t xml:space="preserve"> </w:t>
      </w:r>
      <w:r>
        <w:rPr>
          <w:rFonts w:ascii="Times New Roman" w:eastAsia="Times New Roman" w:hAnsi="Times New Roman" w:cs="Times New Roman"/>
          <w:i/>
          <w:sz w:val="24"/>
          <w:szCs w:val="24"/>
        </w:rPr>
        <w:t>Market share of grocery stores in Great Britain from January 2017 to August 2023</w:t>
      </w:r>
      <w:r>
        <w:rPr>
          <w:rFonts w:ascii="Times New Roman" w:eastAsia="Times New Roman" w:hAnsi="Times New Roman" w:cs="Times New Roman"/>
          <w:sz w:val="24"/>
          <w:szCs w:val="24"/>
        </w:rPr>
        <w:t>. Available at: https://www.statista.com/statistics/280208/grocery-market-share-in-the-united-kingdom-uk/ [Accessed on 10.11.2023]</w:t>
      </w:r>
    </w:p>
    <w:p w14:paraId="5C63210C"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(2023). </w:t>
      </w:r>
      <w:r>
        <w:rPr>
          <w:rFonts w:ascii="Times New Roman" w:eastAsia="Times New Roman" w:hAnsi="Times New Roman" w:cs="Times New Roman"/>
          <w:i/>
          <w:sz w:val="24"/>
          <w:szCs w:val="24"/>
        </w:rPr>
        <w:t>Tesco PLC - statistics &amp; facts</w:t>
      </w:r>
      <w:r>
        <w:rPr>
          <w:rFonts w:ascii="Times New Roman" w:eastAsia="Times New Roman" w:hAnsi="Times New Roman" w:cs="Times New Roman"/>
          <w:sz w:val="24"/>
          <w:szCs w:val="24"/>
        </w:rPr>
        <w:t>. Available at: https://www.statista.com/topics/3807/tesco-plc/#topicOverview [Accessed on 10.11.2023]</w:t>
      </w:r>
    </w:p>
    <w:p w14:paraId="5C63210D"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Statista.com, (2023). </w:t>
      </w:r>
      <w:r>
        <w:rPr>
          <w:rFonts w:ascii="Times New Roman" w:eastAsia="Times New Roman" w:hAnsi="Times New Roman" w:cs="Times New Roman"/>
          <w:i/>
          <w:sz w:val="24"/>
          <w:szCs w:val="24"/>
        </w:rPr>
        <w:t>Tesco's number of stores worldwide from 2008 to 2023</w:t>
      </w:r>
      <w:r>
        <w:rPr>
          <w:rFonts w:ascii="Times New Roman" w:eastAsia="Times New Roman" w:hAnsi="Times New Roman" w:cs="Times New Roman"/>
          <w:sz w:val="24"/>
          <w:szCs w:val="24"/>
        </w:rPr>
        <w:t>. Available at: https://www.statista.com/statistics/238667/tesco-plc-number-of-outlets-worldwide/ [Accessed on 10.11.2023]</w:t>
      </w:r>
    </w:p>
    <w:p w14:paraId="5C63210E"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Tesco.com (2023). </w:t>
      </w:r>
      <w:r>
        <w:rPr>
          <w:rFonts w:ascii="Times New Roman" w:eastAsia="Times New Roman" w:hAnsi="Times New Roman" w:cs="Times New Roman"/>
          <w:i/>
          <w:sz w:val="24"/>
          <w:szCs w:val="24"/>
        </w:rPr>
        <w:t>Clubcard vouchers and offers</w:t>
      </w:r>
      <w:r>
        <w:rPr>
          <w:rFonts w:ascii="Times New Roman" w:eastAsia="Times New Roman" w:hAnsi="Times New Roman" w:cs="Times New Roman"/>
          <w:sz w:val="24"/>
          <w:szCs w:val="24"/>
        </w:rPr>
        <w:t>. Available at:  https://www.tesco.com/clubcard [Accessed on 10.11.2023]</w:t>
      </w:r>
    </w:p>
    <w:p w14:paraId="5C63210F"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Tesco.ie, (2023). </w:t>
      </w:r>
      <w:r>
        <w:rPr>
          <w:rFonts w:ascii="Times New Roman" w:eastAsia="Times New Roman" w:hAnsi="Times New Roman" w:cs="Times New Roman"/>
          <w:i/>
          <w:sz w:val="24"/>
          <w:szCs w:val="24"/>
        </w:rPr>
        <w:t>Our suppliers and Ethical trading</w:t>
      </w:r>
      <w:r>
        <w:rPr>
          <w:rFonts w:ascii="Times New Roman" w:eastAsia="Times New Roman" w:hAnsi="Times New Roman" w:cs="Times New Roman"/>
          <w:sz w:val="24"/>
          <w:szCs w:val="24"/>
        </w:rPr>
        <w:t>. Available at: https://www.tesco.ie/crreview08/downloads/tesco_suppliers_and_ethical_trading.pdf [Accessed on 10.11.2023]</w:t>
      </w:r>
    </w:p>
    <w:p w14:paraId="5C632110"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Tescoplc.com, (2023). </w:t>
      </w:r>
      <w:r>
        <w:rPr>
          <w:rFonts w:ascii="Times New Roman" w:eastAsia="Times New Roman" w:hAnsi="Times New Roman" w:cs="Times New Roman"/>
          <w:i/>
          <w:sz w:val="24"/>
          <w:szCs w:val="24"/>
        </w:rPr>
        <w:t>Our approach to human rights</w:t>
      </w:r>
      <w:r>
        <w:rPr>
          <w:rFonts w:ascii="Times New Roman" w:eastAsia="Times New Roman" w:hAnsi="Times New Roman" w:cs="Times New Roman"/>
          <w:sz w:val="24"/>
          <w:szCs w:val="24"/>
        </w:rPr>
        <w:t>. Available at: https://www.tescoplc.com/sustainability/documents/policies/our-approach-to-human-rights/#:~:text=Under%20this%20approach%2C%20Tesco%20commits,ethical%20performance%2C%20capability%20and%20transparency. [Accessed on 10.11.2023]</w:t>
      </w:r>
    </w:p>
    <w:p w14:paraId="5C632111"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Tescoplc.com, (2023). </w:t>
      </w:r>
      <w:r>
        <w:rPr>
          <w:rFonts w:ascii="Times New Roman" w:eastAsia="Times New Roman" w:hAnsi="Times New Roman" w:cs="Times New Roman"/>
          <w:i/>
          <w:sz w:val="24"/>
          <w:szCs w:val="24"/>
        </w:rPr>
        <w:t>Redistributing surplus food</w:t>
      </w:r>
      <w:r>
        <w:rPr>
          <w:rFonts w:ascii="Times New Roman" w:eastAsia="Times New Roman" w:hAnsi="Times New Roman" w:cs="Times New Roman"/>
          <w:sz w:val="24"/>
          <w:szCs w:val="24"/>
        </w:rPr>
        <w:t>. Available at: https://www.tescoplc.com/sustainability/communities/food-redistribution#:~:text=Redistributing%20surplus%20food,that%20tells%20them%20what's%20available. [Accessed on 10.11.2023]</w:t>
      </w:r>
    </w:p>
    <w:p w14:paraId="5C632112" w14:textId="77777777" w:rsidR="00C30B6C" w:rsidRDefault="003213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Velte, P., (2022). Meta-analyses on corporate social responsibility (CSR): a literature review. </w:t>
      </w:r>
      <w:r>
        <w:rPr>
          <w:rFonts w:ascii="Times New Roman" w:eastAsia="Times New Roman" w:hAnsi="Times New Roman" w:cs="Times New Roman"/>
          <w:i/>
          <w:sz w:val="24"/>
          <w:szCs w:val="24"/>
        </w:rPr>
        <w:t>Management Review Quarterly</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72</w:t>
      </w:r>
      <w:r>
        <w:rPr>
          <w:rFonts w:ascii="Times New Roman" w:eastAsia="Times New Roman" w:hAnsi="Times New Roman" w:cs="Times New Roman"/>
          <w:sz w:val="24"/>
          <w:szCs w:val="24"/>
        </w:rPr>
        <w:t>(3), pp.627-675.</w:t>
      </w:r>
    </w:p>
    <w:p w14:paraId="5C632113" w14:textId="77777777" w:rsidR="00C30B6C" w:rsidRDefault="003213A1">
      <w:pPr>
        <w:rPr>
          <w:rFonts w:ascii="Times New Roman" w:eastAsia="Times New Roman" w:hAnsi="Times New Roman" w:cs="Times New Roman"/>
          <w:sz w:val="24"/>
          <w:szCs w:val="24"/>
        </w:rPr>
      </w:pPr>
      <w:r>
        <w:br w:type="page"/>
      </w:r>
    </w:p>
    <w:p w14:paraId="5C632114" w14:textId="77777777" w:rsidR="00C30B6C" w:rsidRDefault="003213A1">
      <w:pPr>
        <w:pStyle w:val="Heading1"/>
      </w:pPr>
      <w:bookmarkStart w:id="10" w:name="_2s8eyo1" w:colFirst="0" w:colLast="0"/>
      <w:bookmarkEnd w:id="10"/>
      <w:r>
        <w:lastRenderedPageBreak/>
        <w:t xml:space="preserve">Appendices </w:t>
      </w:r>
    </w:p>
    <w:p w14:paraId="5C632115" w14:textId="77777777" w:rsidR="00C30B6C" w:rsidRDefault="003213A1">
      <w:pPr>
        <w:pStyle w:val="Heading2"/>
      </w:pPr>
      <w:bookmarkStart w:id="11" w:name="_17dp8vu" w:colFirst="0" w:colLast="0"/>
      <w:bookmarkEnd w:id="11"/>
      <w:r>
        <w:t>Appendix A: Ansoff's Matrix</w:t>
      </w:r>
    </w:p>
    <w:p w14:paraId="5C632116" w14:textId="77777777" w:rsidR="00C30B6C" w:rsidRDefault="003213A1">
      <w:pPr>
        <w:pBdr>
          <w:top w:val="nil"/>
          <w:left w:val="nil"/>
          <w:bottom w:val="nil"/>
          <w:right w:val="nil"/>
          <w:between w:val="nil"/>
        </w:pBdr>
        <w:rPr>
          <w:color w:val="000000"/>
        </w:rPr>
      </w:pPr>
      <w:r>
        <w:rPr>
          <w:noProof/>
          <w:color w:val="000000"/>
          <w:lang w:eastAsia="en-GB"/>
        </w:rPr>
        <w:drawing>
          <wp:inline distT="0" distB="0" distL="0" distR="0" wp14:anchorId="5C632144" wp14:editId="5C632145">
            <wp:extent cx="5943600" cy="4262343"/>
            <wp:effectExtent l="0" t="0" r="0" b="0"/>
            <wp:docPr id="2" name="image2.png" descr="Ansoff matrix - Wikipedia"/>
            <wp:cNvGraphicFramePr/>
            <a:graphic xmlns:a="http://schemas.openxmlformats.org/drawingml/2006/main">
              <a:graphicData uri="http://schemas.openxmlformats.org/drawingml/2006/picture">
                <pic:pic xmlns:pic="http://schemas.openxmlformats.org/drawingml/2006/picture">
                  <pic:nvPicPr>
                    <pic:cNvPr id="0" name="image2.png" descr="Ansoff matrix - Wikipedia"/>
                    <pic:cNvPicPr preferRelativeResize="0"/>
                  </pic:nvPicPr>
                  <pic:blipFill>
                    <a:blip r:embed="rId9"/>
                    <a:srcRect/>
                    <a:stretch>
                      <a:fillRect/>
                    </a:stretch>
                  </pic:blipFill>
                  <pic:spPr>
                    <a:xfrm>
                      <a:off x="0" y="0"/>
                      <a:ext cx="5943600" cy="4262343"/>
                    </a:xfrm>
                    <a:prstGeom prst="rect">
                      <a:avLst/>
                    </a:prstGeom>
                    <a:ln/>
                  </pic:spPr>
                </pic:pic>
              </a:graphicData>
            </a:graphic>
          </wp:inline>
        </w:drawing>
      </w:r>
    </w:p>
    <w:p w14:paraId="5C632117" w14:textId="77777777" w:rsidR="00C30B6C" w:rsidRDefault="003213A1">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Zugay, B. and Zakaria, R., (2023). Ansoff Matrix.)</w:t>
      </w:r>
    </w:p>
    <w:p w14:paraId="5C632118" w14:textId="77777777" w:rsidR="00C30B6C" w:rsidRDefault="00C30B6C">
      <w:pPr>
        <w:spacing w:line="360" w:lineRule="auto"/>
        <w:jc w:val="both"/>
        <w:rPr>
          <w:rFonts w:ascii="Times New Roman" w:eastAsia="Times New Roman" w:hAnsi="Times New Roman" w:cs="Times New Roman"/>
          <w:sz w:val="24"/>
          <w:szCs w:val="24"/>
        </w:rPr>
      </w:pPr>
    </w:p>
    <w:p w14:paraId="5C632119" w14:textId="77777777" w:rsidR="00C30B6C" w:rsidRDefault="003213A1">
      <w:pPr>
        <w:pStyle w:val="Heading2"/>
      </w:pPr>
      <w:bookmarkStart w:id="12" w:name="_3rdcrjn" w:colFirst="0" w:colLast="0"/>
      <w:bookmarkEnd w:id="12"/>
      <w:r>
        <w:t>Appendix B: Porter's five forces</w:t>
      </w:r>
    </w:p>
    <w:tbl>
      <w:tblPr>
        <w:tblStyle w:val="a"/>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788"/>
      </w:tblGrid>
      <w:tr w:rsidR="00C30B6C" w14:paraId="5C63211C" w14:textId="77777777">
        <w:tc>
          <w:tcPr>
            <w:tcW w:w="4788" w:type="dxa"/>
          </w:tcPr>
          <w:p w14:paraId="5C63211A"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Forces </w:t>
            </w:r>
          </w:p>
        </w:tc>
        <w:tc>
          <w:tcPr>
            <w:tcW w:w="4788" w:type="dxa"/>
          </w:tcPr>
          <w:p w14:paraId="5C63211B"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Impact </w:t>
            </w:r>
          </w:p>
        </w:tc>
      </w:tr>
      <w:tr w:rsidR="00C30B6C" w14:paraId="5C63211F" w14:textId="77777777">
        <w:tc>
          <w:tcPr>
            <w:tcW w:w="4788" w:type="dxa"/>
          </w:tcPr>
          <w:p w14:paraId="5C63211D"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Industry rivalry </w:t>
            </w:r>
          </w:p>
        </w:tc>
        <w:tc>
          <w:tcPr>
            <w:tcW w:w="4788" w:type="dxa"/>
          </w:tcPr>
          <w:p w14:paraId="5C63211E"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High </w:t>
            </w:r>
          </w:p>
        </w:tc>
      </w:tr>
      <w:tr w:rsidR="00C30B6C" w14:paraId="5C632122" w14:textId="77777777">
        <w:tc>
          <w:tcPr>
            <w:tcW w:w="4788" w:type="dxa"/>
          </w:tcPr>
          <w:p w14:paraId="5C632120"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Bargaining power of the suppliers </w:t>
            </w:r>
          </w:p>
        </w:tc>
        <w:tc>
          <w:tcPr>
            <w:tcW w:w="4788" w:type="dxa"/>
          </w:tcPr>
          <w:p w14:paraId="5C632121"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Low </w:t>
            </w:r>
          </w:p>
        </w:tc>
      </w:tr>
      <w:tr w:rsidR="00C30B6C" w14:paraId="5C632125" w14:textId="77777777">
        <w:tc>
          <w:tcPr>
            <w:tcW w:w="4788" w:type="dxa"/>
          </w:tcPr>
          <w:p w14:paraId="5C632123"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Bargaining power of the customers </w:t>
            </w:r>
          </w:p>
        </w:tc>
        <w:tc>
          <w:tcPr>
            <w:tcW w:w="4788" w:type="dxa"/>
          </w:tcPr>
          <w:p w14:paraId="5C632124"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High </w:t>
            </w:r>
          </w:p>
        </w:tc>
      </w:tr>
      <w:tr w:rsidR="00C30B6C" w14:paraId="5C632128" w14:textId="77777777">
        <w:tc>
          <w:tcPr>
            <w:tcW w:w="4788" w:type="dxa"/>
          </w:tcPr>
          <w:p w14:paraId="5C632126"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Threats of new entrants </w:t>
            </w:r>
          </w:p>
        </w:tc>
        <w:tc>
          <w:tcPr>
            <w:tcW w:w="4788" w:type="dxa"/>
          </w:tcPr>
          <w:p w14:paraId="5C632127"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High </w:t>
            </w:r>
          </w:p>
        </w:tc>
      </w:tr>
      <w:tr w:rsidR="00C30B6C" w14:paraId="5C63212B" w14:textId="77777777">
        <w:tc>
          <w:tcPr>
            <w:tcW w:w="4788" w:type="dxa"/>
          </w:tcPr>
          <w:p w14:paraId="5C632129"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Threats of substitutes </w:t>
            </w:r>
          </w:p>
        </w:tc>
        <w:tc>
          <w:tcPr>
            <w:tcW w:w="4788" w:type="dxa"/>
          </w:tcPr>
          <w:p w14:paraId="5C63212A"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High </w:t>
            </w:r>
          </w:p>
        </w:tc>
      </w:tr>
    </w:tbl>
    <w:p w14:paraId="5C63212C" w14:textId="77777777" w:rsidR="00C30B6C" w:rsidRDefault="00C30B6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C63212D" w14:textId="77777777" w:rsidR="00C30B6C" w:rsidRDefault="00C30B6C">
      <w:pPr>
        <w:pBdr>
          <w:top w:val="nil"/>
          <w:left w:val="nil"/>
          <w:bottom w:val="nil"/>
          <w:right w:val="nil"/>
          <w:between w:val="nil"/>
        </w:pBdr>
        <w:rPr>
          <w:color w:val="000000"/>
        </w:rPr>
      </w:pPr>
    </w:p>
    <w:p w14:paraId="5C63212E" w14:textId="77777777" w:rsidR="00C30B6C" w:rsidRDefault="00C30B6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C63212F" w14:textId="77777777" w:rsidR="00C30B6C" w:rsidRDefault="003213A1">
      <w:pPr>
        <w:pStyle w:val="Heading2"/>
      </w:pPr>
      <w:bookmarkStart w:id="13" w:name="_26in1rg" w:colFirst="0" w:colLast="0"/>
      <w:bookmarkEnd w:id="13"/>
      <w:r>
        <w:lastRenderedPageBreak/>
        <w:t>Appendix C: SWOT</w:t>
      </w:r>
    </w:p>
    <w:tbl>
      <w:tblPr>
        <w:tblStyle w:val="a0"/>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788"/>
      </w:tblGrid>
      <w:tr w:rsidR="00C30B6C" w14:paraId="5C632139" w14:textId="77777777">
        <w:tc>
          <w:tcPr>
            <w:tcW w:w="4788" w:type="dxa"/>
          </w:tcPr>
          <w:p w14:paraId="5C632130"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Strengths</w:t>
            </w:r>
          </w:p>
          <w:p w14:paraId="5C632131" w14:textId="77777777" w:rsidR="00C30B6C" w:rsidRDefault="003213A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Retail Network</w:t>
            </w:r>
          </w:p>
          <w:p w14:paraId="5C632132" w14:textId="77777777" w:rsidR="00C30B6C" w:rsidRDefault="003213A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Supply Chain Management</w:t>
            </w:r>
          </w:p>
          <w:p w14:paraId="5C632133" w14:textId="77777777" w:rsidR="00C30B6C" w:rsidRDefault="003213A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Technology and E-commerce</w:t>
            </w:r>
          </w:p>
          <w:p w14:paraId="5C632134" w14:textId="77777777" w:rsidR="00C30B6C" w:rsidRDefault="003213A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Data Analytics and Customer Insights</w:t>
            </w:r>
          </w:p>
        </w:tc>
        <w:tc>
          <w:tcPr>
            <w:tcW w:w="4788" w:type="dxa"/>
          </w:tcPr>
          <w:p w14:paraId="5C632135"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Weaknesses </w:t>
            </w:r>
          </w:p>
          <w:p w14:paraId="5C632136" w14:textId="77777777" w:rsidR="00C30B6C" w:rsidRDefault="003213A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Online Competition</w:t>
            </w:r>
          </w:p>
          <w:p w14:paraId="5C632137" w14:textId="77777777" w:rsidR="00C30B6C" w:rsidRDefault="003213A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Dependence on the UK Market</w:t>
            </w:r>
          </w:p>
          <w:p w14:paraId="5C632138" w14:textId="77777777" w:rsidR="00C30B6C" w:rsidRDefault="00C30B6C">
            <w:pPr>
              <w:pBdr>
                <w:top w:val="nil"/>
                <w:left w:val="nil"/>
                <w:bottom w:val="nil"/>
                <w:right w:val="nil"/>
                <w:between w:val="nil"/>
              </w:pBdr>
              <w:spacing w:line="360" w:lineRule="auto"/>
              <w:ind w:left="360"/>
              <w:jc w:val="both"/>
              <w:rPr>
                <w:rFonts w:ascii="Times New Roman" w:eastAsia="Times New Roman" w:hAnsi="Times New Roman" w:cs="Times New Roman"/>
                <w:color w:val="000000"/>
                <w:sz w:val="24"/>
                <w:szCs w:val="24"/>
              </w:rPr>
            </w:pPr>
          </w:p>
        </w:tc>
      </w:tr>
      <w:tr w:rsidR="00C30B6C" w14:paraId="5C63213F" w14:textId="77777777">
        <w:tc>
          <w:tcPr>
            <w:tcW w:w="4788" w:type="dxa"/>
          </w:tcPr>
          <w:p w14:paraId="5C63213A"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Threats </w:t>
            </w:r>
          </w:p>
          <w:p w14:paraId="5C63213B" w14:textId="77777777" w:rsidR="00C30B6C" w:rsidRDefault="003213A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Supply chain issues</w:t>
            </w:r>
          </w:p>
          <w:p w14:paraId="5C63213C" w14:textId="77777777" w:rsidR="00C30B6C" w:rsidRDefault="003213A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Huge competition </w:t>
            </w:r>
          </w:p>
        </w:tc>
        <w:tc>
          <w:tcPr>
            <w:tcW w:w="4788" w:type="dxa"/>
          </w:tcPr>
          <w:p w14:paraId="5C63213D" w14:textId="77777777" w:rsidR="00C30B6C" w:rsidRDefault="003213A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Opportunities </w:t>
            </w:r>
          </w:p>
          <w:p w14:paraId="5C63213E" w14:textId="77777777" w:rsidR="00C30B6C" w:rsidRDefault="003213A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Growth of e-commerce </w:t>
            </w:r>
          </w:p>
        </w:tc>
      </w:tr>
    </w:tbl>
    <w:p w14:paraId="5C632140" w14:textId="77777777" w:rsidR="00C30B6C" w:rsidRDefault="00C30B6C">
      <w:pPr>
        <w:pBdr>
          <w:top w:val="nil"/>
          <w:left w:val="nil"/>
          <w:bottom w:val="nil"/>
          <w:right w:val="nil"/>
          <w:between w:val="nil"/>
        </w:pBdr>
        <w:rPr>
          <w:color w:val="000000"/>
        </w:rPr>
      </w:pPr>
    </w:p>
    <w:p w14:paraId="5C632141" w14:textId="77777777" w:rsidR="00C30B6C" w:rsidRDefault="00C30B6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sectPr w:rsidR="00C30B6C" w:rsidSect="005105CE">
      <w:footerReference w:type="default" r:id="rId10"/>
      <w:headerReference w:type="first" r:id="rId1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AF3CF3" w14:textId="77777777" w:rsidR="006E05B3" w:rsidRDefault="006E05B3">
      <w:pPr>
        <w:spacing w:line="240" w:lineRule="auto"/>
      </w:pPr>
      <w:r>
        <w:separator/>
      </w:r>
    </w:p>
  </w:endnote>
  <w:endnote w:type="continuationSeparator" w:id="0">
    <w:p w14:paraId="5E47DF38" w14:textId="77777777" w:rsidR="006E05B3" w:rsidRDefault="006E05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Calibri"/>
    <w:charset w:val="00"/>
    <w:family w:val="auto"/>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632146" w14:textId="5867CB02" w:rsidR="00C30B6C" w:rsidRPr="005105CE" w:rsidRDefault="003213A1">
    <w:pPr>
      <w:pBdr>
        <w:top w:val="nil"/>
        <w:left w:val="nil"/>
        <w:bottom w:val="nil"/>
        <w:right w:val="nil"/>
        <w:between w:val="nil"/>
      </w:pBdr>
      <w:tabs>
        <w:tab w:val="center" w:pos="4680"/>
        <w:tab w:val="right" w:pos="9360"/>
      </w:tabs>
      <w:spacing w:line="240" w:lineRule="auto"/>
      <w:jc w:val="right"/>
      <w:rPr>
        <w:rFonts w:ascii="Times New Roman" w:hAnsi="Times New Roman" w:cs="Times New Roman"/>
        <w:color w:val="000000"/>
        <w:sz w:val="20"/>
        <w:szCs w:val="20"/>
      </w:rPr>
    </w:pPr>
    <w:r w:rsidRPr="005105CE">
      <w:rPr>
        <w:rFonts w:ascii="Times New Roman" w:hAnsi="Times New Roman" w:cs="Times New Roman"/>
        <w:color w:val="000000"/>
        <w:sz w:val="20"/>
        <w:szCs w:val="20"/>
      </w:rPr>
      <w:fldChar w:fldCharType="begin"/>
    </w:r>
    <w:r w:rsidRPr="005105CE">
      <w:rPr>
        <w:rFonts w:ascii="Times New Roman" w:hAnsi="Times New Roman" w:cs="Times New Roman"/>
        <w:color w:val="000000"/>
        <w:sz w:val="20"/>
        <w:szCs w:val="20"/>
      </w:rPr>
      <w:instrText>PAGE</w:instrText>
    </w:r>
    <w:r w:rsidRPr="005105CE">
      <w:rPr>
        <w:rFonts w:ascii="Times New Roman" w:hAnsi="Times New Roman" w:cs="Times New Roman"/>
        <w:color w:val="000000"/>
        <w:sz w:val="20"/>
        <w:szCs w:val="20"/>
      </w:rPr>
      <w:fldChar w:fldCharType="separate"/>
    </w:r>
    <w:r w:rsidR="00AC0E3A">
      <w:rPr>
        <w:rFonts w:ascii="Times New Roman" w:hAnsi="Times New Roman" w:cs="Times New Roman"/>
        <w:noProof/>
        <w:color w:val="000000"/>
        <w:sz w:val="20"/>
        <w:szCs w:val="20"/>
      </w:rPr>
      <w:t>8</w:t>
    </w:r>
    <w:r w:rsidRPr="005105CE">
      <w:rPr>
        <w:rFonts w:ascii="Times New Roman" w:hAnsi="Times New Roman" w:cs="Times New Roman"/>
        <w:color w:val="000000"/>
        <w:sz w:val="20"/>
        <w:szCs w:val="20"/>
      </w:rPr>
      <w:fldChar w:fldCharType="end"/>
    </w:r>
  </w:p>
  <w:p w14:paraId="5C632147" w14:textId="77777777" w:rsidR="00C30B6C" w:rsidRDefault="00C30B6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81631E" w14:textId="77777777" w:rsidR="006E05B3" w:rsidRDefault="006E05B3">
      <w:pPr>
        <w:spacing w:line="240" w:lineRule="auto"/>
      </w:pPr>
      <w:r>
        <w:separator/>
      </w:r>
    </w:p>
  </w:footnote>
  <w:footnote w:type="continuationSeparator" w:id="0">
    <w:p w14:paraId="778F7C2C" w14:textId="77777777" w:rsidR="006E05B3" w:rsidRDefault="006E05B3">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2ED0AF" w14:textId="49D8EFD2" w:rsidR="003213A1" w:rsidRDefault="003213A1">
    <w:pPr>
      <w:pStyle w:val="Header"/>
    </w:pPr>
    <w:r w:rsidRPr="00D966B1">
      <w:rPr>
        <w:noProof/>
        <w:lang w:eastAsia="en-GB"/>
      </w:rPr>
      <w:drawing>
        <wp:anchor distT="0" distB="0" distL="114300" distR="114300" simplePos="0" relativeHeight="251659264" behindDoc="1" locked="0" layoutInCell="1" allowOverlap="1" wp14:anchorId="227519BE" wp14:editId="79E80B97">
          <wp:simplePos x="0" y="0"/>
          <wp:positionH relativeFrom="margin">
            <wp:align>left</wp:align>
          </wp:positionH>
          <wp:positionV relativeFrom="paragraph">
            <wp:posOffset>-119063</wp:posOffset>
          </wp:positionV>
          <wp:extent cx="1357313" cy="574913"/>
          <wp:effectExtent l="0" t="0" r="0" b="0"/>
          <wp:wrapNone/>
          <wp:docPr id="280763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763727" name=""/>
                  <pic:cNvPicPr/>
                </pic:nvPicPr>
                <pic:blipFill>
                  <a:blip r:embed="rId1">
                    <a:extLst>
                      <a:ext uri="{28A0092B-C50C-407E-A947-70E740481C1C}">
                        <a14:useLocalDpi xmlns:a14="http://schemas.microsoft.com/office/drawing/2010/main" val="0"/>
                      </a:ext>
                    </a:extLst>
                  </a:blip>
                  <a:stretch>
                    <a:fillRect/>
                  </a:stretch>
                </pic:blipFill>
                <pic:spPr>
                  <a:xfrm>
                    <a:off x="0" y="0"/>
                    <a:ext cx="1357313" cy="574913"/>
                  </a:xfrm>
                  <a:prstGeom prst="rect">
                    <a:avLst/>
                  </a:prstGeom>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EC678D"/>
    <w:multiLevelType w:val="multilevel"/>
    <w:tmpl w:val="C36EF6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0B6C"/>
    <w:rsid w:val="00194A55"/>
    <w:rsid w:val="003213A1"/>
    <w:rsid w:val="005105CE"/>
    <w:rsid w:val="006E05B3"/>
    <w:rsid w:val="00AC0E3A"/>
    <w:rsid w:val="00C30B6C"/>
    <w:rsid w:val="00E727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32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120" w:after="120"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
    <w:next w:val="Normal"/>
    <w:uiPriority w:val="9"/>
    <w:unhideWhenUsed/>
    <w:qFormat/>
    <w:pPr>
      <w:pBdr>
        <w:top w:val="nil"/>
        <w:left w:val="nil"/>
        <w:bottom w:val="nil"/>
        <w:right w:val="nil"/>
        <w:between w:val="nil"/>
      </w:pBdr>
      <w:spacing w:before="120" w:after="12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pPr>
      <w:spacing w:line="240" w:lineRule="auto"/>
    </w:pPr>
    <w:tblPr>
      <w:tblStyleRowBandSize w:val="1"/>
      <w:tblStyleColBandSize w:val="1"/>
      <w:tblInd w:w="0" w:type="dxa"/>
      <w:tblCellMar>
        <w:top w:w="0" w:type="dxa"/>
        <w:left w:w="108" w:type="dxa"/>
        <w:bottom w:w="0" w:type="dxa"/>
        <w:right w:w="108" w:type="dxa"/>
      </w:tblCellMar>
    </w:tblPr>
  </w:style>
  <w:style w:type="paragraph" w:styleId="Header">
    <w:name w:val="header"/>
    <w:basedOn w:val="Normal"/>
    <w:link w:val="HeaderChar"/>
    <w:uiPriority w:val="99"/>
    <w:unhideWhenUsed/>
    <w:rsid w:val="005105CE"/>
    <w:pPr>
      <w:tabs>
        <w:tab w:val="center" w:pos="4513"/>
        <w:tab w:val="right" w:pos="9026"/>
      </w:tabs>
      <w:spacing w:line="240" w:lineRule="auto"/>
    </w:pPr>
  </w:style>
  <w:style w:type="character" w:customStyle="1" w:styleId="HeaderChar">
    <w:name w:val="Header Char"/>
    <w:basedOn w:val="DefaultParagraphFont"/>
    <w:link w:val="Header"/>
    <w:uiPriority w:val="99"/>
    <w:rsid w:val="005105CE"/>
  </w:style>
  <w:style w:type="paragraph" w:styleId="Footer">
    <w:name w:val="footer"/>
    <w:basedOn w:val="Normal"/>
    <w:link w:val="FooterChar"/>
    <w:uiPriority w:val="99"/>
    <w:unhideWhenUsed/>
    <w:rsid w:val="005105CE"/>
    <w:pPr>
      <w:tabs>
        <w:tab w:val="center" w:pos="4513"/>
        <w:tab w:val="right" w:pos="9026"/>
      </w:tabs>
      <w:spacing w:line="240" w:lineRule="auto"/>
    </w:pPr>
  </w:style>
  <w:style w:type="character" w:customStyle="1" w:styleId="FooterChar">
    <w:name w:val="Footer Char"/>
    <w:basedOn w:val="DefaultParagraphFont"/>
    <w:link w:val="Footer"/>
    <w:uiPriority w:val="99"/>
    <w:rsid w:val="005105CE"/>
  </w:style>
  <w:style w:type="paragraph" w:styleId="BalloonText">
    <w:name w:val="Balloon Text"/>
    <w:basedOn w:val="Normal"/>
    <w:link w:val="BalloonTextChar"/>
    <w:uiPriority w:val="99"/>
    <w:semiHidden/>
    <w:unhideWhenUsed/>
    <w:rsid w:val="00AC0E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0E3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120" w:after="120"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
    <w:next w:val="Normal"/>
    <w:uiPriority w:val="9"/>
    <w:unhideWhenUsed/>
    <w:qFormat/>
    <w:pPr>
      <w:pBdr>
        <w:top w:val="nil"/>
        <w:left w:val="nil"/>
        <w:bottom w:val="nil"/>
        <w:right w:val="nil"/>
        <w:between w:val="nil"/>
      </w:pBdr>
      <w:spacing w:before="120" w:after="12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pPr>
      <w:spacing w:line="240" w:lineRule="auto"/>
    </w:pPr>
    <w:tblPr>
      <w:tblStyleRowBandSize w:val="1"/>
      <w:tblStyleColBandSize w:val="1"/>
      <w:tblInd w:w="0" w:type="dxa"/>
      <w:tblCellMar>
        <w:top w:w="0" w:type="dxa"/>
        <w:left w:w="108" w:type="dxa"/>
        <w:bottom w:w="0" w:type="dxa"/>
        <w:right w:w="108" w:type="dxa"/>
      </w:tblCellMar>
    </w:tblPr>
  </w:style>
  <w:style w:type="paragraph" w:styleId="Header">
    <w:name w:val="header"/>
    <w:basedOn w:val="Normal"/>
    <w:link w:val="HeaderChar"/>
    <w:uiPriority w:val="99"/>
    <w:unhideWhenUsed/>
    <w:rsid w:val="005105CE"/>
    <w:pPr>
      <w:tabs>
        <w:tab w:val="center" w:pos="4513"/>
        <w:tab w:val="right" w:pos="9026"/>
      </w:tabs>
      <w:spacing w:line="240" w:lineRule="auto"/>
    </w:pPr>
  </w:style>
  <w:style w:type="character" w:customStyle="1" w:styleId="HeaderChar">
    <w:name w:val="Header Char"/>
    <w:basedOn w:val="DefaultParagraphFont"/>
    <w:link w:val="Header"/>
    <w:uiPriority w:val="99"/>
    <w:rsid w:val="005105CE"/>
  </w:style>
  <w:style w:type="paragraph" w:styleId="Footer">
    <w:name w:val="footer"/>
    <w:basedOn w:val="Normal"/>
    <w:link w:val="FooterChar"/>
    <w:uiPriority w:val="99"/>
    <w:unhideWhenUsed/>
    <w:rsid w:val="005105CE"/>
    <w:pPr>
      <w:tabs>
        <w:tab w:val="center" w:pos="4513"/>
        <w:tab w:val="right" w:pos="9026"/>
      </w:tabs>
      <w:spacing w:line="240" w:lineRule="auto"/>
    </w:pPr>
  </w:style>
  <w:style w:type="character" w:customStyle="1" w:styleId="FooterChar">
    <w:name w:val="Footer Char"/>
    <w:basedOn w:val="DefaultParagraphFont"/>
    <w:link w:val="Footer"/>
    <w:uiPriority w:val="99"/>
    <w:rsid w:val="005105CE"/>
  </w:style>
  <w:style w:type="paragraph" w:styleId="BalloonText">
    <w:name w:val="Balloon Text"/>
    <w:basedOn w:val="Normal"/>
    <w:link w:val="BalloonTextChar"/>
    <w:uiPriority w:val="99"/>
    <w:semiHidden/>
    <w:unhideWhenUsed/>
    <w:rsid w:val="00AC0E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0E3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3174</Words>
  <Characters>18095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2023-12-11T15:43:00Z</dcterms:created>
  <dcterms:modified xsi:type="dcterms:W3CDTF">2023-12-11T15:43:00Z</dcterms:modified>
</cp:coreProperties>
</file>