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3756FD5"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E37D8">
        <w:rPr>
          <w:rFonts w:asciiTheme="minorBidi" w:hAnsiTheme="minorBidi"/>
          <w:sz w:val="28"/>
          <w:szCs w:val="28"/>
        </w:rPr>
        <w:t xml:space="preserve">Asima Bibi </w:t>
      </w:r>
    </w:p>
    <w:p w14:paraId="485B6F49" w14:textId="071A30B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D0723">
        <w:rPr>
          <w:rFonts w:asciiTheme="minorBidi" w:hAnsiTheme="minorBidi"/>
          <w:sz w:val="28"/>
          <w:szCs w:val="28"/>
        </w:rPr>
        <w:t>2225758</w:t>
      </w:r>
    </w:p>
    <w:p w14:paraId="3C1E7A20" w14:textId="6BA8481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15F55">
        <w:rPr>
          <w:rFonts w:asciiTheme="minorBidi" w:hAnsiTheme="minorBidi"/>
          <w:sz w:val="28"/>
          <w:szCs w:val="28"/>
        </w:rPr>
        <w:t>LC</w:t>
      </w:r>
      <w:r w:rsidR="00CE3905">
        <w:rPr>
          <w:rFonts w:asciiTheme="minorBidi" w:hAnsiTheme="minorBidi"/>
          <w:sz w:val="28"/>
          <w:szCs w:val="28"/>
        </w:rPr>
        <w:t>HS4001</w:t>
      </w:r>
    </w:p>
    <w:p w14:paraId="4EEB2DA3" w14:textId="0583AD1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E3905">
        <w:rPr>
          <w:rFonts w:asciiTheme="minorBidi" w:hAnsiTheme="minorBidi"/>
          <w:sz w:val="28"/>
          <w:szCs w:val="28"/>
        </w:rPr>
        <w:t>Academic and Employabi</w:t>
      </w:r>
      <w:r w:rsidR="001A703A">
        <w:rPr>
          <w:rFonts w:asciiTheme="minorBidi" w:hAnsiTheme="minorBidi"/>
          <w:sz w:val="28"/>
          <w:szCs w:val="28"/>
        </w:rPr>
        <w:t>lity Skill</w:t>
      </w:r>
    </w:p>
    <w:p w14:paraId="112342CB" w14:textId="22520E7F"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A703A">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2C879BB"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2D4D99">
        <w:rPr>
          <w:rFonts w:asciiTheme="minorBidi" w:hAnsiTheme="minorBidi"/>
          <w:sz w:val="28"/>
          <w:szCs w:val="28"/>
        </w:rPr>
        <w:t>20 November 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B63E949" w:rsidR="00183CB9" w:rsidRDefault="00183CB9" w:rsidP="00215EC9">
          <w:pPr>
            <w:pStyle w:val="TOC2"/>
            <w:numPr>
              <w:ilvl w:val="1"/>
              <w:numId w:val="24"/>
            </w:numPr>
          </w:pPr>
          <w:hyperlink w:anchor="_Toc212100518" w:history="1">
            <w:r w:rsidRPr="00CC44F1">
              <w:rPr>
                <w:rStyle w:val="Hyperlink"/>
              </w:rPr>
              <w:t>Introduction</w:t>
            </w:r>
            <w:r>
              <w:rPr>
                <w:webHidden/>
              </w:rPr>
              <w:tab/>
            </w:r>
            <w:r>
              <w:rPr>
                <w:webHidden/>
              </w:rPr>
              <w:fldChar w:fldCharType="begin"/>
            </w:r>
            <w:r>
              <w:rPr>
                <w:webHidden/>
              </w:rPr>
              <w:instrText xml:space="preserve"> PAGEREF _Toc212100518 \h </w:instrText>
            </w:r>
            <w:r>
              <w:rPr>
                <w:webHidden/>
              </w:rPr>
            </w:r>
            <w:r>
              <w:rPr>
                <w:webHidden/>
              </w:rPr>
              <w:fldChar w:fldCharType="separate"/>
            </w:r>
            <w:r>
              <w:rPr>
                <w:webHidden/>
              </w:rPr>
              <w:t>3</w:t>
            </w:r>
            <w:r>
              <w:rPr>
                <w:webHidden/>
              </w:rPr>
              <w:fldChar w:fldCharType="end"/>
            </w:r>
          </w:hyperlink>
        </w:p>
        <w:p w14:paraId="7777D644" w14:textId="7C2826CC" w:rsidR="00215EC9" w:rsidRPr="00993796" w:rsidRDefault="00215EC9" w:rsidP="00215EC9">
          <w:pPr>
            <w:pStyle w:val="Heading2"/>
            <w:numPr>
              <w:ilvl w:val="1"/>
              <w:numId w:val="24"/>
            </w:numPr>
            <w:rPr>
              <w:b/>
              <w:bCs/>
              <w:color w:val="4472C4" w:themeColor="accent1"/>
              <w:sz w:val="24"/>
              <w:szCs w:val="24"/>
            </w:rPr>
          </w:pPr>
          <w:r w:rsidRPr="00993796">
            <w:rPr>
              <w:b/>
              <w:bCs/>
              <w:color w:val="4472C4" w:themeColor="accent1"/>
              <w:sz w:val="24"/>
              <w:szCs w:val="24"/>
            </w:rPr>
            <w:t>Description of, and background to specialist nurse in healthcare.</w:t>
          </w:r>
        </w:p>
        <w:p w14:paraId="32CFE387" w14:textId="75112A00" w:rsidR="00DE6ED8" w:rsidRPr="00993796" w:rsidRDefault="00DE6ED8" w:rsidP="00DE6ED8">
          <w:pPr>
            <w:spacing w:after="0" w:line="240" w:lineRule="auto"/>
            <w:jc w:val="both"/>
            <w:rPr>
              <w:rFonts w:ascii="Arial" w:hAnsi="Arial" w:cs="Arial"/>
              <w:b/>
              <w:bCs/>
              <w:color w:val="4472C4" w:themeColor="accent1"/>
              <w:szCs w:val="20"/>
            </w:rPr>
          </w:pPr>
          <w:r w:rsidRPr="00215EC9">
            <w:rPr>
              <w:color w:val="4472C4" w:themeColor="accent1"/>
              <w:sz w:val="28"/>
              <w:szCs w:val="28"/>
            </w:rPr>
            <w:t xml:space="preserve">   </w:t>
          </w:r>
          <w:r w:rsidRPr="00215EC9">
            <w:rPr>
              <w:b/>
              <w:bCs/>
              <w:color w:val="4472C4" w:themeColor="accent1"/>
              <w:szCs w:val="20"/>
            </w:rPr>
            <w:t xml:space="preserve">1.3 Evaluation of the skills needed for </w:t>
          </w:r>
          <w:r w:rsidR="00355787">
            <w:rPr>
              <w:b/>
              <w:bCs/>
              <w:color w:val="4472C4" w:themeColor="accent1"/>
              <w:szCs w:val="20"/>
            </w:rPr>
            <w:t xml:space="preserve">specialist </w:t>
          </w:r>
          <w:proofErr w:type="gramStart"/>
          <w:r w:rsidR="00355787">
            <w:rPr>
              <w:b/>
              <w:bCs/>
              <w:color w:val="4472C4" w:themeColor="accent1"/>
              <w:szCs w:val="20"/>
            </w:rPr>
            <w:t xml:space="preserve">nurse </w:t>
          </w:r>
          <w:r w:rsidRPr="00215EC9">
            <w:rPr>
              <w:b/>
              <w:bCs/>
              <w:color w:val="4472C4" w:themeColor="accent1"/>
              <w:szCs w:val="20"/>
            </w:rPr>
            <w:t xml:space="preserve"> in</w:t>
          </w:r>
          <w:proofErr w:type="gramEnd"/>
          <w:r w:rsidRPr="00215EC9">
            <w:rPr>
              <w:b/>
              <w:bCs/>
              <w:color w:val="4472C4" w:themeColor="accent1"/>
              <w:szCs w:val="20"/>
            </w:rPr>
            <w:t xml:space="preserve"> </w:t>
          </w:r>
          <w:r w:rsidRPr="00215EC9">
            <w:rPr>
              <w:b/>
              <w:bCs/>
              <w:color w:val="4472C4" w:themeColor="accent1"/>
              <w:szCs w:val="20"/>
            </w:rPr>
            <w:t>healthcare</w:t>
          </w:r>
        </w:p>
        <w:p w14:paraId="719885A7" w14:textId="47F7DF65" w:rsidR="00183CB9" w:rsidRDefault="00183CB9" w:rsidP="00215EC9">
          <w:pPr>
            <w:pStyle w:val="TOC2"/>
            <w:rPr>
              <w:rFonts w:asciiTheme="minorHAnsi" w:hAnsiTheme="minorHAnsi" w:cstheme="minorBidi"/>
              <w:sz w:val="24"/>
              <w:szCs w:val="24"/>
            </w:rPr>
          </w:pPr>
          <w:hyperlink w:anchor="_Toc212100520" w:history="1">
            <w:r w:rsidRPr="00CC44F1">
              <w:rPr>
                <w:rStyle w:val="Hyperlink"/>
              </w:rPr>
              <w:t>1.4 Strategies to improve the skills for [</w:t>
            </w:r>
            <w:r w:rsidR="00190760">
              <w:rPr>
                <w:rStyle w:val="Hyperlink"/>
              </w:rPr>
              <w:t>speci</w:t>
            </w:r>
            <w:r w:rsidR="00355787">
              <w:rPr>
                <w:rStyle w:val="Hyperlink"/>
              </w:rPr>
              <w:t xml:space="preserve">alist nurse </w:t>
            </w:r>
            <w:r w:rsidRPr="00CC44F1">
              <w:rPr>
                <w:rStyle w:val="Hyperlink"/>
              </w:rPr>
              <w:t>]</w:t>
            </w:r>
            <w:r>
              <w:rPr>
                <w:webHidden/>
              </w:rPr>
              <w:tab/>
            </w:r>
            <w:r>
              <w:rPr>
                <w:webHidden/>
              </w:rPr>
              <w:fldChar w:fldCharType="begin"/>
            </w:r>
            <w:r>
              <w:rPr>
                <w:webHidden/>
              </w:rPr>
              <w:instrText xml:space="preserve"> PAGEREF _Toc212100520 \h </w:instrText>
            </w:r>
            <w:r>
              <w:rPr>
                <w:webHidden/>
              </w:rPr>
            </w:r>
            <w:r>
              <w:rPr>
                <w:webHidden/>
              </w:rPr>
              <w:fldChar w:fldCharType="separate"/>
            </w:r>
            <w:r>
              <w:rPr>
                <w:webHidden/>
              </w:rPr>
              <w:t>3</w:t>
            </w:r>
            <w:r>
              <w:rPr>
                <w:webHidden/>
              </w:rPr>
              <w:fldChar w:fldCharType="end"/>
            </w:r>
          </w:hyperlink>
        </w:p>
        <w:p w14:paraId="034C4FEF" w14:textId="6268BF45" w:rsidR="00183CB9" w:rsidRDefault="00183CB9" w:rsidP="00215EC9">
          <w:pPr>
            <w:pStyle w:val="TOC2"/>
            <w:rPr>
              <w:rFonts w:asciiTheme="minorHAnsi" w:hAnsiTheme="minorHAnsi" w:cstheme="minorBidi"/>
              <w:sz w:val="24"/>
              <w:szCs w:val="24"/>
            </w:rPr>
          </w:pPr>
          <w:hyperlink w:anchor="_Toc212100521" w:history="1">
            <w:r w:rsidRPr="00CC44F1">
              <w:rPr>
                <w:rStyle w:val="Hyperlink"/>
              </w:rPr>
              <w:t>1.4 Conclusion</w:t>
            </w:r>
            <w:r>
              <w:rPr>
                <w:webHidden/>
              </w:rPr>
              <w:tab/>
            </w:r>
            <w:r>
              <w:rPr>
                <w:webHidden/>
              </w:rPr>
              <w:fldChar w:fldCharType="begin"/>
            </w:r>
            <w:r>
              <w:rPr>
                <w:webHidden/>
              </w:rPr>
              <w:instrText xml:space="preserve"> PAGEREF _Toc212100521 \h </w:instrText>
            </w:r>
            <w:r>
              <w:rPr>
                <w:webHidden/>
              </w:rPr>
            </w:r>
            <w:r>
              <w:rPr>
                <w:webHidden/>
              </w:rPr>
              <w:fldChar w:fldCharType="separate"/>
            </w:r>
            <w:r>
              <w:rPr>
                <w:webHidden/>
              </w:rPr>
              <w:t>3</w:t>
            </w:r>
            <w:r>
              <w:rPr>
                <w:webHidden/>
              </w:rPr>
              <w:fldChar w:fldCharType="end"/>
            </w:r>
          </w:hyperlink>
        </w:p>
        <w:p w14:paraId="21A32578" w14:textId="02BCFD41" w:rsidR="00183CB9" w:rsidRDefault="00183CB9" w:rsidP="00215EC9">
          <w:pPr>
            <w:pStyle w:val="TOC2"/>
            <w:rPr>
              <w:rFonts w:asciiTheme="minorHAnsi" w:hAnsiTheme="minorHAnsi" w:cstheme="minorBidi"/>
              <w:sz w:val="24"/>
              <w:szCs w:val="24"/>
            </w:rPr>
          </w:pPr>
          <w:hyperlink w:anchor="_Toc212100522" w:history="1">
            <w:r w:rsidRPr="00CC44F1">
              <w:rPr>
                <w:rStyle w:val="Hyperlink"/>
              </w:rPr>
              <w:t>1.5 Reference List</w:t>
            </w:r>
            <w:r>
              <w:rPr>
                <w:webHidden/>
              </w:rPr>
              <w:tab/>
            </w:r>
            <w:r>
              <w:rPr>
                <w:webHidden/>
              </w:rPr>
              <w:fldChar w:fldCharType="begin"/>
            </w:r>
            <w:r>
              <w:rPr>
                <w:webHidden/>
              </w:rPr>
              <w:instrText xml:space="preserve"> PAGEREF _Toc212100522 \h </w:instrText>
            </w:r>
            <w:r>
              <w:rPr>
                <w:webHidden/>
              </w:rPr>
            </w:r>
            <w:r>
              <w:rPr>
                <w:webHidden/>
              </w:rPr>
              <w:fldChar w:fldCharType="separate"/>
            </w:r>
            <w:r>
              <w:rPr>
                <w:webHidden/>
              </w:rPr>
              <w:t>4</w:t>
            </w:r>
            <w:r>
              <w:rPr>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E593446" w:rsidR="00A035CD" w:rsidRDefault="00A035CD" w:rsidP="0091772A">
      <w:pPr>
        <w:pStyle w:val="Heading2"/>
        <w:numPr>
          <w:ilvl w:val="1"/>
          <w:numId w:val="23"/>
        </w:numPr>
        <w:rPr>
          <w:color w:val="4472C4" w:themeColor="accent1"/>
        </w:rPr>
      </w:pPr>
      <w:bookmarkStart w:id="0" w:name="_Toc212100518"/>
      <w:r w:rsidRPr="002976D4">
        <w:rPr>
          <w:color w:val="4472C4" w:themeColor="accent1"/>
        </w:rPr>
        <w:lastRenderedPageBreak/>
        <w:t>Introduction</w:t>
      </w:r>
      <w:bookmarkEnd w:id="0"/>
      <w:r w:rsidR="0091772A">
        <w:rPr>
          <w:color w:val="4472C4" w:themeColor="accent1"/>
        </w:rPr>
        <w:t xml:space="preserve">. </w:t>
      </w:r>
    </w:p>
    <w:p w14:paraId="31B1436A" w14:textId="77777777" w:rsidR="002D4D99" w:rsidRPr="002D4D99" w:rsidRDefault="002D4D99" w:rsidP="002D4D99"/>
    <w:p w14:paraId="0DEF82A6" w14:textId="77777777" w:rsidR="0091772A" w:rsidRPr="0091772A" w:rsidRDefault="0091772A" w:rsidP="0091772A">
      <w:pPr>
        <w:spacing w:after="0" w:line="240" w:lineRule="auto"/>
        <w:rPr>
          <w:rFonts w:ascii="Times New Roman" w:eastAsia="Times New Roman" w:hAnsi="Times New Roman" w:cs="Times New Roman"/>
          <w:kern w:val="0"/>
          <w:sz w:val="24"/>
          <w:szCs w:val="24"/>
          <w:lang w:eastAsia="en-GB"/>
          <w14:ligatures w14:val="none"/>
        </w:rPr>
      </w:pPr>
      <w:r w:rsidRPr="0091772A">
        <w:rPr>
          <w:rFonts w:ascii="Times New Roman" w:eastAsia="Times New Roman" w:hAnsi="Times New Roman" w:cs="Times New Roman"/>
          <w:kern w:val="0"/>
          <w:sz w:val="24"/>
          <w:szCs w:val="24"/>
          <w:lang w:eastAsia="en-GB"/>
          <w14:ligatures w14:val="none"/>
        </w:rPr>
        <w:t>This report focuses on the role of the specialist nurse, a practitioner with advanced expertise in a specific area of healthcare. I chose this role because specialist nurses play a vital part in improving patient outcomes, delivering expert clinical care, and supporting multidisciplinary teams. Their ability to combine advanced knowledge with holistic, patient-centred practice makes the role essential within modern healthcare. This report will outline the responsibilities of specialist nurses, explore the knowledge and skills required, and discuss how they contribute to high-quality, evidence-based care. It will also consider the impact of the role on patient experience and service delivery.</w:t>
      </w:r>
    </w:p>
    <w:p w14:paraId="4CC61BC1" w14:textId="77777777" w:rsidR="00F36ADC" w:rsidRPr="00242974" w:rsidRDefault="00F36ADC" w:rsidP="00500295">
      <w:pPr>
        <w:spacing w:after="0" w:line="240" w:lineRule="auto"/>
        <w:jc w:val="both"/>
        <w:rPr>
          <w:sz w:val="21"/>
          <w:szCs w:val="21"/>
        </w:rPr>
      </w:pPr>
    </w:p>
    <w:p w14:paraId="50A9FBC6" w14:textId="43918867" w:rsidR="008B0B22" w:rsidRDefault="006912C4" w:rsidP="00BC18A1">
      <w:pPr>
        <w:pStyle w:val="Heading2"/>
        <w:numPr>
          <w:ilvl w:val="1"/>
          <w:numId w:val="23"/>
        </w:numPr>
        <w:rPr>
          <w:color w:val="4472C4" w:themeColor="accent1"/>
          <w:szCs w:val="24"/>
        </w:rPr>
      </w:pPr>
      <w:bookmarkStart w:id="1" w:name="_Toc212100519"/>
      <w:r w:rsidRPr="002976D4">
        <w:rPr>
          <w:color w:val="4472C4" w:themeColor="accent1"/>
          <w:szCs w:val="24"/>
        </w:rPr>
        <w:t>Description</w:t>
      </w:r>
      <w:r w:rsidR="00070818" w:rsidRPr="002976D4">
        <w:rPr>
          <w:color w:val="4472C4" w:themeColor="accent1"/>
          <w:szCs w:val="24"/>
        </w:rPr>
        <w:t xml:space="preserve"> of</w:t>
      </w:r>
      <w:r w:rsidRPr="002976D4">
        <w:rPr>
          <w:color w:val="4472C4" w:themeColor="accent1"/>
          <w:szCs w:val="24"/>
        </w:rPr>
        <w:t>, and background to</w:t>
      </w:r>
      <w:r w:rsidR="00B05829" w:rsidRPr="00B05829">
        <w:rPr>
          <w:color w:val="4472C4" w:themeColor="accent1"/>
          <w:szCs w:val="24"/>
        </w:rPr>
        <w:t xml:space="preserve"> </w:t>
      </w:r>
      <w:r w:rsidR="00B05829">
        <w:rPr>
          <w:color w:val="4472C4" w:themeColor="accent1"/>
          <w:szCs w:val="24"/>
        </w:rPr>
        <w:t xml:space="preserve">specialist nurse </w:t>
      </w:r>
      <w:r w:rsidR="008B0B22" w:rsidRPr="002976D4">
        <w:rPr>
          <w:color w:val="4472C4" w:themeColor="accent1"/>
          <w:szCs w:val="24"/>
        </w:rPr>
        <w:t xml:space="preserve">in </w:t>
      </w:r>
      <w:bookmarkEnd w:id="1"/>
      <w:r w:rsidR="0091772A" w:rsidRPr="002976D4">
        <w:rPr>
          <w:color w:val="4472C4" w:themeColor="accent1"/>
          <w:szCs w:val="24"/>
        </w:rPr>
        <w:t>healthcare</w:t>
      </w:r>
      <w:r w:rsidR="0091772A">
        <w:rPr>
          <w:color w:val="4472C4" w:themeColor="accent1"/>
          <w:szCs w:val="24"/>
        </w:rPr>
        <w:t>.</w:t>
      </w:r>
    </w:p>
    <w:p w14:paraId="152BB0A2" w14:textId="77777777" w:rsidR="002D4D99" w:rsidRPr="002D4D99" w:rsidRDefault="002D4D99" w:rsidP="002D4D99"/>
    <w:p w14:paraId="0FC9E57A" w14:textId="77777777" w:rsidR="00372FF1" w:rsidRPr="00372FF1" w:rsidRDefault="00372FF1" w:rsidP="00372FF1">
      <w:pPr>
        <w:pStyle w:val="NormalWeb"/>
        <w:shd w:val="clear" w:color="auto" w:fill="FFFFFF"/>
        <w:spacing w:before="0" w:beforeAutospacing="0" w:after="0" w:afterAutospacing="0"/>
        <w:rPr>
          <w:rFonts w:ascii="Arial" w:hAnsi="Arial" w:cs="Arial"/>
          <w:color w:val="242424"/>
          <w:sz w:val="22"/>
          <w:szCs w:val="22"/>
        </w:rPr>
      </w:pPr>
      <w:r w:rsidRPr="00372FF1">
        <w:rPr>
          <w:rFonts w:ascii="Arial" w:hAnsi="Arial" w:cs="Arial"/>
          <w:color w:val="242424"/>
          <w:sz w:val="22"/>
          <w:szCs w:val="22"/>
          <w:bdr w:val="none" w:sz="0" w:space="0" w:color="auto" w:frame="1"/>
        </w:rPr>
        <w:t>The specialist nurse plays a crucial role in modern health and social care by providing advanced clinical expertise, personalised patient support, and leadership within multidisciplinary teams. As healthcare needs become increasingly complex, specialist nurses help bridge the gap between general nursing practice and highly technical, evidence-based care. Their contribution is essential in improving patient outcomes, reducing hospital admissions, promoting self-management, and ensuring continuity of care across services.</w:t>
      </w:r>
    </w:p>
    <w:p w14:paraId="608BBA04" w14:textId="77777777" w:rsidR="00372FF1" w:rsidRPr="00372FF1" w:rsidRDefault="00372FF1" w:rsidP="00372FF1">
      <w:pPr>
        <w:pStyle w:val="NormalWeb"/>
        <w:shd w:val="clear" w:color="auto" w:fill="FFFFFF"/>
        <w:spacing w:before="0" w:beforeAutospacing="0" w:after="0" w:afterAutospacing="0"/>
        <w:rPr>
          <w:rFonts w:ascii="Arial" w:hAnsi="Arial" w:cs="Arial"/>
          <w:color w:val="242424"/>
          <w:sz w:val="22"/>
          <w:szCs w:val="22"/>
        </w:rPr>
      </w:pPr>
      <w:r w:rsidRPr="00372FF1">
        <w:rPr>
          <w:rFonts w:ascii="Arial" w:hAnsi="Arial" w:cs="Arial"/>
          <w:color w:val="242424"/>
          <w:sz w:val="22"/>
          <w:szCs w:val="22"/>
          <w:bdr w:val="none" w:sz="0" w:space="0" w:color="auto" w:frame="1"/>
        </w:rPr>
        <w:t>Specialist nurses perform a wide range of duties depending on their area of expertise. These commonly include undertaking comprehensive assessments, developing care plans, delivering specialist treatments, providing patient and family education, and monitoring long-term conditions. They also act as key coordinators between services, ensuring that patients receive seamless, holistic care. Many specialist nurses are involved in research, audit, and service development to improve clinical practice.</w:t>
      </w:r>
    </w:p>
    <w:p w14:paraId="2DA5F6CB" w14:textId="77777777" w:rsidR="00372FF1" w:rsidRPr="00372FF1" w:rsidRDefault="00372FF1" w:rsidP="00372FF1">
      <w:pPr>
        <w:pStyle w:val="NormalWeb"/>
        <w:shd w:val="clear" w:color="auto" w:fill="FFFFFF"/>
        <w:spacing w:before="0" w:beforeAutospacing="0" w:after="0" w:afterAutospacing="0"/>
        <w:rPr>
          <w:rFonts w:ascii="Arial" w:hAnsi="Arial" w:cs="Arial"/>
          <w:color w:val="242424"/>
          <w:sz w:val="22"/>
          <w:szCs w:val="22"/>
        </w:rPr>
      </w:pPr>
      <w:r w:rsidRPr="00372FF1">
        <w:rPr>
          <w:rFonts w:ascii="Arial" w:hAnsi="Arial" w:cs="Arial"/>
          <w:color w:val="242424"/>
          <w:sz w:val="22"/>
          <w:szCs w:val="22"/>
          <w:bdr w:val="none" w:sz="0" w:space="0" w:color="auto" w:frame="1"/>
        </w:rPr>
        <w:t>The most important duty of a specialist nurse is delivering expert, patient-centred care that is grounded in advanced knowledge and clinical judgement. To carry out this role effectively, specialist nurses require strong communication and decision-making skills, the ability to interpret complex clinical information, and confidence in autonomous practice. They must also demonstrate empathy, leadership, critical thinking, and a commitment to ongoing professional development.</w:t>
      </w:r>
    </w:p>
    <w:p w14:paraId="425D6155" w14:textId="77777777" w:rsidR="00676FEB" w:rsidRPr="00242974" w:rsidRDefault="00676FEB" w:rsidP="00676FEB">
      <w:pPr>
        <w:spacing w:after="0" w:line="240" w:lineRule="auto"/>
        <w:jc w:val="both"/>
        <w:rPr>
          <w:sz w:val="21"/>
          <w:szCs w:val="21"/>
        </w:rPr>
      </w:pPr>
    </w:p>
    <w:p w14:paraId="4010C35E" w14:textId="47A92A19" w:rsidR="00EC7EBE" w:rsidRDefault="00805726" w:rsidP="00372FF1">
      <w:pPr>
        <w:pStyle w:val="ListParagraph"/>
        <w:numPr>
          <w:ilvl w:val="1"/>
          <w:numId w:val="23"/>
        </w:numPr>
        <w:spacing w:after="0" w:line="240" w:lineRule="auto"/>
        <w:jc w:val="both"/>
        <w:rPr>
          <w:color w:val="4472C4" w:themeColor="accent1"/>
          <w:sz w:val="28"/>
          <w:szCs w:val="28"/>
        </w:rPr>
      </w:pPr>
      <w:r w:rsidRPr="00372FF1">
        <w:rPr>
          <w:color w:val="4472C4" w:themeColor="accent1"/>
          <w:sz w:val="28"/>
          <w:szCs w:val="28"/>
        </w:rPr>
        <w:t xml:space="preserve">Evaluation of the </w:t>
      </w:r>
      <w:r w:rsidR="00D4006B" w:rsidRPr="00372FF1">
        <w:rPr>
          <w:color w:val="4472C4" w:themeColor="accent1"/>
          <w:sz w:val="28"/>
          <w:szCs w:val="28"/>
        </w:rPr>
        <w:t xml:space="preserve">skills needed for </w:t>
      </w:r>
      <w:r w:rsidR="00B05829" w:rsidRPr="00B05829">
        <w:rPr>
          <w:color w:val="4472C4" w:themeColor="accent1"/>
          <w:sz w:val="28"/>
          <w:szCs w:val="28"/>
        </w:rPr>
        <w:t>specialist nurse</w:t>
      </w:r>
      <w:r w:rsidR="00B05829">
        <w:rPr>
          <w:color w:val="4472C4" w:themeColor="accent1"/>
          <w:szCs w:val="24"/>
        </w:rPr>
        <w:t xml:space="preserve"> </w:t>
      </w:r>
      <w:r w:rsidR="007138EF" w:rsidRPr="00372FF1">
        <w:rPr>
          <w:color w:val="4472C4" w:themeColor="accent1"/>
          <w:sz w:val="28"/>
          <w:szCs w:val="28"/>
        </w:rPr>
        <w:t xml:space="preserve">in </w:t>
      </w:r>
      <w:r w:rsidR="00372FF1" w:rsidRPr="00372FF1">
        <w:rPr>
          <w:color w:val="4472C4" w:themeColor="accent1"/>
          <w:sz w:val="28"/>
          <w:szCs w:val="28"/>
        </w:rPr>
        <w:t>healthcare.</w:t>
      </w:r>
    </w:p>
    <w:p w14:paraId="246E6F5D" w14:textId="77777777" w:rsidR="002D4D99" w:rsidRPr="00372FF1" w:rsidRDefault="002D4D99" w:rsidP="002D4D99">
      <w:pPr>
        <w:pStyle w:val="ListParagraph"/>
        <w:spacing w:after="0" w:line="240" w:lineRule="auto"/>
        <w:ind w:left="440"/>
        <w:jc w:val="both"/>
        <w:rPr>
          <w:color w:val="4472C4" w:themeColor="accent1"/>
          <w:sz w:val="28"/>
          <w:szCs w:val="28"/>
        </w:rPr>
      </w:pPr>
    </w:p>
    <w:p w14:paraId="5F119A0C" w14:textId="44F673F8" w:rsidR="002C4E62" w:rsidRPr="002C4E62" w:rsidRDefault="002C4E62" w:rsidP="002C4E62">
      <w:pPr>
        <w:pStyle w:val="NormalWeb"/>
        <w:shd w:val="clear" w:color="auto" w:fill="FFFFFF"/>
        <w:spacing w:before="0" w:beforeAutospacing="0" w:after="0" w:afterAutospacing="0"/>
        <w:rPr>
          <w:rFonts w:ascii="Arial" w:hAnsi="Arial" w:cs="Arial"/>
          <w:color w:val="242424"/>
          <w:sz w:val="22"/>
          <w:szCs w:val="22"/>
        </w:rPr>
      </w:pPr>
      <w:r w:rsidRPr="002C4E62">
        <w:rPr>
          <w:rFonts w:ascii="Arial" w:hAnsi="Arial" w:cs="Arial"/>
          <w:color w:val="242424"/>
          <w:sz w:val="22"/>
          <w:szCs w:val="22"/>
        </w:rPr>
        <w:t>Specialist nurses require a highly developed skill set because they work with complex health needs, support vulnerable individuals, and often practise autonomously. Three essential skills for this role are </w:t>
      </w:r>
      <w:r w:rsidRPr="002C4E62">
        <w:rPr>
          <w:rFonts w:ascii="Arial" w:hAnsi="Arial" w:cs="Arial"/>
          <w:b/>
          <w:bCs/>
          <w:color w:val="242424"/>
          <w:sz w:val="22"/>
          <w:szCs w:val="22"/>
          <w:bdr w:val="none" w:sz="0" w:space="0" w:color="auto" w:frame="1"/>
        </w:rPr>
        <w:t>advanced communication</w:t>
      </w:r>
      <w:r w:rsidRPr="002C4E62">
        <w:rPr>
          <w:rFonts w:ascii="Arial" w:hAnsi="Arial" w:cs="Arial"/>
          <w:color w:val="242424"/>
          <w:sz w:val="22"/>
          <w:szCs w:val="22"/>
        </w:rPr>
        <w:t>, </w:t>
      </w:r>
      <w:r w:rsidRPr="002C4E62">
        <w:rPr>
          <w:rFonts w:ascii="Arial" w:hAnsi="Arial" w:cs="Arial"/>
          <w:b/>
          <w:bCs/>
          <w:color w:val="242424"/>
          <w:sz w:val="22"/>
          <w:szCs w:val="22"/>
          <w:bdr w:val="none" w:sz="0" w:space="0" w:color="auto" w:frame="1"/>
        </w:rPr>
        <w:t>clinical decision-making</w:t>
      </w:r>
      <w:r w:rsidRPr="002C4E62">
        <w:rPr>
          <w:rFonts w:ascii="Arial" w:hAnsi="Arial" w:cs="Arial"/>
          <w:color w:val="242424"/>
          <w:sz w:val="22"/>
          <w:szCs w:val="22"/>
        </w:rPr>
        <w:t>, and </w:t>
      </w:r>
      <w:r w:rsidRPr="002C4E62">
        <w:rPr>
          <w:rFonts w:ascii="Arial" w:hAnsi="Arial" w:cs="Arial"/>
          <w:b/>
          <w:bCs/>
          <w:color w:val="242424"/>
          <w:sz w:val="22"/>
          <w:szCs w:val="22"/>
          <w:bdr w:val="none" w:sz="0" w:space="0" w:color="auto" w:frame="1"/>
        </w:rPr>
        <w:t>empathy</w:t>
      </w:r>
      <w:r w:rsidRPr="002C4E62">
        <w:rPr>
          <w:rFonts w:ascii="Arial" w:hAnsi="Arial" w:cs="Arial"/>
          <w:color w:val="242424"/>
          <w:sz w:val="22"/>
          <w:szCs w:val="22"/>
        </w:rPr>
        <w:t>. These skills directly influence the quality, safety, and effectiveness of care delivered across health and social care settings.</w:t>
      </w:r>
    </w:p>
    <w:p w14:paraId="414FAA68" w14:textId="77777777" w:rsidR="002C4E62" w:rsidRPr="002C4E62" w:rsidRDefault="002C4E62" w:rsidP="002C4E62">
      <w:pPr>
        <w:pStyle w:val="NormalWeb"/>
        <w:shd w:val="clear" w:color="auto" w:fill="FFFFFF"/>
        <w:spacing w:before="0" w:beforeAutospacing="0" w:after="0" w:afterAutospacing="0"/>
        <w:rPr>
          <w:rFonts w:ascii="Arial" w:hAnsi="Arial" w:cs="Arial"/>
          <w:color w:val="242424"/>
          <w:sz w:val="22"/>
          <w:szCs w:val="22"/>
        </w:rPr>
      </w:pPr>
      <w:r w:rsidRPr="002C4E62">
        <w:rPr>
          <w:rFonts w:ascii="Arial" w:hAnsi="Arial" w:cs="Arial"/>
          <w:b/>
          <w:bCs/>
          <w:color w:val="242424"/>
          <w:sz w:val="22"/>
          <w:szCs w:val="22"/>
          <w:bdr w:val="none" w:sz="0" w:space="0" w:color="auto" w:frame="1"/>
        </w:rPr>
        <w:t>Firstly, advanced communication</w:t>
      </w:r>
      <w:r w:rsidRPr="002C4E62">
        <w:rPr>
          <w:rFonts w:ascii="Arial" w:hAnsi="Arial" w:cs="Arial"/>
          <w:color w:val="242424"/>
          <w:sz w:val="22"/>
          <w:szCs w:val="22"/>
        </w:rPr>
        <w:t> is fundamental. Specialist nurses explain complex medical information, discuss treatment options, and support people in making informed decisions. Clear communication reduces anxiety, improves treatment adherence, and ensures that patients and families feel heard. For example, a diabetes specialist nurse must explain blood glucose monitoring, insulin use, and lifestyle changes in a way that is understandable and culturally appropriate. The NHS and NMC highlight communication as a core professional standard, as poor communication can lead to misunderstandings, medication errors, and reduced patient trust. Without this skill, a nurse may struggle to build rapport, leading to disengagement and poorer health outcomes.</w:t>
      </w:r>
    </w:p>
    <w:p w14:paraId="28492EC6" w14:textId="77777777" w:rsidR="002C4E62" w:rsidRPr="002C4E62" w:rsidRDefault="002C4E62" w:rsidP="002C4E62">
      <w:pPr>
        <w:pStyle w:val="NormalWeb"/>
        <w:shd w:val="clear" w:color="auto" w:fill="FFFFFF"/>
        <w:spacing w:before="0" w:beforeAutospacing="0" w:after="0" w:afterAutospacing="0"/>
        <w:rPr>
          <w:rFonts w:ascii="Arial" w:hAnsi="Arial" w:cs="Arial"/>
          <w:color w:val="242424"/>
          <w:sz w:val="22"/>
          <w:szCs w:val="22"/>
        </w:rPr>
      </w:pPr>
    </w:p>
    <w:p w14:paraId="1A94375A" w14:textId="77777777" w:rsidR="002C4E62" w:rsidRPr="002C4E62" w:rsidRDefault="002C4E62" w:rsidP="002C4E62">
      <w:pPr>
        <w:pStyle w:val="NormalWeb"/>
        <w:shd w:val="clear" w:color="auto" w:fill="FFFFFF"/>
        <w:spacing w:before="0" w:beforeAutospacing="0" w:after="0" w:afterAutospacing="0"/>
        <w:rPr>
          <w:rFonts w:ascii="Arial" w:hAnsi="Arial" w:cs="Arial"/>
          <w:color w:val="242424"/>
          <w:sz w:val="22"/>
          <w:szCs w:val="22"/>
        </w:rPr>
      </w:pPr>
      <w:r w:rsidRPr="002C4E62">
        <w:rPr>
          <w:rFonts w:ascii="Arial" w:hAnsi="Arial" w:cs="Arial"/>
          <w:b/>
          <w:bCs/>
          <w:color w:val="242424"/>
          <w:sz w:val="22"/>
          <w:szCs w:val="22"/>
          <w:bdr w:val="none" w:sz="0" w:space="0" w:color="auto" w:frame="1"/>
        </w:rPr>
        <w:lastRenderedPageBreak/>
        <w:t>Secondly, clinical decision-making</w:t>
      </w:r>
      <w:r w:rsidRPr="002C4E62">
        <w:rPr>
          <w:rFonts w:ascii="Arial" w:hAnsi="Arial" w:cs="Arial"/>
          <w:color w:val="242424"/>
          <w:sz w:val="22"/>
          <w:szCs w:val="22"/>
        </w:rPr>
        <w:t> is vital because specialist nurses often work autonomously, assessing patients, interpreting diagnostic results, and adjusting care plans. This requires critical thinking, risk assessment, and the ability to justify decisions using evidence-based practice. For instance, a respiratory specialist nurse must decide when a patient with COPD needs urgent escalation or when symptoms can be managed at home. Strong decision-making improves patient safety and reduces unnecessary hospital admissions. In contrast, poor judgement could delay treatment, compromise patient safety, and place additional pressure on healthcare teams.</w:t>
      </w:r>
    </w:p>
    <w:p w14:paraId="431C2DDE" w14:textId="77777777" w:rsidR="002C4E62" w:rsidRPr="002C4E62" w:rsidRDefault="002C4E62" w:rsidP="002C4E62">
      <w:pPr>
        <w:pStyle w:val="NormalWeb"/>
        <w:shd w:val="clear" w:color="auto" w:fill="FFFFFF"/>
        <w:spacing w:before="0" w:beforeAutospacing="0" w:after="0" w:afterAutospacing="0"/>
        <w:rPr>
          <w:rFonts w:ascii="Arial" w:hAnsi="Arial" w:cs="Arial"/>
          <w:color w:val="242424"/>
          <w:sz w:val="22"/>
          <w:szCs w:val="22"/>
        </w:rPr>
      </w:pPr>
    </w:p>
    <w:p w14:paraId="668CD27C" w14:textId="74148F40" w:rsidR="002C4E62" w:rsidRPr="002C4E62" w:rsidRDefault="002C4E62" w:rsidP="002C4E62">
      <w:pPr>
        <w:pStyle w:val="NormalWeb"/>
        <w:shd w:val="clear" w:color="auto" w:fill="FFFFFF"/>
        <w:spacing w:before="0" w:beforeAutospacing="0" w:after="0" w:afterAutospacing="0"/>
        <w:rPr>
          <w:rFonts w:ascii="Arial" w:hAnsi="Arial" w:cs="Arial"/>
          <w:color w:val="242424"/>
          <w:sz w:val="22"/>
          <w:szCs w:val="22"/>
        </w:rPr>
      </w:pPr>
      <w:r w:rsidRPr="002C4E62">
        <w:rPr>
          <w:rFonts w:ascii="Arial" w:hAnsi="Arial" w:cs="Arial"/>
          <w:b/>
          <w:bCs/>
          <w:color w:val="242424"/>
          <w:sz w:val="22"/>
          <w:szCs w:val="22"/>
          <w:bdr w:val="none" w:sz="0" w:space="0" w:color="auto" w:frame="1"/>
        </w:rPr>
        <w:t>Finally, empathy</w:t>
      </w:r>
      <w:r w:rsidRPr="002C4E62">
        <w:rPr>
          <w:rFonts w:ascii="Arial" w:hAnsi="Arial" w:cs="Arial"/>
          <w:color w:val="242424"/>
          <w:sz w:val="22"/>
          <w:szCs w:val="22"/>
        </w:rPr>
        <w:t> is essential for delivering compassionate, person-centred care. Many patients seen by specialist nurses are managing long-term, life-changing conditions and require emotional as well as clinical support. An oncology specialist nurse, for example, may provide comfort during diagnosis, explain treatment choices, and help families cope with uncertainty. Empathy helps staff build trusting relationships, increases patient satisfaction, and supports holistic care. Without empathy, patients may feel dismissed or unsupported, which can negatively affect mental wellbeing and engagement with treatment.</w:t>
      </w:r>
    </w:p>
    <w:p w14:paraId="4373BAC2" w14:textId="77777777" w:rsidR="002C4E62" w:rsidRPr="002C4E62" w:rsidRDefault="002C4E62" w:rsidP="002C4E62">
      <w:pPr>
        <w:pStyle w:val="NormalWeb"/>
        <w:shd w:val="clear" w:color="auto" w:fill="FFFFFF"/>
        <w:spacing w:before="0" w:beforeAutospacing="0" w:after="0" w:afterAutospacing="0"/>
        <w:rPr>
          <w:rFonts w:ascii="Arial" w:hAnsi="Arial" w:cs="Arial"/>
          <w:color w:val="242424"/>
          <w:sz w:val="22"/>
          <w:szCs w:val="22"/>
        </w:rPr>
      </w:pPr>
      <w:r w:rsidRPr="002C4E62">
        <w:rPr>
          <w:rFonts w:ascii="Arial" w:hAnsi="Arial" w:cs="Arial"/>
          <w:color w:val="242424"/>
          <w:sz w:val="22"/>
          <w:szCs w:val="22"/>
        </w:rPr>
        <w:t>Together, these three skills enable specialist nurses to provide safe, effective, and compassionate care. They help staff across health and social care to understand patient needs, respond quickly and appropriately, and build strong therapeutic relationships. Without them, patient outcomes, team communication, and overall care quality would be significantly compromised.</w:t>
      </w:r>
    </w:p>
    <w:p w14:paraId="7338813D" w14:textId="77777777" w:rsidR="00C85A7C" w:rsidRPr="00242974" w:rsidRDefault="00C85A7C" w:rsidP="00C85A7C">
      <w:pPr>
        <w:spacing w:after="0" w:line="240" w:lineRule="auto"/>
        <w:jc w:val="both"/>
        <w:rPr>
          <w:sz w:val="21"/>
          <w:szCs w:val="21"/>
        </w:rPr>
      </w:pPr>
    </w:p>
    <w:p w14:paraId="01C49510" w14:textId="5C06F628" w:rsidR="002370CE" w:rsidRDefault="003003FD" w:rsidP="005E604E">
      <w:pPr>
        <w:pStyle w:val="Heading2"/>
        <w:numPr>
          <w:ilvl w:val="1"/>
          <w:numId w:val="23"/>
        </w:numPr>
        <w:rPr>
          <w:color w:val="4472C4" w:themeColor="accent1"/>
          <w:szCs w:val="24"/>
        </w:rPr>
      </w:pPr>
      <w:bookmarkStart w:id="2" w:name="_Toc212100520"/>
      <w:r>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r w:rsidR="00F84C66">
        <w:rPr>
          <w:color w:val="4472C4" w:themeColor="accent1"/>
          <w:szCs w:val="24"/>
        </w:rPr>
        <w:t>speciali</w:t>
      </w:r>
      <w:r w:rsidR="005B76BB">
        <w:rPr>
          <w:color w:val="4472C4" w:themeColor="accent1"/>
          <w:szCs w:val="24"/>
        </w:rPr>
        <w:t xml:space="preserve">st </w:t>
      </w:r>
      <w:bookmarkEnd w:id="2"/>
      <w:r w:rsidR="00943B94">
        <w:rPr>
          <w:color w:val="4472C4" w:themeColor="accent1"/>
          <w:szCs w:val="24"/>
        </w:rPr>
        <w:t>nurse.</w:t>
      </w:r>
    </w:p>
    <w:p w14:paraId="1EB96F72" w14:textId="7CEBD143" w:rsidR="005E72FA" w:rsidRPr="005E72FA" w:rsidRDefault="005E72FA" w:rsidP="005E72FA">
      <w:pPr>
        <w:pStyle w:val="NormalWeb"/>
        <w:shd w:val="clear" w:color="auto" w:fill="FFFFFF"/>
        <w:spacing w:before="0" w:beforeAutospacing="0" w:after="0" w:afterAutospacing="0"/>
        <w:rPr>
          <w:rFonts w:ascii="Arial" w:hAnsi="Arial" w:cs="Arial"/>
          <w:color w:val="242424"/>
          <w:sz w:val="22"/>
          <w:szCs w:val="22"/>
        </w:rPr>
      </w:pPr>
      <w:r w:rsidRPr="005E72FA">
        <w:rPr>
          <w:rFonts w:ascii="Arial" w:hAnsi="Arial" w:cs="Arial"/>
          <w:color w:val="242424"/>
          <w:sz w:val="22"/>
          <w:szCs w:val="22"/>
          <w:bdr w:val="none" w:sz="0" w:space="0" w:color="auto" w:frame="1"/>
        </w:rPr>
        <w:br/>
        <w:t>Developing the advanced skills required of a specialist nurse is an ongoing process that supports safe, high-quality, and patient-centred care. Three effective strategies for improving these skills are continuing professional development (CPD), clinical supervision and reflective practice, and interdisciplinary learning. These strategies align with NHS workforce development priorities and the NMC requirement for lifelong learning.</w:t>
      </w:r>
    </w:p>
    <w:p w14:paraId="4AF5251B" w14:textId="77777777" w:rsidR="005E72FA" w:rsidRPr="005E72FA" w:rsidRDefault="005E72FA" w:rsidP="005E72FA">
      <w:pPr>
        <w:pStyle w:val="NormalWeb"/>
        <w:shd w:val="clear" w:color="auto" w:fill="FFFFFF"/>
        <w:spacing w:before="0" w:beforeAutospacing="0" w:after="0" w:afterAutospacing="0"/>
        <w:rPr>
          <w:rFonts w:ascii="Arial" w:hAnsi="Arial" w:cs="Arial"/>
          <w:color w:val="242424"/>
          <w:sz w:val="22"/>
          <w:szCs w:val="22"/>
        </w:rPr>
      </w:pPr>
    </w:p>
    <w:p w14:paraId="399D5B98" w14:textId="26819A63" w:rsidR="005E72FA" w:rsidRPr="005E72FA" w:rsidRDefault="005E72FA" w:rsidP="005E72FA">
      <w:pPr>
        <w:pStyle w:val="NormalWeb"/>
        <w:shd w:val="clear" w:color="auto" w:fill="FFFFFF"/>
        <w:spacing w:before="0" w:beforeAutospacing="0" w:after="0" w:afterAutospacing="0"/>
        <w:rPr>
          <w:rFonts w:ascii="Arial" w:hAnsi="Arial" w:cs="Arial"/>
          <w:color w:val="242424"/>
          <w:sz w:val="22"/>
          <w:szCs w:val="22"/>
        </w:rPr>
      </w:pPr>
      <w:r w:rsidRPr="005E72FA">
        <w:rPr>
          <w:rFonts w:ascii="Arial" w:hAnsi="Arial" w:cs="Arial"/>
          <w:color w:val="242424"/>
          <w:sz w:val="22"/>
          <w:szCs w:val="22"/>
          <w:bdr w:val="none" w:sz="0" w:space="0" w:color="auto" w:frame="1"/>
        </w:rPr>
        <w:t xml:space="preserve">Continuing Professional Development (CPD) is essential for maintaining and enhancing specialist knowledge. This may include attending workshops, postgraduate training, e-learning, or completing specialist modules. CPD helps nurses keep </w:t>
      </w:r>
      <w:r w:rsidR="008416B5" w:rsidRPr="005E72FA">
        <w:rPr>
          <w:rFonts w:ascii="Arial" w:hAnsi="Arial" w:cs="Arial"/>
          <w:color w:val="242424"/>
          <w:sz w:val="22"/>
          <w:szCs w:val="22"/>
          <w:bdr w:val="none" w:sz="0" w:space="0" w:color="auto" w:frame="1"/>
        </w:rPr>
        <w:t>up to date</w:t>
      </w:r>
      <w:r w:rsidRPr="005E72FA">
        <w:rPr>
          <w:rFonts w:ascii="Arial" w:hAnsi="Arial" w:cs="Arial"/>
          <w:color w:val="242424"/>
          <w:sz w:val="22"/>
          <w:szCs w:val="22"/>
          <w:bdr w:val="none" w:sz="0" w:space="0" w:color="auto" w:frame="1"/>
        </w:rPr>
        <w:t xml:space="preserve"> with new evidence, treatments, and technology. For example, a cardiac specialist nurse might complete advanced ECG interpretation training to improve decision-making during rapid deterioration. I chose this strategy because CPD directly supports clinical competence and is mandated by the NMC. Without regular updating, nurses risk using outdated practices, which can compromise patient safety. CPD therefore strengthens both communication (by improving understanding of clinical topics) and decision-making.</w:t>
      </w:r>
    </w:p>
    <w:p w14:paraId="64CFA770" w14:textId="77777777" w:rsidR="005E72FA" w:rsidRPr="005E72FA" w:rsidRDefault="005E72FA" w:rsidP="005E72FA">
      <w:pPr>
        <w:pStyle w:val="NormalWeb"/>
        <w:shd w:val="clear" w:color="auto" w:fill="FFFFFF"/>
        <w:spacing w:before="0" w:beforeAutospacing="0" w:after="0" w:afterAutospacing="0"/>
        <w:ind w:left="440"/>
        <w:rPr>
          <w:rFonts w:ascii="Arial" w:hAnsi="Arial" w:cs="Arial"/>
          <w:color w:val="242424"/>
          <w:sz w:val="22"/>
          <w:szCs w:val="22"/>
        </w:rPr>
      </w:pPr>
    </w:p>
    <w:p w14:paraId="0D576FFF" w14:textId="77777777" w:rsidR="005E72FA" w:rsidRPr="005E72FA" w:rsidRDefault="005E72FA" w:rsidP="005E72FA">
      <w:pPr>
        <w:pStyle w:val="NormalWeb"/>
        <w:shd w:val="clear" w:color="auto" w:fill="FFFFFF"/>
        <w:spacing w:before="0" w:beforeAutospacing="0" w:after="0" w:afterAutospacing="0"/>
        <w:rPr>
          <w:rFonts w:ascii="Arial" w:hAnsi="Arial" w:cs="Arial"/>
          <w:color w:val="242424"/>
          <w:sz w:val="22"/>
          <w:szCs w:val="22"/>
        </w:rPr>
      </w:pPr>
      <w:r w:rsidRPr="005E72FA">
        <w:rPr>
          <w:rFonts w:ascii="Arial" w:hAnsi="Arial" w:cs="Arial"/>
          <w:color w:val="242424"/>
          <w:sz w:val="22"/>
          <w:szCs w:val="22"/>
          <w:bdr w:val="none" w:sz="0" w:space="0" w:color="auto" w:frame="1"/>
        </w:rPr>
        <w:t>Clinical supervision and reflective practice are also vital tools for skill development. Supervision allows nurses to discuss difficult cases, gain feedback, and explore their emotional responses in a safe, structured environment. Reflection—through models such as Gibbs or Schön—helps identify what went well, what could be improved, and what learning is needed. For example, a specialist nurse who struggled to communicate a new diagnosis sensitively can reflect on the experience, receive guidance, and plan alternative approaches. I selected this strategy because it supports emotional intelligence and empathy, which are critical in roles involving long-term patient relationships. Research shows that reflective practitioners deliver more compassionate, patient-centred care.</w:t>
      </w:r>
    </w:p>
    <w:p w14:paraId="4CF2D851" w14:textId="4AFA863D" w:rsidR="00F1720B" w:rsidRPr="00137E98" w:rsidRDefault="005E72FA" w:rsidP="00137E98">
      <w:pPr>
        <w:pStyle w:val="NormalWeb"/>
        <w:shd w:val="clear" w:color="auto" w:fill="FFFFFF"/>
        <w:spacing w:before="0" w:beforeAutospacing="0" w:after="0" w:afterAutospacing="0"/>
        <w:rPr>
          <w:rFonts w:ascii="Arial" w:hAnsi="Arial" w:cs="Arial"/>
          <w:color w:val="242424"/>
          <w:sz w:val="22"/>
          <w:szCs w:val="22"/>
        </w:rPr>
      </w:pPr>
      <w:r w:rsidRPr="005E72FA">
        <w:rPr>
          <w:rFonts w:ascii="Arial" w:hAnsi="Arial" w:cs="Arial"/>
          <w:color w:val="242424"/>
          <w:sz w:val="22"/>
          <w:szCs w:val="22"/>
          <w:bdr w:val="none" w:sz="0" w:space="0" w:color="auto" w:frame="1"/>
        </w:rPr>
        <w:t xml:space="preserve">Interdisciplinary learning is a third strategy that strengthens confidence and skill. Working closely with physiotherapists, doctors, dietitians, social workers, or </w:t>
      </w:r>
      <w:r w:rsidR="00A2576A" w:rsidRPr="005E72FA">
        <w:rPr>
          <w:rFonts w:ascii="Arial" w:hAnsi="Arial" w:cs="Arial"/>
          <w:color w:val="242424"/>
          <w:sz w:val="22"/>
          <w:szCs w:val="22"/>
          <w:bdr w:val="none" w:sz="0" w:space="0" w:color="auto" w:frame="1"/>
        </w:rPr>
        <w:t>pharmacists’</w:t>
      </w:r>
      <w:r w:rsidRPr="005E72FA">
        <w:rPr>
          <w:rFonts w:ascii="Arial" w:hAnsi="Arial" w:cs="Arial"/>
          <w:color w:val="242424"/>
          <w:sz w:val="22"/>
          <w:szCs w:val="22"/>
          <w:bdr w:val="none" w:sz="0" w:space="0" w:color="auto" w:frame="1"/>
        </w:rPr>
        <w:t xml:space="preserve"> exposes specialist nurses to different perspectives and expands their understanding of holistic care. Shadowing other professionals or taking part in joint case reviews can improve communication and decision-making, as nurses learn how different services contribute to a </w:t>
      </w:r>
      <w:r w:rsidRPr="005E72FA">
        <w:rPr>
          <w:rFonts w:ascii="Arial" w:hAnsi="Arial" w:cs="Arial"/>
          <w:color w:val="242424"/>
          <w:sz w:val="22"/>
          <w:szCs w:val="22"/>
          <w:bdr w:val="none" w:sz="0" w:space="0" w:color="auto" w:frame="1"/>
        </w:rPr>
        <w:lastRenderedPageBreak/>
        <w:t>patient’s care plan. For instance, a specialist nurse managing patients with chronic kidney disease might collaborate with renal dietitians to better explain dietary advice, enhancing both patient support and interprofessional teamwork. I chose this strategy because specialist nurses often act as coordinators between services, and understanding others’ roles improves efficiency and patient experience.</w:t>
      </w:r>
    </w:p>
    <w:p w14:paraId="2703A512" w14:textId="77777777" w:rsidR="00500295" w:rsidRPr="00242974" w:rsidRDefault="00500295" w:rsidP="00500295">
      <w:pPr>
        <w:spacing w:after="0"/>
        <w:rPr>
          <w:sz w:val="21"/>
          <w:szCs w:val="21"/>
        </w:rPr>
      </w:pPr>
    </w:p>
    <w:p w14:paraId="1497148C" w14:textId="359116D9" w:rsidR="00A946CB" w:rsidRDefault="00A946CB" w:rsidP="009A07BF">
      <w:pPr>
        <w:pStyle w:val="Heading2"/>
        <w:numPr>
          <w:ilvl w:val="1"/>
          <w:numId w:val="23"/>
        </w:numPr>
        <w:rPr>
          <w:color w:val="4472C4" w:themeColor="accent1"/>
          <w:szCs w:val="24"/>
        </w:rPr>
      </w:pPr>
      <w:bookmarkStart w:id="3" w:name="_Toc212100521"/>
      <w:r w:rsidRPr="002976D4">
        <w:rPr>
          <w:color w:val="4472C4" w:themeColor="accent1"/>
          <w:szCs w:val="24"/>
        </w:rPr>
        <w:t>Conclusion</w:t>
      </w:r>
      <w:bookmarkEnd w:id="3"/>
      <w:r w:rsidR="009A07BF">
        <w:rPr>
          <w:color w:val="4472C4" w:themeColor="accent1"/>
          <w:szCs w:val="24"/>
        </w:rPr>
        <w:t>.</w:t>
      </w:r>
    </w:p>
    <w:p w14:paraId="5D41E721" w14:textId="77777777" w:rsidR="002D4D99" w:rsidRPr="002D4D99" w:rsidRDefault="002D4D99" w:rsidP="002D4D99"/>
    <w:p w14:paraId="184BCF1A" w14:textId="77777777" w:rsidR="009A07BF" w:rsidRDefault="009A07BF" w:rsidP="009A07BF">
      <w:pPr>
        <w:pStyle w:val="NormalWeb"/>
        <w:shd w:val="clear" w:color="auto" w:fill="FFFFFF"/>
        <w:spacing w:before="0" w:beforeAutospacing="0" w:after="0" w:afterAutospacing="0"/>
        <w:ind w:left="440"/>
        <w:rPr>
          <w:rFonts w:ascii="inherit" w:hAnsi="inherit"/>
          <w:color w:val="242424"/>
          <w:sz w:val="30"/>
          <w:szCs w:val="30"/>
          <w:bdr w:val="none" w:sz="0" w:space="0" w:color="auto" w:frame="1"/>
        </w:rPr>
      </w:pPr>
      <w:r w:rsidRPr="009A07BF">
        <w:rPr>
          <w:rFonts w:ascii="Arial" w:hAnsi="Arial" w:cs="Arial"/>
          <w:color w:val="242424"/>
          <w:sz w:val="22"/>
          <w:szCs w:val="22"/>
          <w:bdr w:val="none" w:sz="0" w:space="0" w:color="auto" w:frame="1"/>
        </w:rPr>
        <w:t>In conclusion, the role of the specialist nurse is central to delivering safe, effective, and patient-centred care. The skills required—particularly advanced communication, clinical decision-making, and empathy—are essential for meeting the complex needs of individuals in modern healthcare. Improving these skills through continuing professional development, reflective practice, and interdisciplinary learning supports both professional competence and high-quality care delivery. Together, these strategies ensure that specialist nurses remain confident, compassionate, and capable within their roles. Ultimately, investing in skill development strengthens not only individual practice but also the overall quality and safety of healthcare services</w:t>
      </w:r>
      <w:r>
        <w:rPr>
          <w:rFonts w:ascii="inherit" w:hAnsi="inherit"/>
          <w:color w:val="242424"/>
          <w:sz w:val="30"/>
          <w:szCs w:val="30"/>
          <w:bdr w:val="none" w:sz="0" w:space="0" w:color="auto" w:frame="1"/>
        </w:rPr>
        <w:t>.</w:t>
      </w:r>
    </w:p>
    <w:p w14:paraId="4FCF2083" w14:textId="77777777" w:rsidR="002D4D99" w:rsidRDefault="002D4D99" w:rsidP="009A07BF">
      <w:pPr>
        <w:pStyle w:val="NormalWeb"/>
        <w:shd w:val="clear" w:color="auto" w:fill="FFFFFF"/>
        <w:spacing w:before="0" w:beforeAutospacing="0" w:after="0" w:afterAutospacing="0"/>
        <w:ind w:left="440"/>
        <w:rPr>
          <w:color w:val="242424"/>
          <w:sz w:val="30"/>
          <w:szCs w:val="30"/>
        </w:rPr>
      </w:pPr>
    </w:p>
    <w:p w14:paraId="6C4B494D" w14:textId="46E15023" w:rsidR="00226D31" w:rsidRDefault="00226D31" w:rsidP="00432ACB">
      <w:pPr>
        <w:pStyle w:val="Heading2"/>
        <w:numPr>
          <w:ilvl w:val="1"/>
          <w:numId w:val="23"/>
        </w:numPr>
        <w:rPr>
          <w:color w:val="4472C4" w:themeColor="accent1"/>
          <w:szCs w:val="24"/>
        </w:rPr>
      </w:pPr>
      <w:bookmarkStart w:id="4" w:name="_Toc212100522"/>
      <w:r w:rsidRPr="002976D4">
        <w:rPr>
          <w:color w:val="4472C4" w:themeColor="accent1"/>
          <w:szCs w:val="24"/>
        </w:rPr>
        <w:t>Reference List</w:t>
      </w:r>
      <w:bookmarkEnd w:id="4"/>
      <w:r w:rsidR="009A07BF">
        <w:rPr>
          <w:color w:val="4472C4" w:themeColor="accent1"/>
          <w:szCs w:val="24"/>
        </w:rPr>
        <w:t>.</w:t>
      </w:r>
    </w:p>
    <w:p w14:paraId="0CD6AEE3" w14:textId="7EA482A0" w:rsidR="00432ACB" w:rsidRDefault="00432ACB" w:rsidP="00C83BC9">
      <w:pPr>
        <w:pStyle w:val="NormalWeb"/>
        <w:shd w:val="clear" w:color="auto" w:fill="FFFFFF"/>
        <w:spacing w:before="0" w:beforeAutospacing="0" w:after="0" w:afterAutospacing="0"/>
        <w:ind w:left="440"/>
        <w:rPr>
          <w:rFonts w:ascii="Arial" w:hAnsi="Arial" w:cs="Arial"/>
          <w:color w:val="242424"/>
          <w:sz w:val="22"/>
          <w:szCs w:val="22"/>
          <w:bdr w:val="none" w:sz="0" w:space="0" w:color="auto" w:frame="1"/>
        </w:rPr>
      </w:pPr>
      <w:r w:rsidRPr="00C83BC9">
        <w:rPr>
          <w:rFonts w:ascii="Arial" w:hAnsi="Arial" w:cs="Arial"/>
          <w:color w:val="242424"/>
          <w:sz w:val="22"/>
          <w:szCs w:val="22"/>
          <w:bdr w:val="none" w:sz="0" w:space="0" w:color="auto" w:frame="1"/>
        </w:rPr>
        <w:br/>
        <w:t xml:space="preserve">Department of Health and Social Care (DHSC) (2021) </w:t>
      </w:r>
      <w:r w:rsidRPr="00E21F7B">
        <w:rPr>
          <w:rFonts w:ascii="Arial" w:hAnsi="Arial" w:cs="Arial"/>
          <w:i/>
          <w:iCs/>
          <w:color w:val="242424"/>
          <w:sz w:val="22"/>
          <w:szCs w:val="22"/>
          <w:bdr w:val="none" w:sz="0" w:space="0" w:color="auto" w:frame="1"/>
        </w:rPr>
        <w:t>Review of patient safety across the health and care landscape</w:t>
      </w:r>
      <w:r w:rsidRPr="00C83BC9">
        <w:rPr>
          <w:rFonts w:ascii="Arial" w:hAnsi="Arial" w:cs="Arial"/>
          <w:color w:val="242424"/>
          <w:sz w:val="22"/>
          <w:szCs w:val="22"/>
          <w:bdr w:val="none" w:sz="0" w:space="0" w:color="auto" w:frame="1"/>
        </w:rPr>
        <w:t>. Available at: </w:t>
      </w:r>
      <w:hyperlink r:id="rId12" w:tgtFrame="_blank" w:tooltip="https://www.gov.uk/government/publications/review-of-patient-safety-across-the-health-and-care-landscape" w:history="1">
        <w:r w:rsidRPr="00C83BC9">
          <w:rPr>
            <w:rStyle w:val="Hyperlink"/>
            <w:rFonts w:ascii="Arial" w:hAnsi="Arial" w:cs="Arial"/>
            <w:sz w:val="22"/>
            <w:szCs w:val="22"/>
            <w:bdr w:val="none" w:sz="0" w:space="0" w:color="auto" w:frame="1"/>
          </w:rPr>
          <w:t>https://www.gov.uk/government/publications/review-of-patient-safety-across-the-health-and-care-landscape</w:t>
        </w:r>
      </w:hyperlink>
      <w:r w:rsidRPr="00C83BC9">
        <w:rPr>
          <w:rFonts w:ascii="Arial" w:hAnsi="Arial" w:cs="Arial"/>
          <w:color w:val="242424"/>
          <w:sz w:val="22"/>
          <w:szCs w:val="22"/>
          <w:bdr w:val="none" w:sz="0" w:space="0" w:color="auto" w:frame="1"/>
        </w:rPr>
        <w:t xml:space="preserve"> (Accessed: </w:t>
      </w:r>
      <w:r w:rsidR="00440276">
        <w:rPr>
          <w:rFonts w:ascii="Arial" w:hAnsi="Arial" w:cs="Arial"/>
          <w:color w:val="242424"/>
          <w:sz w:val="22"/>
          <w:szCs w:val="22"/>
          <w:bdr w:val="none" w:sz="0" w:space="0" w:color="auto" w:frame="1"/>
        </w:rPr>
        <w:t>15 November 2025 )</w:t>
      </w:r>
      <w:r w:rsidR="003612DB">
        <w:rPr>
          <w:rFonts w:ascii="Arial" w:hAnsi="Arial" w:cs="Arial"/>
          <w:color w:val="242424"/>
          <w:sz w:val="22"/>
          <w:szCs w:val="22"/>
          <w:bdr w:val="none" w:sz="0" w:space="0" w:color="auto" w:frame="1"/>
        </w:rPr>
        <w:t>.</w:t>
      </w:r>
    </w:p>
    <w:p w14:paraId="2FDA3CBD" w14:textId="77777777" w:rsidR="00C83BC9" w:rsidRPr="00C83BC9" w:rsidRDefault="00C83BC9" w:rsidP="00C83BC9">
      <w:pPr>
        <w:pStyle w:val="NormalWeb"/>
        <w:shd w:val="clear" w:color="auto" w:fill="FFFFFF"/>
        <w:spacing w:before="0" w:beforeAutospacing="0" w:after="0" w:afterAutospacing="0"/>
        <w:ind w:left="440"/>
        <w:rPr>
          <w:rFonts w:ascii="Arial" w:hAnsi="Arial" w:cs="Arial"/>
          <w:color w:val="242424"/>
          <w:sz w:val="22"/>
          <w:szCs w:val="22"/>
        </w:rPr>
      </w:pPr>
    </w:p>
    <w:p w14:paraId="5E9F3606" w14:textId="77777777" w:rsidR="000A4299" w:rsidRDefault="00432ACB" w:rsidP="00C83BC9">
      <w:pPr>
        <w:pStyle w:val="NormalWeb"/>
        <w:shd w:val="clear" w:color="auto" w:fill="FFFFFF"/>
        <w:spacing w:before="0" w:beforeAutospacing="0" w:after="0" w:afterAutospacing="0"/>
        <w:ind w:left="440"/>
        <w:rPr>
          <w:rFonts w:ascii="Arial" w:hAnsi="Arial" w:cs="Arial"/>
          <w:i/>
          <w:iCs/>
          <w:color w:val="242424"/>
          <w:sz w:val="22"/>
          <w:szCs w:val="22"/>
          <w:bdr w:val="none" w:sz="0" w:space="0" w:color="auto" w:frame="1"/>
        </w:rPr>
      </w:pPr>
      <w:r w:rsidRPr="00C83BC9">
        <w:rPr>
          <w:rFonts w:ascii="Arial" w:hAnsi="Arial" w:cs="Arial"/>
          <w:color w:val="242424"/>
          <w:sz w:val="22"/>
          <w:szCs w:val="22"/>
          <w:bdr w:val="none" w:sz="0" w:space="0" w:color="auto" w:frame="1"/>
        </w:rPr>
        <w:t xml:space="preserve">National Health Service England (2019) </w:t>
      </w:r>
      <w:r w:rsidRPr="000A4299">
        <w:rPr>
          <w:rFonts w:ascii="Arial" w:hAnsi="Arial" w:cs="Arial"/>
          <w:i/>
          <w:iCs/>
          <w:color w:val="242424"/>
          <w:sz w:val="22"/>
          <w:szCs w:val="22"/>
          <w:bdr w:val="none" w:sz="0" w:space="0" w:color="auto" w:frame="1"/>
        </w:rPr>
        <w:t>The NHS Patient Safety Strategy – Safer culture, safer systems, safer patients.</w:t>
      </w:r>
    </w:p>
    <w:p w14:paraId="50E1D681" w14:textId="2BEDD8B4" w:rsidR="00432ACB" w:rsidRDefault="00432ACB" w:rsidP="00C83BC9">
      <w:pPr>
        <w:pStyle w:val="NormalWeb"/>
        <w:shd w:val="clear" w:color="auto" w:fill="FFFFFF"/>
        <w:spacing w:before="0" w:beforeAutospacing="0" w:after="0" w:afterAutospacing="0"/>
        <w:ind w:left="440"/>
        <w:rPr>
          <w:rFonts w:ascii="Arial" w:hAnsi="Arial" w:cs="Arial"/>
          <w:color w:val="242424"/>
          <w:sz w:val="22"/>
          <w:szCs w:val="22"/>
          <w:bdr w:val="none" w:sz="0" w:space="0" w:color="auto" w:frame="1"/>
        </w:rPr>
      </w:pPr>
      <w:r w:rsidRPr="00C83BC9">
        <w:rPr>
          <w:rFonts w:ascii="Arial" w:hAnsi="Arial" w:cs="Arial"/>
          <w:color w:val="242424"/>
          <w:sz w:val="22"/>
          <w:szCs w:val="22"/>
          <w:bdr w:val="none" w:sz="0" w:space="0" w:color="auto" w:frame="1"/>
        </w:rPr>
        <w:t xml:space="preserve"> Available at: </w:t>
      </w:r>
      <w:hyperlink r:id="rId13" w:tgtFrame="_blank" w:tooltip="https://www.england.nhs.uk/wp-content/uploads/2020/08/190708_Patient_Safety_Strategy_for_website_v4.pdf" w:history="1">
        <w:r w:rsidRPr="00C83BC9">
          <w:rPr>
            <w:rStyle w:val="Hyperlink"/>
            <w:rFonts w:ascii="Arial" w:hAnsi="Arial" w:cs="Arial"/>
            <w:sz w:val="22"/>
            <w:szCs w:val="22"/>
            <w:bdr w:val="none" w:sz="0" w:space="0" w:color="auto" w:frame="1"/>
          </w:rPr>
          <w:t>https://www.england.nhs.uk/wp-content/uploads/2020/08/190708_Patient_Safety_Strategy_for_website_v4.pdf</w:t>
        </w:r>
      </w:hyperlink>
      <w:r w:rsidRPr="00C83BC9">
        <w:rPr>
          <w:rFonts w:ascii="Arial" w:hAnsi="Arial" w:cs="Arial"/>
          <w:color w:val="242424"/>
          <w:sz w:val="22"/>
          <w:szCs w:val="22"/>
          <w:bdr w:val="none" w:sz="0" w:space="0" w:color="auto" w:frame="1"/>
        </w:rPr>
        <w:t xml:space="preserve"> (Accessed: </w:t>
      </w:r>
      <w:r w:rsidR="005C3E2E">
        <w:rPr>
          <w:rFonts w:ascii="Arial" w:hAnsi="Arial" w:cs="Arial"/>
          <w:color w:val="242424"/>
          <w:sz w:val="22"/>
          <w:szCs w:val="22"/>
          <w:bdr w:val="none" w:sz="0" w:space="0" w:color="auto" w:frame="1"/>
        </w:rPr>
        <w:t>14 November 2025).</w:t>
      </w:r>
    </w:p>
    <w:p w14:paraId="07C9B4A1" w14:textId="77777777" w:rsidR="00C83BC9" w:rsidRPr="00C83BC9" w:rsidRDefault="00C83BC9" w:rsidP="00C83BC9">
      <w:pPr>
        <w:pStyle w:val="NormalWeb"/>
        <w:shd w:val="clear" w:color="auto" w:fill="FFFFFF"/>
        <w:spacing w:before="0" w:beforeAutospacing="0" w:after="0" w:afterAutospacing="0"/>
        <w:ind w:left="440"/>
        <w:rPr>
          <w:rFonts w:ascii="Arial" w:hAnsi="Arial" w:cs="Arial"/>
          <w:color w:val="242424"/>
          <w:sz w:val="22"/>
          <w:szCs w:val="22"/>
        </w:rPr>
      </w:pPr>
    </w:p>
    <w:p w14:paraId="1B9F1E25" w14:textId="30B76171" w:rsidR="000A4299" w:rsidRDefault="00432ACB" w:rsidP="00C83BC9">
      <w:pPr>
        <w:pStyle w:val="NormalWeb"/>
        <w:shd w:val="clear" w:color="auto" w:fill="FFFFFF"/>
        <w:spacing w:before="0" w:beforeAutospacing="0" w:after="0" w:afterAutospacing="0"/>
        <w:ind w:left="440"/>
        <w:rPr>
          <w:rFonts w:ascii="Arial" w:hAnsi="Arial" w:cs="Arial"/>
          <w:color w:val="242424"/>
          <w:sz w:val="22"/>
          <w:szCs w:val="22"/>
          <w:bdr w:val="none" w:sz="0" w:space="0" w:color="auto" w:frame="1"/>
        </w:rPr>
      </w:pPr>
      <w:r w:rsidRPr="00C83BC9">
        <w:rPr>
          <w:rFonts w:ascii="Arial" w:hAnsi="Arial" w:cs="Arial"/>
          <w:color w:val="242424"/>
          <w:sz w:val="22"/>
          <w:szCs w:val="22"/>
          <w:bdr w:val="none" w:sz="0" w:space="0" w:color="auto" w:frame="1"/>
        </w:rPr>
        <w:t xml:space="preserve">National Health Service England (2025) </w:t>
      </w:r>
      <w:r w:rsidRPr="00E911F2">
        <w:rPr>
          <w:rFonts w:ascii="Arial" w:hAnsi="Arial" w:cs="Arial"/>
          <w:i/>
          <w:iCs/>
          <w:color w:val="242424"/>
          <w:sz w:val="22"/>
          <w:szCs w:val="22"/>
          <w:bdr w:val="none" w:sz="0" w:space="0" w:color="auto" w:frame="1"/>
        </w:rPr>
        <w:t>The NHS patient safety strategy – progress update – April</w:t>
      </w:r>
      <w:r w:rsidRPr="00C83BC9">
        <w:rPr>
          <w:rFonts w:ascii="Arial" w:hAnsi="Arial" w:cs="Arial"/>
          <w:color w:val="242424"/>
          <w:sz w:val="22"/>
          <w:szCs w:val="22"/>
          <w:bdr w:val="none" w:sz="0" w:space="0" w:color="auto" w:frame="1"/>
        </w:rPr>
        <w:t xml:space="preserve"> 2025.</w:t>
      </w:r>
    </w:p>
    <w:p w14:paraId="248B1517" w14:textId="62A6C24C" w:rsidR="00432ACB" w:rsidRDefault="000A4299" w:rsidP="000A4299">
      <w:pPr>
        <w:pStyle w:val="NormalWeb"/>
        <w:shd w:val="clear" w:color="auto" w:fill="FFFFFF"/>
        <w:spacing w:before="0" w:beforeAutospacing="0" w:after="0" w:afterAutospacing="0"/>
        <w:rPr>
          <w:rFonts w:ascii="Arial" w:hAnsi="Arial" w:cs="Arial"/>
          <w:color w:val="242424"/>
          <w:sz w:val="22"/>
          <w:szCs w:val="22"/>
          <w:bdr w:val="none" w:sz="0" w:space="0" w:color="auto" w:frame="1"/>
        </w:rPr>
      </w:pPr>
      <w:r>
        <w:rPr>
          <w:rFonts w:ascii="Arial" w:hAnsi="Arial" w:cs="Arial"/>
          <w:color w:val="242424"/>
          <w:sz w:val="22"/>
          <w:szCs w:val="22"/>
          <w:bdr w:val="none" w:sz="0" w:space="0" w:color="auto" w:frame="1"/>
        </w:rPr>
        <w:t xml:space="preserve">      </w:t>
      </w:r>
      <w:r w:rsidR="00432ACB" w:rsidRPr="00C83BC9">
        <w:rPr>
          <w:rFonts w:ascii="Arial" w:hAnsi="Arial" w:cs="Arial"/>
          <w:color w:val="242424"/>
          <w:sz w:val="22"/>
          <w:szCs w:val="22"/>
          <w:bdr w:val="none" w:sz="0" w:space="0" w:color="auto" w:frame="1"/>
        </w:rPr>
        <w:t xml:space="preserve"> Available at: </w:t>
      </w:r>
      <w:hyperlink r:id="rId14" w:tgtFrame="_blank" w:tooltip="https://www.england.nhs.uk/patient-safety/the-nhs-patient-safety-strategy/nhs-patient-safety-strategy-progress-so-far/" w:history="1">
        <w:r w:rsidR="00432ACB" w:rsidRPr="00C83BC9">
          <w:rPr>
            <w:rStyle w:val="Hyperlink"/>
            <w:rFonts w:ascii="Arial" w:hAnsi="Arial" w:cs="Arial"/>
            <w:sz w:val="22"/>
            <w:szCs w:val="22"/>
            <w:bdr w:val="none" w:sz="0" w:space="0" w:color="auto" w:frame="1"/>
          </w:rPr>
          <w:t>https://www.england.nhs.uk/patient-safety/the-nhs-patient-safety-strategy/nhs-patient-safety-strategy-progress-so-far/</w:t>
        </w:r>
      </w:hyperlink>
      <w:r w:rsidR="00432ACB" w:rsidRPr="00C83BC9">
        <w:rPr>
          <w:rFonts w:ascii="Arial" w:hAnsi="Arial" w:cs="Arial"/>
          <w:color w:val="242424"/>
          <w:sz w:val="22"/>
          <w:szCs w:val="22"/>
          <w:bdr w:val="none" w:sz="0" w:space="0" w:color="auto" w:frame="1"/>
        </w:rPr>
        <w:t xml:space="preserve"> (Accessed: </w:t>
      </w:r>
      <w:r w:rsidR="00E911F2">
        <w:rPr>
          <w:rFonts w:ascii="Arial" w:hAnsi="Arial" w:cs="Arial"/>
          <w:color w:val="242424"/>
          <w:sz w:val="22"/>
          <w:szCs w:val="22"/>
          <w:bdr w:val="none" w:sz="0" w:space="0" w:color="auto" w:frame="1"/>
        </w:rPr>
        <w:t>19 November 2025).</w:t>
      </w:r>
    </w:p>
    <w:p w14:paraId="3FF9297E" w14:textId="77777777" w:rsidR="00C83BC9" w:rsidRPr="00C83BC9" w:rsidRDefault="00C83BC9" w:rsidP="00C83BC9">
      <w:pPr>
        <w:pStyle w:val="NormalWeb"/>
        <w:shd w:val="clear" w:color="auto" w:fill="FFFFFF"/>
        <w:spacing w:before="0" w:beforeAutospacing="0" w:after="0" w:afterAutospacing="0"/>
        <w:ind w:left="440"/>
        <w:rPr>
          <w:rFonts w:ascii="Arial" w:hAnsi="Arial" w:cs="Arial"/>
          <w:color w:val="242424"/>
          <w:sz w:val="22"/>
          <w:szCs w:val="22"/>
        </w:rPr>
      </w:pPr>
    </w:p>
    <w:p w14:paraId="13E7623E" w14:textId="441ECDF0" w:rsidR="00432ACB" w:rsidRDefault="00432ACB" w:rsidP="00C83BC9">
      <w:pPr>
        <w:pStyle w:val="NormalWeb"/>
        <w:shd w:val="clear" w:color="auto" w:fill="FFFFFF"/>
        <w:spacing w:before="0" w:beforeAutospacing="0" w:after="0" w:afterAutospacing="0"/>
        <w:ind w:left="440"/>
        <w:rPr>
          <w:rFonts w:ascii="Arial" w:hAnsi="Arial" w:cs="Arial"/>
          <w:color w:val="242424"/>
          <w:sz w:val="22"/>
          <w:szCs w:val="22"/>
          <w:bdr w:val="none" w:sz="0" w:space="0" w:color="auto" w:frame="1"/>
        </w:rPr>
      </w:pPr>
      <w:r w:rsidRPr="00C83BC9">
        <w:rPr>
          <w:rFonts w:ascii="Arial" w:hAnsi="Arial" w:cs="Arial"/>
          <w:color w:val="242424"/>
          <w:sz w:val="22"/>
          <w:szCs w:val="22"/>
          <w:bdr w:val="none" w:sz="0" w:space="0" w:color="auto" w:frame="1"/>
        </w:rPr>
        <w:t xml:space="preserve">Nursing and Midwifery Council (NMC) (2018) </w:t>
      </w:r>
      <w:r w:rsidRPr="00DB5AF9">
        <w:rPr>
          <w:rFonts w:ascii="Arial" w:hAnsi="Arial" w:cs="Arial"/>
          <w:i/>
          <w:iCs/>
          <w:color w:val="242424"/>
          <w:sz w:val="22"/>
          <w:szCs w:val="22"/>
          <w:bdr w:val="none" w:sz="0" w:space="0" w:color="auto" w:frame="1"/>
        </w:rPr>
        <w:t>The Code: Professional standards of practice and behaviour for nurses, midwives and nursing associates</w:t>
      </w:r>
      <w:r w:rsidRPr="00C83BC9">
        <w:rPr>
          <w:rFonts w:ascii="Arial" w:hAnsi="Arial" w:cs="Arial"/>
          <w:color w:val="242424"/>
          <w:sz w:val="22"/>
          <w:szCs w:val="22"/>
          <w:bdr w:val="none" w:sz="0" w:space="0" w:color="auto" w:frame="1"/>
        </w:rPr>
        <w:t>. Available at: </w:t>
      </w:r>
      <w:hyperlink r:id="rId15" w:tgtFrame="_blank" w:tooltip="https://www.nmc.org.uk/standards/code/" w:history="1">
        <w:r w:rsidRPr="00C83BC9">
          <w:rPr>
            <w:rStyle w:val="Hyperlink"/>
            <w:rFonts w:ascii="Arial" w:hAnsi="Arial" w:cs="Arial"/>
            <w:sz w:val="22"/>
            <w:szCs w:val="22"/>
            <w:bdr w:val="none" w:sz="0" w:space="0" w:color="auto" w:frame="1"/>
          </w:rPr>
          <w:t>https://www.nmc.org.uk/standards/code/</w:t>
        </w:r>
      </w:hyperlink>
      <w:r w:rsidRPr="00C83BC9">
        <w:rPr>
          <w:rFonts w:ascii="Arial" w:hAnsi="Arial" w:cs="Arial"/>
          <w:color w:val="242424"/>
          <w:sz w:val="22"/>
          <w:szCs w:val="22"/>
          <w:bdr w:val="none" w:sz="0" w:space="0" w:color="auto" w:frame="1"/>
        </w:rPr>
        <w:t xml:space="preserve"> (Accessed: </w:t>
      </w:r>
      <w:r w:rsidR="00E911F2">
        <w:rPr>
          <w:rFonts w:ascii="Arial" w:hAnsi="Arial" w:cs="Arial"/>
          <w:color w:val="242424"/>
          <w:sz w:val="22"/>
          <w:szCs w:val="22"/>
          <w:bdr w:val="none" w:sz="0" w:space="0" w:color="auto" w:frame="1"/>
        </w:rPr>
        <w:t>15 November 2025 ).</w:t>
      </w:r>
    </w:p>
    <w:p w14:paraId="6F568416" w14:textId="77777777" w:rsidR="00C83BC9" w:rsidRPr="00C83BC9" w:rsidRDefault="00C83BC9" w:rsidP="00C83BC9">
      <w:pPr>
        <w:pStyle w:val="NormalWeb"/>
        <w:shd w:val="clear" w:color="auto" w:fill="FFFFFF"/>
        <w:spacing w:before="0" w:beforeAutospacing="0" w:after="0" w:afterAutospacing="0"/>
        <w:ind w:left="440"/>
        <w:rPr>
          <w:rFonts w:ascii="Arial" w:hAnsi="Arial" w:cs="Arial"/>
          <w:color w:val="242424"/>
          <w:sz w:val="22"/>
          <w:szCs w:val="22"/>
        </w:rPr>
      </w:pPr>
    </w:p>
    <w:p w14:paraId="120031B6" w14:textId="2413F013" w:rsidR="000A4299" w:rsidRDefault="00DB5AF9" w:rsidP="00C83BC9">
      <w:pPr>
        <w:pStyle w:val="NormalWeb"/>
        <w:shd w:val="clear" w:color="auto" w:fill="FFFFFF"/>
        <w:spacing w:before="0" w:beforeAutospacing="0" w:after="0" w:afterAutospacing="0"/>
        <w:rPr>
          <w:rFonts w:ascii="Arial" w:hAnsi="Arial" w:cs="Arial"/>
          <w:color w:val="242424"/>
          <w:sz w:val="22"/>
          <w:szCs w:val="22"/>
          <w:bdr w:val="none" w:sz="0" w:space="0" w:color="auto" w:frame="1"/>
        </w:rPr>
      </w:pPr>
      <w:r>
        <w:rPr>
          <w:rFonts w:ascii="Arial" w:hAnsi="Arial" w:cs="Arial"/>
          <w:color w:val="242424"/>
          <w:sz w:val="22"/>
          <w:szCs w:val="22"/>
          <w:bdr w:val="none" w:sz="0" w:space="0" w:color="auto" w:frame="1"/>
        </w:rPr>
        <w:t xml:space="preserve">    </w:t>
      </w:r>
      <w:r w:rsidR="000A4299">
        <w:rPr>
          <w:rFonts w:ascii="Arial" w:hAnsi="Arial" w:cs="Arial"/>
          <w:color w:val="242424"/>
          <w:sz w:val="22"/>
          <w:szCs w:val="22"/>
          <w:bdr w:val="none" w:sz="0" w:space="0" w:color="auto" w:frame="1"/>
        </w:rPr>
        <w:t xml:space="preserve"> </w:t>
      </w:r>
      <w:r>
        <w:rPr>
          <w:rFonts w:ascii="Arial" w:hAnsi="Arial" w:cs="Arial"/>
          <w:color w:val="242424"/>
          <w:sz w:val="22"/>
          <w:szCs w:val="22"/>
          <w:bdr w:val="none" w:sz="0" w:space="0" w:color="auto" w:frame="1"/>
        </w:rPr>
        <w:t xml:space="preserve"> </w:t>
      </w:r>
      <w:r w:rsidR="00432ACB" w:rsidRPr="00C83BC9">
        <w:rPr>
          <w:rFonts w:ascii="Arial" w:hAnsi="Arial" w:cs="Arial"/>
          <w:color w:val="242424"/>
          <w:sz w:val="22"/>
          <w:szCs w:val="22"/>
          <w:bdr w:val="none" w:sz="0" w:space="0" w:color="auto" w:frame="1"/>
        </w:rPr>
        <w:t xml:space="preserve">Nursing and Midwifery Council (NMC) (2023) </w:t>
      </w:r>
      <w:r w:rsidR="00432ACB" w:rsidRPr="00E32035">
        <w:rPr>
          <w:rFonts w:ascii="Arial" w:hAnsi="Arial" w:cs="Arial"/>
          <w:i/>
          <w:iCs/>
          <w:color w:val="242424"/>
          <w:sz w:val="22"/>
          <w:szCs w:val="22"/>
          <w:bdr w:val="none" w:sz="0" w:space="0" w:color="auto" w:frame="1"/>
        </w:rPr>
        <w:t>Standards of proficiency for registered nurses</w:t>
      </w:r>
      <w:r w:rsidR="00432ACB" w:rsidRPr="00C83BC9">
        <w:rPr>
          <w:rFonts w:ascii="Arial" w:hAnsi="Arial" w:cs="Arial"/>
          <w:color w:val="242424"/>
          <w:sz w:val="22"/>
          <w:szCs w:val="22"/>
          <w:bdr w:val="none" w:sz="0" w:space="0" w:color="auto" w:frame="1"/>
        </w:rPr>
        <w:t>.</w:t>
      </w:r>
    </w:p>
    <w:p w14:paraId="2EB09813" w14:textId="519D8C15" w:rsidR="00432ACB" w:rsidRDefault="000A4299" w:rsidP="00C83BC9">
      <w:pPr>
        <w:pStyle w:val="NormalWeb"/>
        <w:shd w:val="clear" w:color="auto" w:fill="FFFFFF"/>
        <w:spacing w:before="0" w:beforeAutospacing="0" w:after="0" w:afterAutospacing="0"/>
        <w:rPr>
          <w:rFonts w:ascii="Arial" w:hAnsi="Arial" w:cs="Arial"/>
          <w:color w:val="242424"/>
          <w:sz w:val="22"/>
          <w:szCs w:val="22"/>
          <w:bdr w:val="none" w:sz="0" w:space="0" w:color="auto" w:frame="1"/>
        </w:rPr>
      </w:pPr>
      <w:r>
        <w:rPr>
          <w:rFonts w:ascii="Arial" w:hAnsi="Arial" w:cs="Arial"/>
          <w:color w:val="242424"/>
          <w:sz w:val="22"/>
          <w:szCs w:val="22"/>
          <w:bdr w:val="none" w:sz="0" w:space="0" w:color="auto" w:frame="1"/>
        </w:rPr>
        <w:t xml:space="preserve">     </w:t>
      </w:r>
      <w:r w:rsidR="00432ACB" w:rsidRPr="00C83BC9">
        <w:rPr>
          <w:rFonts w:ascii="Arial" w:hAnsi="Arial" w:cs="Arial"/>
          <w:color w:val="242424"/>
          <w:sz w:val="22"/>
          <w:szCs w:val="22"/>
          <w:bdr w:val="none" w:sz="0" w:space="0" w:color="auto" w:frame="1"/>
        </w:rPr>
        <w:t xml:space="preserve"> Available at: </w:t>
      </w:r>
      <w:hyperlink r:id="rId16" w:tgtFrame="_blank" w:tooltip="https://www.nmc.org.uk/standards/standards-for-nurses/standards-of-proficiency-for-registered-nurses/" w:history="1">
        <w:r w:rsidR="00432ACB" w:rsidRPr="00C83BC9">
          <w:rPr>
            <w:rStyle w:val="Hyperlink"/>
            <w:rFonts w:ascii="Arial" w:hAnsi="Arial" w:cs="Arial"/>
            <w:sz w:val="22"/>
            <w:szCs w:val="22"/>
            <w:bdr w:val="none" w:sz="0" w:space="0" w:color="auto" w:frame="1"/>
          </w:rPr>
          <w:t>https://www.nmc.org.uk/standards/standards-for-nurses/standards-of-proficiency-for-registered-nurses/</w:t>
        </w:r>
      </w:hyperlink>
      <w:r w:rsidR="00432ACB" w:rsidRPr="00C83BC9">
        <w:rPr>
          <w:rFonts w:ascii="Arial" w:hAnsi="Arial" w:cs="Arial"/>
          <w:color w:val="242424"/>
          <w:sz w:val="22"/>
          <w:szCs w:val="22"/>
          <w:bdr w:val="none" w:sz="0" w:space="0" w:color="auto" w:frame="1"/>
        </w:rPr>
        <w:t> (Accessed:</w:t>
      </w:r>
      <w:r w:rsidR="00DB5AF9">
        <w:rPr>
          <w:rFonts w:ascii="Arial" w:hAnsi="Arial" w:cs="Arial"/>
          <w:color w:val="242424"/>
          <w:sz w:val="22"/>
          <w:szCs w:val="22"/>
          <w:bdr w:val="none" w:sz="0" w:space="0" w:color="auto" w:frame="1"/>
        </w:rPr>
        <w:t xml:space="preserve"> 18</w:t>
      </w:r>
      <w:r w:rsidR="00E32035">
        <w:rPr>
          <w:rFonts w:ascii="Arial" w:hAnsi="Arial" w:cs="Arial"/>
          <w:color w:val="242424"/>
          <w:sz w:val="22"/>
          <w:szCs w:val="22"/>
          <w:bdr w:val="none" w:sz="0" w:space="0" w:color="auto" w:frame="1"/>
        </w:rPr>
        <w:t xml:space="preserve"> November 2025).</w:t>
      </w:r>
    </w:p>
    <w:p w14:paraId="1E7374E7" w14:textId="77777777" w:rsidR="00C83BC9" w:rsidRPr="00C83BC9" w:rsidRDefault="00C83BC9" w:rsidP="00C83BC9">
      <w:pPr>
        <w:pStyle w:val="NormalWeb"/>
        <w:shd w:val="clear" w:color="auto" w:fill="FFFFFF"/>
        <w:spacing w:before="0" w:beforeAutospacing="0" w:after="0" w:afterAutospacing="0"/>
        <w:rPr>
          <w:rFonts w:ascii="Arial" w:hAnsi="Arial" w:cs="Arial"/>
          <w:color w:val="242424"/>
          <w:sz w:val="22"/>
          <w:szCs w:val="22"/>
        </w:rPr>
      </w:pPr>
    </w:p>
    <w:p w14:paraId="5D47BB42" w14:textId="77777777" w:rsidR="000A4299" w:rsidRDefault="00432ACB" w:rsidP="00C83BC9">
      <w:pPr>
        <w:pStyle w:val="NormalWeb"/>
        <w:shd w:val="clear" w:color="auto" w:fill="FFFFFF"/>
        <w:spacing w:before="0" w:beforeAutospacing="0" w:after="0" w:afterAutospacing="0"/>
        <w:ind w:left="440"/>
        <w:rPr>
          <w:rFonts w:ascii="Arial" w:hAnsi="Arial" w:cs="Arial"/>
          <w:color w:val="242424"/>
          <w:sz w:val="22"/>
          <w:szCs w:val="22"/>
          <w:bdr w:val="none" w:sz="0" w:space="0" w:color="auto" w:frame="1"/>
        </w:rPr>
      </w:pPr>
      <w:r w:rsidRPr="00C83BC9">
        <w:rPr>
          <w:rFonts w:ascii="Arial" w:hAnsi="Arial" w:cs="Arial"/>
          <w:color w:val="242424"/>
          <w:sz w:val="22"/>
          <w:szCs w:val="22"/>
          <w:bdr w:val="none" w:sz="0" w:space="0" w:color="auto" w:frame="1"/>
        </w:rPr>
        <w:t xml:space="preserve">Skills for Health (2017) </w:t>
      </w:r>
      <w:r w:rsidRPr="00E32035">
        <w:rPr>
          <w:rFonts w:ascii="Arial" w:hAnsi="Arial" w:cs="Arial"/>
          <w:i/>
          <w:iCs/>
          <w:color w:val="242424"/>
          <w:sz w:val="22"/>
          <w:szCs w:val="22"/>
          <w:bdr w:val="none" w:sz="0" w:space="0" w:color="auto" w:frame="1"/>
        </w:rPr>
        <w:t>Person-Centred Approaches Framework</w:t>
      </w:r>
      <w:r w:rsidRPr="00C83BC9">
        <w:rPr>
          <w:rFonts w:ascii="Arial" w:hAnsi="Arial" w:cs="Arial"/>
          <w:color w:val="242424"/>
          <w:sz w:val="22"/>
          <w:szCs w:val="22"/>
          <w:bdr w:val="none" w:sz="0" w:space="0" w:color="auto" w:frame="1"/>
        </w:rPr>
        <w:t>. Available at: </w:t>
      </w:r>
      <w:hyperlink r:id="rId17" w:tgtFrame="_blank" w:tooltip="https://www.skillsforhealth.org.uk/info-hub/person-centred-approaches-2017/" w:history="1">
        <w:r w:rsidRPr="00C83BC9">
          <w:rPr>
            <w:rStyle w:val="Hyperlink"/>
            <w:rFonts w:ascii="Arial" w:hAnsi="Arial" w:cs="Arial"/>
            <w:sz w:val="22"/>
            <w:szCs w:val="22"/>
            <w:bdr w:val="none" w:sz="0" w:space="0" w:color="auto" w:frame="1"/>
          </w:rPr>
          <w:t>https://www.skillsforhealth.org.uk/info-hub/person-centred-approaches-2017/</w:t>
        </w:r>
      </w:hyperlink>
      <w:r w:rsidRPr="00C83BC9">
        <w:rPr>
          <w:rFonts w:ascii="Arial" w:hAnsi="Arial" w:cs="Arial"/>
          <w:color w:val="242424"/>
          <w:sz w:val="22"/>
          <w:szCs w:val="22"/>
          <w:bdr w:val="none" w:sz="0" w:space="0" w:color="auto" w:frame="1"/>
        </w:rPr>
        <w:t> </w:t>
      </w:r>
    </w:p>
    <w:p w14:paraId="34FA4EC4" w14:textId="3278BF18" w:rsidR="00432ACB" w:rsidRPr="00C83BC9" w:rsidRDefault="00432ACB" w:rsidP="00C83BC9">
      <w:pPr>
        <w:pStyle w:val="NormalWeb"/>
        <w:shd w:val="clear" w:color="auto" w:fill="FFFFFF"/>
        <w:spacing w:before="0" w:beforeAutospacing="0" w:after="0" w:afterAutospacing="0"/>
        <w:ind w:left="440"/>
        <w:rPr>
          <w:rFonts w:ascii="Arial" w:hAnsi="Arial" w:cs="Arial"/>
          <w:color w:val="242424"/>
          <w:sz w:val="22"/>
          <w:szCs w:val="22"/>
        </w:rPr>
      </w:pPr>
      <w:r w:rsidRPr="00C83BC9">
        <w:rPr>
          <w:rFonts w:ascii="Arial" w:hAnsi="Arial" w:cs="Arial"/>
          <w:color w:val="242424"/>
          <w:sz w:val="22"/>
          <w:szCs w:val="22"/>
          <w:bdr w:val="none" w:sz="0" w:space="0" w:color="auto" w:frame="1"/>
        </w:rPr>
        <w:t xml:space="preserve">(Accessed: </w:t>
      </w:r>
      <w:r w:rsidR="000A4299">
        <w:rPr>
          <w:rFonts w:ascii="Arial" w:hAnsi="Arial" w:cs="Arial"/>
          <w:color w:val="242424"/>
          <w:sz w:val="22"/>
          <w:szCs w:val="22"/>
          <w:bdr w:val="none" w:sz="0" w:space="0" w:color="auto" w:frame="1"/>
        </w:rPr>
        <w:t>18 November 2025)</w:t>
      </w:r>
      <w:r w:rsidRPr="00C83BC9">
        <w:rPr>
          <w:rFonts w:ascii="Arial" w:hAnsi="Arial" w:cs="Arial"/>
          <w:color w:val="242424"/>
          <w:sz w:val="22"/>
          <w:szCs w:val="22"/>
          <w:bdr w:val="none" w:sz="0" w:space="0" w:color="auto" w:frame="1"/>
        </w:rPr>
        <w:t>.</w:t>
      </w:r>
    </w:p>
    <w:p w14:paraId="2FF0E080" w14:textId="77777777" w:rsidR="00432ACB" w:rsidRPr="00432ACB" w:rsidRDefault="00432ACB" w:rsidP="00432ACB">
      <w:pPr>
        <w:pStyle w:val="ListParagraph"/>
        <w:ind w:left="440"/>
      </w:pP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62EAF8" w14:textId="77777777" w:rsidR="005D25D9" w:rsidRDefault="005D25D9" w:rsidP="003C7C97">
      <w:pPr>
        <w:spacing w:after="0" w:line="240" w:lineRule="auto"/>
      </w:pPr>
      <w:r>
        <w:separator/>
      </w:r>
    </w:p>
  </w:endnote>
  <w:endnote w:type="continuationSeparator" w:id="0">
    <w:p w14:paraId="38B73FC4" w14:textId="77777777" w:rsidR="005D25D9" w:rsidRDefault="005D25D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486D1" w14:textId="77777777" w:rsidR="005D25D9" w:rsidRDefault="005D25D9" w:rsidP="003C7C97">
      <w:pPr>
        <w:spacing w:after="0" w:line="240" w:lineRule="auto"/>
      </w:pPr>
      <w:r>
        <w:separator/>
      </w:r>
    </w:p>
  </w:footnote>
  <w:footnote w:type="continuationSeparator" w:id="0">
    <w:p w14:paraId="6AE8BB36" w14:textId="77777777" w:rsidR="005D25D9" w:rsidRDefault="005D25D9"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0656FF"/>
    <w:multiLevelType w:val="multilevel"/>
    <w:tmpl w:val="84204C60"/>
    <w:lvl w:ilvl="0">
      <w:start w:val="1"/>
      <w:numFmt w:val="decimal"/>
      <w:lvlText w:val="%1"/>
      <w:lvlJc w:val="left"/>
      <w:pPr>
        <w:ind w:left="360" w:hanging="360"/>
      </w:pPr>
      <w:rPr>
        <w:rFonts w:hint="default"/>
        <w:color w:val="0563C1" w:themeColor="hyperlink"/>
        <w:u w:val="single"/>
      </w:rPr>
    </w:lvl>
    <w:lvl w:ilvl="1">
      <w:start w:val="1"/>
      <w:numFmt w:val="decimal"/>
      <w:lvlText w:val="%1.%2"/>
      <w:lvlJc w:val="left"/>
      <w:pPr>
        <w:ind w:left="580" w:hanging="360"/>
      </w:pPr>
      <w:rPr>
        <w:rFonts w:hint="default"/>
        <w:color w:val="0563C1" w:themeColor="hyperlink"/>
        <w:u w:val="single"/>
      </w:rPr>
    </w:lvl>
    <w:lvl w:ilvl="2">
      <w:start w:val="1"/>
      <w:numFmt w:val="decimal"/>
      <w:lvlText w:val="%1.%2.%3"/>
      <w:lvlJc w:val="left"/>
      <w:pPr>
        <w:ind w:left="1160" w:hanging="720"/>
      </w:pPr>
      <w:rPr>
        <w:rFonts w:hint="default"/>
        <w:color w:val="0563C1" w:themeColor="hyperlink"/>
        <w:u w:val="single"/>
      </w:rPr>
    </w:lvl>
    <w:lvl w:ilvl="3">
      <w:start w:val="1"/>
      <w:numFmt w:val="decimal"/>
      <w:lvlText w:val="%1.%2.%3.%4"/>
      <w:lvlJc w:val="left"/>
      <w:pPr>
        <w:ind w:left="1380" w:hanging="720"/>
      </w:pPr>
      <w:rPr>
        <w:rFonts w:hint="default"/>
        <w:color w:val="0563C1" w:themeColor="hyperlink"/>
        <w:u w:val="single"/>
      </w:rPr>
    </w:lvl>
    <w:lvl w:ilvl="4">
      <w:start w:val="1"/>
      <w:numFmt w:val="decimal"/>
      <w:lvlText w:val="%1.%2.%3.%4.%5"/>
      <w:lvlJc w:val="left"/>
      <w:pPr>
        <w:ind w:left="1960" w:hanging="1080"/>
      </w:pPr>
      <w:rPr>
        <w:rFonts w:hint="default"/>
        <w:color w:val="0563C1" w:themeColor="hyperlink"/>
        <w:u w:val="single"/>
      </w:rPr>
    </w:lvl>
    <w:lvl w:ilvl="5">
      <w:start w:val="1"/>
      <w:numFmt w:val="decimal"/>
      <w:lvlText w:val="%1.%2.%3.%4.%5.%6"/>
      <w:lvlJc w:val="left"/>
      <w:pPr>
        <w:ind w:left="2180" w:hanging="1080"/>
      </w:pPr>
      <w:rPr>
        <w:rFonts w:hint="default"/>
        <w:color w:val="0563C1" w:themeColor="hyperlink"/>
        <w:u w:val="single"/>
      </w:rPr>
    </w:lvl>
    <w:lvl w:ilvl="6">
      <w:start w:val="1"/>
      <w:numFmt w:val="decimal"/>
      <w:lvlText w:val="%1.%2.%3.%4.%5.%6.%7"/>
      <w:lvlJc w:val="left"/>
      <w:pPr>
        <w:ind w:left="2760" w:hanging="1440"/>
      </w:pPr>
      <w:rPr>
        <w:rFonts w:hint="default"/>
        <w:color w:val="0563C1" w:themeColor="hyperlink"/>
        <w:u w:val="single"/>
      </w:rPr>
    </w:lvl>
    <w:lvl w:ilvl="7">
      <w:start w:val="1"/>
      <w:numFmt w:val="decimal"/>
      <w:lvlText w:val="%1.%2.%3.%4.%5.%6.%7.%8"/>
      <w:lvlJc w:val="left"/>
      <w:pPr>
        <w:ind w:left="2980" w:hanging="1440"/>
      </w:pPr>
      <w:rPr>
        <w:rFonts w:hint="default"/>
        <w:color w:val="0563C1" w:themeColor="hyperlink"/>
        <w:u w:val="single"/>
      </w:rPr>
    </w:lvl>
    <w:lvl w:ilvl="8">
      <w:start w:val="1"/>
      <w:numFmt w:val="decimal"/>
      <w:lvlText w:val="%1.%2.%3.%4.%5.%6.%7.%8.%9"/>
      <w:lvlJc w:val="left"/>
      <w:pPr>
        <w:ind w:left="3200" w:hanging="1440"/>
      </w:pPr>
      <w:rPr>
        <w:rFonts w:hint="default"/>
        <w:color w:val="0563C1" w:themeColor="hyperlink"/>
        <w:u w:val="single"/>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F642B8D"/>
    <w:multiLevelType w:val="multilevel"/>
    <w:tmpl w:val="DDE41ED2"/>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0"/>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3"/>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8"/>
  </w:num>
  <w:num w:numId="15" w16cid:durableId="1132019979">
    <w:abstractNumId w:val="2"/>
  </w:num>
  <w:num w:numId="16" w16cid:durableId="1457524365">
    <w:abstractNumId w:val="5"/>
  </w:num>
  <w:num w:numId="17" w16cid:durableId="1386294306">
    <w:abstractNumId w:val="22"/>
  </w:num>
  <w:num w:numId="18" w16cid:durableId="1838374920">
    <w:abstractNumId w:val="19"/>
  </w:num>
  <w:num w:numId="19" w16cid:durableId="1827044992">
    <w:abstractNumId w:val="7"/>
  </w:num>
  <w:num w:numId="20" w16cid:durableId="895820667">
    <w:abstractNumId w:val="15"/>
  </w:num>
  <w:num w:numId="21" w16cid:durableId="817497522">
    <w:abstractNumId w:val="23"/>
  </w:num>
  <w:num w:numId="22" w16cid:durableId="725690465">
    <w:abstractNumId w:val="0"/>
  </w:num>
  <w:num w:numId="23" w16cid:durableId="1644314156">
    <w:abstractNumId w:val="9"/>
  </w:num>
  <w:num w:numId="24" w16cid:durableId="7520457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2E5E"/>
    <w:rsid w:val="0001715D"/>
    <w:rsid w:val="00022C42"/>
    <w:rsid w:val="00027B15"/>
    <w:rsid w:val="00030A05"/>
    <w:rsid w:val="00070818"/>
    <w:rsid w:val="0008238F"/>
    <w:rsid w:val="00082EC6"/>
    <w:rsid w:val="00085388"/>
    <w:rsid w:val="000A4299"/>
    <w:rsid w:val="000D41DC"/>
    <w:rsid w:val="00101A7E"/>
    <w:rsid w:val="00125D37"/>
    <w:rsid w:val="00127C1A"/>
    <w:rsid w:val="00137E98"/>
    <w:rsid w:val="00150D81"/>
    <w:rsid w:val="00166CEB"/>
    <w:rsid w:val="00183CB9"/>
    <w:rsid w:val="00184A9A"/>
    <w:rsid w:val="00190760"/>
    <w:rsid w:val="001947DF"/>
    <w:rsid w:val="001A703A"/>
    <w:rsid w:val="001B22BB"/>
    <w:rsid w:val="001B619C"/>
    <w:rsid w:val="001D1D3C"/>
    <w:rsid w:val="00215EC9"/>
    <w:rsid w:val="002205D4"/>
    <w:rsid w:val="00222C3A"/>
    <w:rsid w:val="00226D31"/>
    <w:rsid w:val="00236401"/>
    <w:rsid w:val="002370CE"/>
    <w:rsid w:val="00242974"/>
    <w:rsid w:val="002976D4"/>
    <w:rsid w:val="002A5577"/>
    <w:rsid w:val="002B4AA4"/>
    <w:rsid w:val="002C35AC"/>
    <w:rsid w:val="002C4E62"/>
    <w:rsid w:val="002D4D99"/>
    <w:rsid w:val="002E71BA"/>
    <w:rsid w:val="002F5066"/>
    <w:rsid w:val="003003FD"/>
    <w:rsid w:val="00310245"/>
    <w:rsid w:val="00316C95"/>
    <w:rsid w:val="003458DB"/>
    <w:rsid w:val="003523D3"/>
    <w:rsid w:val="00353557"/>
    <w:rsid w:val="00355787"/>
    <w:rsid w:val="003612DB"/>
    <w:rsid w:val="00364C35"/>
    <w:rsid w:val="00372FF1"/>
    <w:rsid w:val="00396F60"/>
    <w:rsid w:val="003A51D6"/>
    <w:rsid w:val="003B125E"/>
    <w:rsid w:val="003B2A5E"/>
    <w:rsid w:val="003C7C97"/>
    <w:rsid w:val="00406B8D"/>
    <w:rsid w:val="00410068"/>
    <w:rsid w:val="0041618E"/>
    <w:rsid w:val="0042295C"/>
    <w:rsid w:val="00426EEC"/>
    <w:rsid w:val="00432ACB"/>
    <w:rsid w:val="00440276"/>
    <w:rsid w:val="004466C3"/>
    <w:rsid w:val="004552CE"/>
    <w:rsid w:val="00481FF7"/>
    <w:rsid w:val="00500295"/>
    <w:rsid w:val="00501AAF"/>
    <w:rsid w:val="00527AFA"/>
    <w:rsid w:val="005419DA"/>
    <w:rsid w:val="005678AC"/>
    <w:rsid w:val="005709B1"/>
    <w:rsid w:val="00572B3B"/>
    <w:rsid w:val="005836D2"/>
    <w:rsid w:val="00587C58"/>
    <w:rsid w:val="005A0422"/>
    <w:rsid w:val="005A7FD4"/>
    <w:rsid w:val="005B1A84"/>
    <w:rsid w:val="005B76BB"/>
    <w:rsid w:val="005C3E2E"/>
    <w:rsid w:val="005D1AF9"/>
    <w:rsid w:val="005D25D9"/>
    <w:rsid w:val="005D5457"/>
    <w:rsid w:val="005E2699"/>
    <w:rsid w:val="005E44B5"/>
    <w:rsid w:val="005E604E"/>
    <w:rsid w:val="005E72FA"/>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416B5"/>
    <w:rsid w:val="008520F8"/>
    <w:rsid w:val="00855F34"/>
    <w:rsid w:val="008826B6"/>
    <w:rsid w:val="008B0B22"/>
    <w:rsid w:val="008C58B0"/>
    <w:rsid w:val="008C591B"/>
    <w:rsid w:val="008C6182"/>
    <w:rsid w:val="0091772A"/>
    <w:rsid w:val="00926458"/>
    <w:rsid w:val="00933720"/>
    <w:rsid w:val="00943B94"/>
    <w:rsid w:val="00993796"/>
    <w:rsid w:val="009A07BF"/>
    <w:rsid w:val="009C7E52"/>
    <w:rsid w:val="009E4934"/>
    <w:rsid w:val="009F40A7"/>
    <w:rsid w:val="009F5CE6"/>
    <w:rsid w:val="00A035CD"/>
    <w:rsid w:val="00A15F55"/>
    <w:rsid w:val="00A2576A"/>
    <w:rsid w:val="00A50E80"/>
    <w:rsid w:val="00A513B0"/>
    <w:rsid w:val="00A63F7F"/>
    <w:rsid w:val="00A667CE"/>
    <w:rsid w:val="00A75042"/>
    <w:rsid w:val="00A774BC"/>
    <w:rsid w:val="00A82678"/>
    <w:rsid w:val="00A946CB"/>
    <w:rsid w:val="00AA77C8"/>
    <w:rsid w:val="00AC7BE2"/>
    <w:rsid w:val="00AE35BF"/>
    <w:rsid w:val="00B05829"/>
    <w:rsid w:val="00B1067E"/>
    <w:rsid w:val="00B81790"/>
    <w:rsid w:val="00B81BBC"/>
    <w:rsid w:val="00BC0DFB"/>
    <w:rsid w:val="00BC18A1"/>
    <w:rsid w:val="00BD03D5"/>
    <w:rsid w:val="00C3215E"/>
    <w:rsid w:val="00C45272"/>
    <w:rsid w:val="00C47770"/>
    <w:rsid w:val="00C75856"/>
    <w:rsid w:val="00C76A97"/>
    <w:rsid w:val="00C83BC9"/>
    <w:rsid w:val="00C85A7C"/>
    <w:rsid w:val="00C95214"/>
    <w:rsid w:val="00CC3F59"/>
    <w:rsid w:val="00CD4774"/>
    <w:rsid w:val="00CE3905"/>
    <w:rsid w:val="00CF00ED"/>
    <w:rsid w:val="00D10AAF"/>
    <w:rsid w:val="00D27540"/>
    <w:rsid w:val="00D4006B"/>
    <w:rsid w:val="00D40D7A"/>
    <w:rsid w:val="00D64A0D"/>
    <w:rsid w:val="00D64B96"/>
    <w:rsid w:val="00D750B4"/>
    <w:rsid w:val="00D81C18"/>
    <w:rsid w:val="00D8461A"/>
    <w:rsid w:val="00D95CAF"/>
    <w:rsid w:val="00DB5AF9"/>
    <w:rsid w:val="00DB60B6"/>
    <w:rsid w:val="00DC1CC6"/>
    <w:rsid w:val="00DE6ED8"/>
    <w:rsid w:val="00E067A8"/>
    <w:rsid w:val="00E13924"/>
    <w:rsid w:val="00E15FD5"/>
    <w:rsid w:val="00E1725A"/>
    <w:rsid w:val="00E21F7B"/>
    <w:rsid w:val="00E32035"/>
    <w:rsid w:val="00E33758"/>
    <w:rsid w:val="00E53E5E"/>
    <w:rsid w:val="00E64325"/>
    <w:rsid w:val="00E673C5"/>
    <w:rsid w:val="00E67967"/>
    <w:rsid w:val="00E82723"/>
    <w:rsid w:val="00E911F2"/>
    <w:rsid w:val="00EA29A5"/>
    <w:rsid w:val="00EC107C"/>
    <w:rsid w:val="00EC7EBE"/>
    <w:rsid w:val="00EC7FD2"/>
    <w:rsid w:val="00ED5964"/>
    <w:rsid w:val="00EE37D8"/>
    <w:rsid w:val="00F1720B"/>
    <w:rsid w:val="00F36ADC"/>
    <w:rsid w:val="00F40C8B"/>
    <w:rsid w:val="00F605C6"/>
    <w:rsid w:val="00F6274A"/>
    <w:rsid w:val="00F6785B"/>
    <w:rsid w:val="00F84C66"/>
    <w:rsid w:val="00F915D6"/>
    <w:rsid w:val="00F945FB"/>
    <w:rsid w:val="00FD0723"/>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215EC9"/>
    <w:pPr>
      <w:tabs>
        <w:tab w:val="right" w:leader="dot" w:pos="9016"/>
      </w:tabs>
      <w:spacing w:before="120" w:after="0"/>
      <w:ind w:left="220"/>
    </w:pPr>
    <w:rPr>
      <w:rFonts w:cstheme="minorHAnsi"/>
      <w:b/>
      <w:bCs/>
      <w:noProof/>
      <w:color w:val="4472C4" w:themeColor="accent1"/>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FollowedHyperlink">
    <w:name w:val="FollowedHyperlink"/>
    <w:basedOn w:val="DefaultParagraphFont"/>
    <w:uiPriority w:val="99"/>
    <w:semiHidden/>
    <w:unhideWhenUsed/>
    <w:rsid w:val="002C35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ngland.nhs.uk/wp-content/uploads/2020/08/190708_Patient_Safety_Strategy_for_website_v4.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publications/review-of-patient-safety-across-the-health-and-care-landscape" TargetMode="External"/><Relationship Id="rId17" Type="http://schemas.openxmlformats.org/officeDocument/2006/relationships/hyperlink" Target="https://www.skillsforhealth.org.uk/info-hub/person-centred-approaches-2017/" TargetMode="External"/><Relationship Id="rId2" Type="http://schemas.openxmlformats.org/officeDocument/2006/relationships/customXml" Target="../customXml/item2.xml"/><Relationship Id="rId16" Type="http://schemas.openxmlformats.org/officeDocument/2006/relationships/hyperlink" Target="https://www.nmc.org.uk/standards/standards-for-nurses/standards-of-proficiency-for-registered-nurs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mc.org.uk/standards/cod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ngland.nhs.uk/patient-safety/the-nhs-patient-safety-strategy/nhs-patient-safety-strategy-progress-so-f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339266e95cc23fe5df2ce748fa753dd3">
  <xsd:schema xmlns:xsd="http://www.w3.org/2001/XMLSchema" xmlns:xs="http://www.w3.org/2001/XMLSchema" xmlns:p="http://schemas.microsoft.com/office/2006/metadata/properties" xmlns:ns3="3ef5847a-e696-4fee-a2c0-6c3f87568321" targetNamespace="http://schemas.microsoft.com/office/2006/metadata/properties" ma:root="true" ma:fieldsID="ec2692c9942840c867ee51692ea7b43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17C4A0B3-BAC6-47D1-B1FA-DFAA150736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4D68D6-CF4C-4591-B4D6-D978291D2560}">
  <ds:schemaRefs>
    <ds:schemaRef ds:uri="http://schemas.microsoft.com/sharepoint/v3/contenttype/forms"/>
  </ds:schemaRefs>
</ds:datastoreItem>
</file>

<file path=customXml/itemProps4.xml><?xml version="1.0" encoding="utf-8"?>
<ds:datastoreItem xmlns:ds="http://schemas.openxmlformats.org/officeDocument/2006/customXml" ds:itemID="{410ABA7E-2B6D-4687-B1C9-76F6306D0347}">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5</Pages>
  <Words>1367</Words>
  <Characters>9384</Characters>
  <Application>Microsoft Office Word</Application>
  <DocSecurity>0</DocSecurity>
  <Lines>197</Lines>
  <Paragraphs>44</Paragraphs>
  <ScaleCrop>false</ScaleCrop>
  <Company>University of Wales Trinity Saint David</Company>
  <LinksUpToDate>false</LinksUpToDate>
  <CharactersWithSpaces>10742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Asima Bibi (2225758)</cp:lastModifiedBy>
  <cp:revision>47</cp:revision>
  <dcterms:created xsi:type="dcterms:W3CDTF">2025-11-20T20:53:00Z</dcterms:created>
  <dcterms:modified xsi:type="dcterms:W3CDTF">2025-11-20T21:58:00Z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c08d04af-51bd-4a41-acba-3e2ac3fa4d34</vt:lpwstr>
  </property>
  <property fmtid="{D5CDD505-2E9C-101B-9397-08002B2CF9AE}" pid="10" name="ContentTypeId">
    <vt:lpwstr>0x010100388A3138619E1D4F8EE743C5DD485012</vt:lpwstr>
  </property>
</Properties>
</file>