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E0066" w:rsidRPr="000202AF" w:rsidRDefault="000E0066" w:rsidP="000202AF">
      <w:pPr>
        <w:jc w:val="center"/>
        <w:rPr>
          <w:b/>
          <w:bCs/>
          <w:lang w:val="en-GB"/>
        </w:rPr>
      </w:pPr>
    </w:p>
    <w:p w14:paraId="00000002" w14:textId="77777777" w:rsidR="000E0066" w:rsidRPr="000202AF" w:rsidRDefault="000E0066" w:rsidP="000202AF">
      <w:pPr>
        <w:jc w:val="center"/>
        <w:rPr>
          <w:b/>
          <w:bCs/>
          <w:lang w:val="en-GB"/>
        </w:rPr>
      </w:pPr>
    </w:p>
    <w:p w14:paraId="00000003" w14:textId="77777777" w:rsidR="000E0066" w:rsidRPr="000202AF" w:rsidRDefault="000E0066" w:rsidP="000202AF">
      <w:pPr>
        <w:jc w:val="center"/>
        <w:rPr>
          <w:b/>
          <w:bCs/>
          <w:lang w:val="en-GB"/>
        </w:rPr>
      </w:pPr>
    </w:p>
    <w:p w14:paraId="00000004" w14:textId="77777777" w:rsidR="000E0066" w:rsidRPr="000202AF" w:rsidRDefault="000E0066" w:rsidP="000202AF">
      <w:pPr>
        <w:jc w:val="center"/>
        <w:rPr>
          <w:b/>
          <w:bCs/>
          <w:lang w:val="en-GB"/>
        </w:rPr>
      </w:pPr>
    </w:p>
    <w:p w14:paraId="00000005" w14:textId="7AF10D62" w:rsidR="000E0066" w:rsidRPr="000202AF" w:rsidRDefault="00FD4494" w:rsidP="000202AF">
      <w:pPr>
        <w:jc w:val="left"/>
        <w:rPr>
          <w:b/>
          <w:bCs/>
          <w:lang w:val="en-GB"/>
        </w:rPr>
      </w:pPr>
      <w:r w:rsidRPr="000202AF">
        <w:rPr>
          <w:b/>
          <w:bCs/>
          <w:lang w:val="en-GB"/>
        </w:rPr>
        <w:t>MODULE NAME: INTRODUCTION TO PUBLIC HEALTH</w:t>
      </w:r>
    </w:p>
    <w:p w14:paraId="00000006" w14:textId="42668945" w:rsidR="000E0066" w:rsidRPr="000202AF" w:rsidRDefault="00FD4494" w:rsidP="000202AF">
      <w:pPr>
        <w:jc w:val="left"/>
        <w:rPr>
          <w:b/>
          <w:bCs/>
          <w:lang w:val="en-GB"/>
        </w:rPr>
      </w:pPr>
      <w:r w:rsidRPr="000202AF">
        <w:rPr>
          <w:b/>
          <w:bCs/>
          <w:lang w:val="en-GB"/>
        </w:rPr>
        <w:t>MODULE CODE: LCHS4008</w:t>
      </w:r>
    </w:p>
    <w:p w14:paraId="004F1D83" w14:textId="77777777" w:rsidR="00A771F5" w:rsidRPr="000202AF" w:rsidRDefault="00A771F5" w:rsidP="000202AF">
      <w:pPr>
        <w:jc w:val="left"/>
        <w:rPr>
          <w:b/>
          <w:bCs/>
          <w:lang w:val="en-GB"/>
        </w:rPr>
      </w:pPr>
    </w:p>
    <w:p w14:paraId="79F630A6" w14:textId="6DE75388" w:rsidR="007F311B" w:rsidRPr="000202AF" w:rsidRDefault="00FD4494" w:rsidP="000202AF">
      <w:pPr>
        <w:jc w:val="left"/>
        <w:rPr>
          <w:b/>
          <w:bCs/>
          <w:lang w:val="en-GB"/>
        </w:rPr>
      </w:pPr>
      <w:r w:rsidRPr="000202AF">
        <w:rPr>
          <w:b/>
          <w:bCs/>
          <w:lang w:val="en-GB"/>
        </w:rPr>
        <w:t>STUDENT NAME: MD ASHRAFUL MOKHLOOK TALUKDAR</w:t>
      </w:r>
    </w:p>
    <w:p w14:paraId="4584D1BB" w14:textId="6904EC43" w:rsidR="007F311B" w:rsidRPr="000202AF" w:rsidRDefault="00FD4494" w:rsidP="000202AF">
      <w:pPr>
        <w:jc w:val="left"/>
        <w:rPr>
          <w:b/>
          <w:bCs/>
          <w:lang w:val="en-GB"/>
        </w:rPr>
      </w:pPr>
      <w:r w:rsidRPr="000202AF">
        <w:rPr>
          <w:b/>
          <w:bCs/>
          <w:lang w:val="en-GB"/>
        </w:rPr>
        <w:t>STUDENT ID: 2441949.</w:t>
      </w:r>
    </w:p>
    <w:p w14:paraId="7B21420D" w14:textId="77777777" w:rsidR="007F311B" w:rsidRPr="000202AF" w:rsidRDefault="007F311B" w:rsidP="000202AF">
      <w:pPr>
        <w:jc w:val="left"/>
        <w:rPr>
          <w:b/>
          <w:bCs/>
          <w:lang w:val="en-GB"/>
        </w:rPr>
      </w:pPr>
    </w:p>
    <w:p w14:paraId="2A668F24" w14:textId="090CF48F" w:rsidR="00422857" w:rsidRPr="000202AF" w:rsidRDefault="00FD4494" w:rsidP="000202AF">
      <w:pPr>
        <w:jc w:val="left"/>
        <w:rPr>
          <w:b/>
          <w:bCs/>
          <w:lang w:val="en-GB"/>
        </w:rPr>
      </w:pPr>
      <w:r w:rsidRPr="000202AF">
        <w:rPr>
          <w:b/>
          <w:bCs/>
          <w:lang w:val="en-GB"/>
        </w:rPr>
        <w:t>ASSIGNMENT TITLE: ASSESSMENT 2 - REPORT ON A HEALTH ISSUE</w:t>
      </w:r>
    </w:p>
    <w:p w14:paraId="3567A447" w14:textId="49FA9F1C" w:rsidR="00422857" w:rsidRPr="000202AF" w:rsidRDefault="00FD4494" w:rsidP="000202AF">
      <w:pPr>
        <w:tabs>
          <w:tab w:val="left" w:pos="6540"/>
        </w:tabs>
        <w:rPr>
          <w:b/>
          <w:bCs/>
        </w:rPr>
      </w:pPr>
      <w:r w:rsidRPr="000202AF">
        <w:rPr>
          <w:b/>
          <w:bCs/>
        </w:rPr>
        <w:t>LECTURER’S NAME</w:t>
      </w:r>
      <w:r w:rsidRPr="000202AF">
        <w:t xml:space="preserve">: </w:t>
      </w:r>
      <w:r w:rsidRPr="000202AF">
        <w:rPr>
          <w:b/>
          <w:bCs/>
        </w:rPr>
        <w:t>ARIF AHMED</w:t>
      </w:r>
    </w:p>
    <w:p w14:paraId="00000007" w14:textId="64160498" w:rsidR="000E0066" w:rsidRPr="000202AF" w:rsidRDefault="00647F78" w:rsidP="000202AF">
      <w:pPr>
        <w:jc w:val="left"/>
        <w:rPr>
          <w:b/>
          <w:bCs/>
          <w:lang w:val="en-GB"/>
        </w:rPr>
      </w:pPr>
      <w:r w:rsidRPr="000202AF">
        <w:rPr>
          <w:lang w:val="en-GB"/>
        </w:rPr>
        <w:br w:type="page"/>
      </w:r>
    </w:p>
    <w:sdt>
      <w:sdtPr>
        <w:rPr>
          <w:rFonts w:ascii="Arial" w:eastAsia="Arial" w:hAnsi="Arial" w:cs="Arial"/>
          <w:color w:val="auto"/>
          <w:sz w:val="22"/>
          <w:szCs w:val="22"/>
          <w:lang w:val="en-GB" w:eastAsia="en-IN"/>
        </w:rPr>
        <w:id w:val="1815596068"/>
        <w:docPartObj>
          <w:docPartGallery w:val="Table of Contents"/>
          <w:docPartUnique/>
        </w:docPartObj>
      </w:sdtPr>
      <w:sdtEndPr>
        <w:rPr>
          <w:b/>
          <w:bCs/>
          <w:noProof/>
        </w:rPr>
      </w:sdtEndPr>
      <w:sdtContent>
        <w:p w14:paraId="29BB069B" w14:textId="4A478DE8" w:rsidR="00F70D8F" w:rsidRPr="000202AF" w:rsidRDefault="00F70D8F" w:rsidP="000202AF">
          <w:pPr>
            <w:pStyle w:val="TOCHeading"/>
            <w:spacing w:line="360" w:lineRule="auto"/>
            <w:jc w:val="center"/>
            <w:rPr>
              <w:rFonts w:ascii="Arial" w:hAnsi="Arial" w:cs="Arial"/>
              <w:b/>
              <w:bCs/>
              <w:color w:val="000000" w:themeColor="text1"/>
              <w:sz w:val="22"/>
              <w:szCs w:val="22"/>
              <w:lang w:val="en-GB"/>
            </w:rPr>
          </w:pPr>
          <w:r w:rsidRPr="000202AF">
            <w:rPr>
              <w:rFonts w:ascii="Arial" w:hAnsi="Arial" w:cs="Arial"/>
              <w:b/>
              <w:bCs/>
              <w:color w:val="000000" w:themeColor="text1"/>
              <w:sz w:val="22"/>
              <w:szCs w:val="22"/>
              <w:lang w:val="en-GB"/>
            </w:rPr>
            <w:t>Table of Contents</w:t>
          </w:r>
        </w:p>
        <w:p w14:paraId="649032C3" w14:textId="71D39041" w:rsidR="00F70D8F" w:rsidRPr="000202AF" w:rsidRDefault="00F70D8F" w:rsidP="000202AF">
          <w:pPr>
            <w:pStyle w:val="TOC1"/>
            <w:tabs>
              <w:tab w:val="right" w:leader="dot" w:pos="9350"/>
            </w:tabs>
            <w:rPr>
              <w:noProof/>
              <w:lang w:val="en-GB"/>
            </w:rPr>
          </w:pPr>
          <w:r w:rsidRPr="000202AF">
            <w:rPr>
              <w:lang w:val="en-GB"/>
            </w:rPr>
            <w:fldChar w:fldCharType="begin"/>
          </w:r>
          <w:r w:rsidRPr="000202AF">
            <w:rPr>
              <w:lang w:val="en-GB"/>
            </w:rPr>
            <w:instrText xml:space="preserve"> TOC \o "1-3" \h \z \u </w:instrText>
          </w:r>
          <w:r w:rsidRPr="000202AF">
            <w:rPr>
              <w:lang w:val="en-GB"/>
            </w:rPr>
            <w:fldChar w:fldCharType="separate"/>
          </w:r>
          <w:hyperlink w:anchor="_Toc223191456" w:history="1">
            <w:r w:rsidRPr="000202AF">
              <w:rPr>
                <w:rStyle w:val="Hyperlink"/>
                <w:noProof/>
                <w:lang w:val="en-GB"/>
              </w:rPr>
              <w:t>Task 1 – Written Report</w:t>
            </w:r>
            <w:r w:rsidRPr="000202AF">
              <w:rPr>
                <w:noProof/>
                <w:webHidden/>
                <w:lang w:val="en-GB"/>
              </w:rPr>
              <w:tab/>
            </w:r>
            <w:r w:rsidRPr="000202AF">
              <w:rPr>
                <w:noProof/>
                <w:webHidden/>
                <w:lang w:val="en-GB"/>
              </w:rPr>
              <w:fldChar w:fldCharType="begin"/>
            </w:r>
            <w:r w:rsidRPr="000202AF">
              <w:rPr>
                <w:noProof/>
                <w:webHidden/>
                <w:lang w:val="en-GB"/>
              </w:rPr>
              <w:instrText xml:space="preserve"> PAGEREF _Toc223191456 \h </w:instrText>
            </w:r>
            <w:r w:rsidRPr="000202AF">
              <w:rPr>
                <w:noProof/>
                <w:webHidden/>
                <w:lang w:val="en-GB"/>
              </w:rPr>
            </w:r>
            <w:r w:rsidRPr="000202AF">
              <w:rPr>
                <w:noProof/>
                <w:webHidden/>
                <w:lang w:val="en-GB"/>
              </w:rPr>
              <w:fldChar w:fldCharType="separate"/>
            </w:r>
            <w:r w:rsidRPr="000202AF">
              <w:rPr>
                <w:noProof/>
                <w:webHidden/>
                <w:lang w:val="en-GB"/>
              </w:rPr>
              <w:t>3</w:t>
            </w:r>
            <w:r w:rsidRPr="000202AF">
              <w:rPr>
                <w:noProof/>
                <w:webHidden/>
                <w:lang w:val="en-GB"/>
              </w:rPr>
              <w:fldChar w:fldCharType="end"/>
            </w:r>
          </w:hyperlink>
        </w:p>
        <w:p w14:paraId="0AF83D22" w14:textId="530E3AEA" w:rsidR="00F70D8F" w:rsidRPr="000202AF" w:rsidRDefault="00F70D8F" w:rsidP="000202AF">
          <w:pPr>
            <w:pStyle w:val="TOC2"/>
            <w:tabs>
              <w:tab w:val="right" w:leader="dot" w:pos="9350"/>
            </w:tabs>
            <w:rPr>
              <w:noProof/>
              <w:lang w:val="en-GB"/>
            </w:rPr>
          </w:pPr>
          <w:hyperlink w:anchor="_Toc223191457" w:history="1">
            <w:r w:rsidRPr="000202AF">
              <w:rPr>
                <w:rStyle w:val="Hyperlink"/>
                <w:noProof/>
                <w:lang w:val="en-GB"/>
              </w:rPr>
              <w:t>Introduction</w:t>
            </w:r>
            <w:r w:rsidRPr="000202AF">
              <w:rPr>
                <w:noProof/>
                <w:webHidden/>
                <w:lang w:val="en-GB"/>
              </w:rPr>
              <w:tab/>
            </w:r>
            <w:r w:rsidRPr="000202AF">
              <w:rPr>
                <w:noProof/>
                <w:webHidden/>
                <w:lang w:val="en-GB"/>
              </w:rPr>
              <w:fldChar w:fldCharType="begin"/>
            </w:r>
            <w:r w:rsidRPr="000202AF">
              <w:rPr>
                <w:noProof/>
                <w:webHidden/>
                <w:lang w:val="en-GB"/>
              </w:rPr>
              <w:instrText xml:space="preserve"> PAGEREF _Toc223191457 \h </w:instrText>
            </w:r>
            <w:r w:rsidRPr="000202AF">
              <w:rPr>
                <w:noProof/>
                <w:webHidden/>
                <w:lang w:val="en-GB"/>
              </w:rPr>
            </w:r>
            <w:r w:rsidRPr="000202AF">
              <w:rPr>
                <w:noProof/>
                <w:webHidden/>
                <w:lang w:val="en-GB"/>
              </w:rPr>
              <w:fldChar w:fldCharType="separate"/>
            </w:r>
            <w:r w:rsidRPr="000202AF">
              <w:rPr>
                <w:noProof/>
                <w:webHidden/>
                <w:lang w:val="en-GB"/>
              </w:rPr>
              <w:t>3</w:t>
            </w:r>
            <w:r w:rsidRPr="000202AF">
              <w:rPr>
                <w:noProof/>
                <w:webHidden/>
                <w:lang w:val="en-GB"/>
              </w:rPr>
              <w:fldChar w:fldCharType="end"/>
            </w:r>
          </w:hyperlink>
        </w:p>
        <w:p w14:paraId="704DF01B" w14:textId="18B5DB52" w:rsidR="00F70D8F" w:rsidRPr="000202AF" w:rsidRDefault="00F70D8F" w:rsidP="000202AF">
          <w:pPr>
            <w:pStyle w:val="TOC2"/>
            <w:tabs>
              <w:tab w:val="right" w:leader="dot" w:pos="9350"/>
            </w:tabs>
            <w:rPr>
              <w:noProof/>
              <w:lang w:val="en-GB"/>
            </w:rPr>
          </w:pPr>
          <w:hyperlink w:anchor="_Toc223191458" w:history="1">
            <w:r w:rsidRPr="000202AF">
              <w:rPr>
                <w:rStyle w:val="Hyperlink"/>
                <w:noProof/>
                <w:lang w:val="en-GB"/>
              </w:rPr>
              <w:t>Discussions</w:t>
            </w:r>
            <w:r w:rsidRPr="000202AF">
              <w:rPr>
                <w:noProof/>
                <w:webHidden/>
                <w:lang w:val="en-GB"/>
              </w:rPr>
              <w:tab/>
            </w:r>
            <w:r w:rsidRPr="000202AF">
              <w:rPr>
                <w:noProof/>
                <w:webHidden/>
                <w:lang w:val="en-GB"/>
              </w:rPr>
              <w:fldChar w:fldCharType="begin"/>
            </w:r>
            <w:r w:rsidRPr="000202AF">
              <w:rPr>
                <w:noProof/>
                <w:webHidden/>
                <w:lang w:val="en-GB"/>
              </w:rPr>
              <w:instrText xml:space="preserve"> PAGEREF _Toc223191458 \h </w:instrText>
            </w:r>
            <w:r w:rsidRPr="000202AF">
              <w:rPr>
                <w:noProof/>
                <w:webHidden/>
                <w:lang w:val="en-GB"/>
              </w:rPr>
            </w:r>
            <w:r w:rsidRPr="000202AF">
              <w:rPr>
                <w:noProof/>
                <w:webHidden/>
                <w:lang w:val="en-GB"/>
              </w:rPr>
              <w:fldChar w:fldCharType="separate"/>
            </w:r>
            <w:r w:rsidRPr="000202AF">
              <w:rPr>
                <w:noProof/>
                <w:webHidden/>
                <w:lang w:val="en-GB"/>
              </w:rPr>
              <w:t>3</w:t>
            </w:r>
            <w:r w:rsidRPr="000202AF">
              <w:rPr>
                <w:noProof/>
                <w:webHidden/>
                <w:lang w:val="en-GB"/>
              </w:rPr>
              <w:fldChar w:fldCharType="end"/>
            </w:r>
          </w:hyperlink>
        </w:p>
        <w:p w14:paraId="790122D5" w14:textId="39B7A147" w:rsidR="00F70D8F" w:rsidRPr="000202AF" w:rsidRDefault="00F70D8F" w:rsidP="000202AF">
          <w:pPr>
            <w:pStyle w:val="TOC2"/>
            <w:tabs>
              <w:tab w:val="right" w:leader="dot" w:pos="9350"/>
            </w:tabs>
            <w:rPr>
              <w:noProof/>
              <w:lang w:val="en-GB"/>
            </w:rPr>
          </w:pPr>
          <w:hyperlink w:anchor="_Toc223191459" w:history="1">
            <w:r w:rsidRPr="000202AF">
              <w:rPr>
                <w:rStyle w:val="Hyperlink"/>
                <w:noProof/>
                <w:lang w:val="en-GB"/>
              </w:rPr>
              <w:t>Conclusion</w:t>
            </w:r>
            <w:r w:rsidRPr="000202AF">
              <w:rPr>
                <w:noProof/>
                <w:webHidden/>
                <w:lang w:val="en-GB"/>
              </w:rPr>
              <w:tab/>
            </w:r>
            <w:r w:rsidRPr="000202AF">
              <w:rPr>
                <w:noProof/>
                <w:webHidden/>
                <w:lang w:val="en-GB"/>
              </w:rPr>
              <w:fldChar w:fldCharType="begin"/>
            </w:r>
            <w:r w:rsidRPr="000202AF">
              <w:rPr>
                <w:noProof/>
                <w:webHidden/>
                <w:lang w:val="en-GB"/>
              </w:rPr>
              <w:instrText xml:space="preserve"> PAGEREF _Toc223191459 \h </w:instrText>
            </w:r>
            <w:r w:rsidRPr="000202AF">
              <w:rPr>
                <w:noProof/>
                <w:webHidden/>
                <w:lang w:val="en-GB"/>
              </w:rPr>
            </w:r>
            <w:r w:rsidRPr="000202AF">
              <w:rPr>
                <w:noProof/>
                <w:webHidden/>
                <w:lang w:val="en-GB"/>
              </w:rPr>
              <w:fldChar w:fldCharType="separate"/>
            </w:r>
            <w:r w:rsidRPr="000202AF">
              <w:rPr>
                <w:noProof/>
                <w:webHidden/>
                <w:lang w:val="en-GB"/>
              </w:rPr>
              <w:t>6</w:t>
            </w:r>
            <w:r w:rsidRPr="000202AF">
              <w:rPr>
                <w:noProof/>
                <w:webHidden/>
                <w:lang w:val="en-GB"/>
              </w:rPr>
              <w:fldChar w:fldCharType="end"/>
            </w:r>
          </w:hyperlink>
        </w:p>
        <w:p w14:paraId="3BA23C4A" w14:textId="703A968C" w:rsidR="00F70D8F" w:rsidRPr="000202AF" w:rsidRDefault="00F70D8F" w:rsidP="000202AF">
          <w:pPr>
            <w:pStyle w:val="TOC1"/>
            <w:tabs>
              <w:tab w:val="right" w:leader="dot" w:pos="9350"/>
            </w:tabs>
            <w:rPr>
              <w:noProof/>
              <w:lang w:val="en-GB"/>
            </w:rPr>
          </w:pPr>
          <w:hyperlink w:anchor="_Toc223191460" w:history="1">
            <w:r w:rsidRPr="000202AF">
              <w:rPr>
                <w:rStyle w:val="Hyperlink"/>
                <w:noProof/>
                <w:lang w:val="en-GB"/>
              </w:rPr>
              <w:t>References</w:t>
            </w:r>
            <w:r w:rsidRPr="000202AF">
              <w:rPr>
                <w:noProof/>
                <w:webHidden/>
                <w:lang w:val="en-GB"/>
              </w:rPr>
              <w:tab/>
            </w:r>
            <w:r w:rsidRPr="000202AF">
              <w:rPr>
                <w:noProof/>
                <w:webHidden/>
                <w:lang w:val="en-GB"/>
              </w:rPr>
              <w:fldChar w:fldCharType="begin"/>
            </w:r>
            <w:r w:rsidRPr="000202AF">
              <w:rPr>
                <w:noProof/>
                <w:webHidden/>
                <w:lang w:val="en-GB"/>
              </w:rPr>
              <w:instrText xml:space="preserve"> PAGEREF _Toc223191460 \h </w:instrText>
            </w:r>
            <w:r w:rsidRPr="000202AF">
              <w:rPr>
                <w:noProof/>
                <w:webHidden/>
                <w:lang w:val="en-GB"/>
              </w:rPr>
            </w:r>
            <w:r w:rsidRPr="000202AF">
              <w:rPr>
                <w:noProof/>
                <w:webHidden/>
                <w:lang w:val="en-GB"/>
              </w:rPr>
              <w:fldChar w:fldCharType="separate"/>
            </w:r>
            <w:r w:rsidRPr="000202AF">
              <w:rPr>
                <w:noProof/>
                <w:webHidden/>
                <w:lang w:val="en-GB"/>
              </w:rPr>
              <w:t>7</w:t>
            </w:r>
            <w:r w:rsidRPr="000202AF">
              <w:rPr>
                <w:noProof/>
                <w:webHidden/>
                <w:lang w:val="en-GB"/>
              </w:rPr>
              <w:fldChar w:fldCharType="end"/>
            </w:r>
          </w:hyperlink>
        </w:p>
        <w:p w14:paraId="06F92587" w14:textId="12AE783E" w:rsidR="00F70D8F" w:rsidRPr="000202AF" w:rsidRDefault="00F70D8F" w:rsidP="000202AF">
          <w:pPr>
            <w:rPr>
              <w:lang w:val="en-GB"/>
            </w:rPr>
          </w:pPr>
          <w:r w:rsidRPr="000202AF">
            <w:rPr>
              <w:b/>
              <w:bCs/>
              <w:noProof/>
              <w:lang w:val="en-GB"/>
            </w:rPr>
            <w:fldChar w:fldCharType="end"/>
          </w:r>
        </w:p>
      </w:sdtContent>
    </w:sdt>
    <w:p w14:paraId="00000008" w14:textId="2EBD1F57" w:rsidR="000E0066" w:rsidRPr="000202AF" w:rsidRDefault="000E0066" w:rsidP="000202AF">
      <w:pPr>
        <w:rPr>
          <w:b/>
          <w:bCs/>
          <w:lang w:val="en-GB"/>
        </w:rPr>
      </w:pPr>
    </w:p>
    <w:p w14:paraId="3C085293" w14:textId="77777777" w:rsidR="00F70D8F" w:rsidRPr="000202AF" w:rsidRDefault="00F70D8F" w:rsidP="000202AF">
      <w:pPr>
        <w:rPr>
          <w:b/>
          <w:bCs/>
          <w:lang w:val="en-GB"/>
        </w:rPr>
      </w:pPr>
      <w:bookmarkStart w:id="0" w:name="_ml79dc9cmgjj" w:colFirst="0" w:colLast="0"/>
      <w:bookmarkEnd w:id="0"/>
      <w:r w:rsidRPr="000202AF">
        <w:rPr>
          <w:lang w:val="en-GB"/>
        </w:rPr>
        <w:br w:type="page"/>
      </w:r>
    </w:p>
    <w:p w14:paraId="00000009" w14:textId="2868155D" w:rsidR="000E0066" w:rsidRPr="000202AF" w:rsidRDefault="00647F78" w:rsidP="000202AF">
      <w:pPr>
        <w:pStyle w:val="Heading1"/>
        <w:rPr>
          <w:lang w:val="en-GB"/>
        </w:rPr>
      </w:pPr>
      <w:bookmarkStart w:id="1" w:name="_Toc223191456"/>
      <w:r w:rsidRPr="000202AF">
        <w:rPr>
          <w:lang w:val="en-GB"/>
        </w:rPr>
        <w:lastRenderedPageBreak/>
        <w:t>Task 1 – Written Report</w:t>
      </w:r>
      <w:bookmarkEnd w:id="1"/>
      <w:r w:rsidRPr="000202AF">
        <w:rPr>
          <w:lang w:val="en-GB"/>
        </w:rPr>
        <w:t xml:space="preserve"> </w:t>
      </w:r>
    </w:p>
    <w:p w14:paraId="0000000A" w14:textId="77777777" w:rsidR="000E0066" w:rsidRPr="000202AF" w:rsidRDefault="00647F78" w:rsidP="000202AF">
      <w:pPr>
        <w:pStyle w:val="Heading2"/>
        <w:rPr>
          <w:lang w:val="en-GB"/>
        </w:rPr>
      </w:pPr>
      <w:bookmarkStart w:id="2" w:name="_e2du3whg204l" w:colFirst="0" w:colLast="0"/>
      <w:bookmarkStart w:id="3" w:name="_Toc223191457"/>
      <w:bookmarkEnd w:id="2"/>
      <w:r w:rsidRPr="000202AF">
        <w:rPr>
          <w:lang w:val="en-GB"/>
        </w:rPr>
        <w:t>Introduction</w:t>
      </w:r>
      <w:bookmarkEnd w:id="3"/>
    </w:p>
    <w:p w14:paraId="0000000B" w14:textId="3D8A39F0" w:rsidR="000E0066" w:rsidRPr="000202AF" w:rsidRDefault="00647F78" w:rsidP="000202AF">
      <w:pPr>
        <w:rPr>
          <w:lang w:val="en-GB"/>
        </w:rPr>
      </w:pPr>
      <w:r w:rsidRPr="000202AF">
        <w:rPr>
          <w:lang w:val="en-GB"/>
        </w:rPr>
        <w:t xml:space="preserve">Dementia is a generic name for a group of gradual neurological conditions that affect memory, thought, behaviour, and the ability to execute normal tasks. It is the result of the injury to the cerebral cells done through illness like Alzheimer's disease, which happens to be the most prevalent, vascular trauma, or other causes that impair the functioning of the neural cells. Dementia is a significant hindrance to cognitive abilities and occupational </w:t>
      </w:r>
      <w:r w:rsidR="00BE7C50" w:rsidRPr="000202AF">
        <w:rPr>
          <w:lang w:val="en-GB"/>
        </w:rPr>
        <w:t>living but</w:t>
      </w:r>
      <w:r w:rsidRPr="000202AF">
        <w:rPr>
          <w:lang w:val="en-GB"/>
        </w:rPr>
        <w:t xml:space="preserve"> is not part of the process of ageing. The most common forms of signs and symptoms consist of loss of memory as well as problems in communication and language, the impairment of reasoning and judgement.</w:t>
      </w:r>
    </w:p>
    <w:p w14:paraId="0000000C" w14:textId="77777777" w:rsidR="000E0066" w:rsidRPr="000202AF" w:rsidRDefault="00647F78" w:rsidP="000202AF">
      <w:pPr>
        <w:rPr>
          <w:lang w:val="en-GB"/>
        </w:rPr>
      </w:pPr>
      <w:r w:rsidRPr="000202AF">
        <w:rPr>
          <w:lang w:val="en-GB"/>
        </w:rPr>
        <w:t>Dementia was a leading cause of disability and dependency among the elderly, with over 57 million people living with the condition in 2021, almost 10 million new cases being diagnosed each year, making it a global issue of concern (WHO, 2023). This has created a greater concern among the people across the world. In the United Kingdom, it has been estimated that 982,000 individuals are living with dementia at present (Dementiahub.co.uk, 2025). This number will increase significantly as the population is getting older.</w:t>
      </w:r>
    </w:p>
    <w:p w14:paraId="32F1E8DF" w14:textId="77777777" w:rsidR="007A6886" w:rsidRPr="000202AF" w:rsidRDefault="007A6886" w:rsidP="000202AF">
      <w:pPr>
        <w:pStyle w:val="Heading2"/>
        <w:rPr>
          <w:lang w:val="en-GB"/>
        </w:rPr>
      </w:pPr>
      <w:bookmarkStart w:id="4" w:name="_fr7lysfvr5oi" w:colFirst="0" w:colLast="0"/>
      <w:bookmarkStart w:id="5" w:name="_Toc223191458"/>
      <w:bookmarkEnd w:id="4"/>
    </w:p>
    <w:p w14:paraId="0000000D" w14:textId="1E335934" w:rsidR="000E0066" w:rsidRPr="000202AF" w:rsidRDefault="00647F78" w:rsidP="000202AF">
      <w:pPr>
        <w:pStyle w:val="Heading2"/>
        <w:rPr>
          <w:lang w:val="en-GB"/>
        </w:rPr>
      </w:pPr>
      <w:r w:rsidRPr="000202AF">
        <w:rPr>
          <w:lang w:val="en-GB"/>
        </w:rPr>
        <w:t>Discussions</w:t>
      </w:r>
      <w:bookmarkEnd w:id="5"/>
      <w:r w:rsidRPr="000202AF">
        <w:rPr>
          <w:lang w:val="en-GB"/>
        </w:rPr>
        <w:t xml:space="preserve"> </w:t>
      </w:r>
    </w:p>
    <w:p w14:paraId="0000000E" w14:textId="77777777" w:rsidR="000E0066" w:rsidRPr="000202AF" w:rsidRDefault="00647F78" w:rsidP="000202AF">
      <w:pPr>
        <w:rPr>
          <w:b/>
          <w:bCs/>
          <w:i/>
          <w:iCs/>
          <w:lang w:val="en-GB"/>
        </w:rPr>
      </w:pPr>
      <w:r w:rsidRPr="000202AF">
        <w:rPr>
          <w:b/>
          <w:bCs/>
          <w:i/>
          <w:iCs/>
          <w:lang w:val="en-GB"/>
        </w:rPr>
        <w:t>Different approaches used to measure and monitor Dementia</w:t>
      </w:r>
    </w:p>
    <w:p w14:paraId="0000000F" w14:textId="77777777" w:rsidR="000E0066" w:rsidRPr="000202AF" w:rsidRDefault="00647F78" w:rsidP="000202AF">
      <w:pPr>
        <w:rPr>
          <w:lang w:val="en-GB"/>
        </w:rPr>
      </w:pPr>
      <w:r w:rsidRPr="000202AF">
        <w:rPr>
          <w:lang w:val="en-GB"/>
        </w:rPr>
        <w:t xml:space="preserve">The treatment and observation of dementia are conducted in simple but standard procedures. The first questions asked by clinicians involve memory, behaviour, and everyday functioning, and in most cases involve family members to determine how these functions have changed due to the onset of a particular condition (Lyall </w:t>
      </w:r>
      <w:r w:rsidRPr="000202AF">
        <w:rPr>
          <w:i/>
          <w:iCs/>
          <w:lang w:val="en-GB"/>
        </w:rPr>
        <w:t xml:space="preserve">et al., </w:t>
      </w:r>
      <w:r w:rsidRPr="000202AF">
        <w:rPr>
          <w:lang w:val="en-GB"/>
        </w:rPr>
        <w:t>2023). Among the processes screened by standardised cognitive screening tools are memory, attention, language, and executive function, evaluated by tools like the Mini-Mental State Examination (MMSE). The scores obtained indicate to the clinicians the extent of severity of the condition.</w:t>
      </w:r>
    </w:p>
    <w:p w14:paraId="00000010" w14:textId="77777777" w:rsidR="000E0066" w:rsidRPr="000202AF" w:rsidRDefault="00647F78" w:rsidP="000202AF">
      <w:pPr>
        <w:rPr>
          <w:lang w:val="en-GB"/>
        </w:rPr>
      </w:pPr>
      <w:r w:rsidRPr="000202AF">
        <w:rPr>
          <w:lang w:val="en-GB"/>
        </w:rPr>
        <w:t>Neuroimaging is also used, and neuroimaging (computed tomography (CT) or magnetic resonance imaging (MRI)) can show structural abnormalities, such as cortical atrophy of the area or focal injury. At the same time, laboratory studies do not rule out secondary causes of cognitive impairment, including vitamin deficiencies or endocrine diseases.</w:t>
      </w:r>
    </w:p>
    <w:p w14:paraId="00000012" w14:textId="3DFE7C14" w:rsidR="000E0066" w:rsidRPr="000202AF" w:rsidRDefault="00647F78" w:rsidP="000202AF">
      <w:pPr>
        <w:rPr>
          <w:lang w:val="en-GB"/>
        </w:rPr>
      </w:pPr>
      <w:r w:rsidRPr="000202AF">
        <w:rPr>
          <w:lang w:val="en-GB"/>
        </w:rPr>
        <w:t xml:space="preserve">The frequent follow up as doctor's visits are critical in the surveillance of the disease. The progressive deterioration is detected through re-administration of tests involving memory over time (Bijlani </w:t>
      </w:r>
      <w:r w:rsidRPr="000202AF">
        <w:rPr>
          <w:i/>
          <w:iCs/>
          <w:lang w:val="en-GB"/>
        </w:rPr>
        <w:t xml:space="preserve">et al., </w:t>
      </w:r>
      <w:r w:rsidRPr="000202AF">
        <w:rPr>
          <w:lang w:val="en-GB"/>
        </w:rPr>
        <w:t>2022). Activities of daily living, such as cooking, dressing, purchasing money, and taking medication, need to be observed to assess the functional status.</w:t>
      </w:r>
    </w:p>
    <w:p w14:paraId="00000013" w14:textId="77777777" w:rsidR="000E0066" w:rsidRPr="000202AF" w:rsidRDefault="00647F78" w:rsidP="000202AF">
      <w:pPr>
        <w:rPr>
          <w:lang w:val="en-GB"/>
        </w:rPr>
      </w:pPr>
      <w:r w:rsidRPr="000202AF">
        <w:rPr>
          <w:lang w:val="en-GB"/>
        </w:rPr>
        <w:lastRenderedPageBreak/>
        <w:t>At a macro level, dementia is monitored by means of national health databases and epidemiological surveys. International organisations such as the “World Health Organization”, compile the data throughout the whole world, whereas national organisations such as the “UK Alzheimer’s Society” collect statistics and facilitate research. The records allow governments to understand prevalence, resource allocation, and to devise relevant responses in the form of health services.</w:t>
      </w:r>
    </w:p>
    <w:p w14:paraId="08D29E4D" w14:textId="77777777" w:rsidR="007A6886" w:rsidRPr="000202AF" w:rsidRDefault="007A6886" w:rsidP="000202AF">
      <w:pPr>
        <w:rPr>
          <w:lang w:val="en-GB"/>
        </w:rPr>
      </w:pPr>
    </w:p>
    <w:p w14:paraId="00000014" w14:textId="77777777" w:rsidR="000E0066" w:rsidRPr="000202AF" w:rsidRDefault="00647F78" w:rsidP="000202AF">
      <w:pPr>
        <w:rPr>
          <w:b/>
          <w:bCs/>
          <w:i/>
          <w:iCs/>
          <w:lang w:val="en-GB"/>
        </w:rPr>
      </w:pPr>
      <w:r w:rsidRPr="000202AF">
        <w:rPr>
          <w:b/>
          <w:bCs/>
          <w:i/>
          <w:iCs/>
          <w:lang w:val="en-GB"/>
        </w:rPr>
        <w:t xml:space="preserve">Explanation of Controlling Dementia </w:t>
      </w:r>
    </w:p>
    <w:p w14:paraId="00000015" w14:textId="77777777" w:rsidR="000E0066" w:rsidRPr="000202AF" w:rsidRDefault="00647F78" w:rsidP="000202AF">
      <w:pPr>
        <w:rPr>
          <w:lang w:val="en-GB"/>
        </w:rPr>
      </w:pPr>
      <w:r w:rsidRPr="000202AF">
        <w:rPr>
          <w:lang w:val="en-GB"/>
        </w:rPr>
        <w:t>Dementia can also be reduced, even though it is incurable; its development can be slowed down and, consequently, lessen its effects. Pharmacological therapy addresses the cognitive deficit and involves the temporary increase in neuron functioning with the help of anxiolytics, antidepressants, and hypnotics that treat co-occurring psychopathology and sleep disturbances.</w:t>
      </w:r>
    </w:p>
    <w:p w14:paraId="00000016" w14:textId="77777777" w:rsidR="000E0066" w:rsidRPr="000202AF" w:rsidRDefault="00647F78" w:rsidP="000202AF">
      <w:pPr>
        <w:rPr>
          <w:lang w:val="en-GB"/>
        </w:rPr>
      </w:pPr>
      <w:r w:rsidRPr="000202AF">
        <w:rPr>
          <w:lang w:val="en-GB"/>
        </w:rPr>
        <w:t xml:space="preserve">The development of a healthy lifestyle is of the first essence. Exercise, nutritious eating, sleep, and social interaction are examples of ways of maintaining mental sharpness by slowing down the process of aging (Seifert </w:t>
      </w:r>
      <w:r w:rsidRPr="000202AF">
        <w:rPr>
          <w:i/>
          <w:iCs/>
          <w:lang w:val="en-GB"/>
        </w:rPr>
        <w:t>et al., 2022)</w:t>
      </w:r>
      <w:r w:rsidRPr="000202AF">
        <w:rPr>
          <w:lang w:val="en-GB"/>
        </w:rPr>
        <w:t>. Neural plasticity is maintained by cognitive enrichment with the help of reading, puzzles, and conversation. The support of the family and the carers is essential; a safe environment at home eliminates accidents, whereas an orderly routine and reduced instructions keep the patient psychologically stable.</w:t>
      </w:r>
    </w:p>
    <w:p w14:paraId="00000017" w14:textId="2DE4CFA3" w:rsidR="000E0066" w:rsidRPr="000202AF" w:rsidRDefault="00647F78" w:rsidP="000202AF">
      <w:pPr>
        <w:rPr>
          <w:lang w:val="en-GB"/>
        </w:rPr>
      </w:pPr>
      <w:r w:rsidRPr="000202AF">
        <w:rPr>
          <w:lang w:val="en-GB"/>
        </w:rPr>
        <w:t xml:space="preserve">Comorbid conditions, such as hypertension, diabetes mellitus, and hyperlipidaemia, should also be managed, which further delays the exacerbation of the symptom. There is empowerment of families under the community resource through memory clinics and support groups to help them negotiate the demands of care. Timely diagnosis and close surveillance </w:t>
      </w:r>
      <w:r w:rsidR="00B55E0B" w:rsidRPr="000202AF">
        <w:rPr>
          <w:lang w:val="en-GB"/>
        </w:rPr>
        <w:t>are</w:t>
      </w:r>
      <w:r w:rsidRPr="000202AF">
        <w:rPr>
          <w:lang w:val="en-GB"/>
        </w:rPr>
        <w:t xml:space="preserve"> the key to successful management of the disease, hence improving the quality of life of dementia patients.</w:t>
      </w:r>
    </w:p>
    <w:p w14:paraId="5CDE2357" w14:textId="77777777" w:rsidR="007A6886" w:rsidRPr="000202AF" w:rsidRDefault="007A6886" w:rsidP="000202AF">
      <w:pPr>
        <w:rPr>
          <w:lang w:val="en-GB"/>
        </w:rPr>
      </w:pPr>
    </w:p>
    <w:p w14:paraId="00000018" w14:textId="77777777" w:rsidR="000E0066" w:rsidRPr="000202AF" w:rsidRDefault="00647F78" w:rsidP="000202AF">
      <w:pPr>
        <w:rPr>
          <w:b/>
          <w:bCs/>
          <w:i/>
          <w:iCs/>
          <w:lang w:val="en-GB"/>
        </w:rPr>
      </w:pPr>
      <w:r w:rsidRPr="000202AF">
        <w:rPr>
          <w:b/>
          <w:bCs/>
          <w:i/>
          <w:iCs/>
          <w:lang w:val="en-GB"/>
        </w:rPr>
        <w:t>Consequences of Dementia</w:t>
      </w:r>
    </w:p>
    <w:p w14:paraId="00000019" w14:textId="77777777" w:rsidR="000E0066" w:rsidRPr="000202AF" w:rsidRDefault="00647F78" w:rsidP="000202AF">
      <w:pPr>
        <w:rPr>
          <w:lang w:val="en-GB"/>
        </w:rPr>
      </w:pPr>
      <w:r w:rsidRPr="000202AF">
        <w:rPr>
          <w:lang w:val="en-GB"/>
        </w:rPr>
        <w:t xml:space="preserve">There are numerous severe impacts of dementia on those residing in society. Evidence of a factorial importance is that dementia causes the members to live in the community in a highly undesirable manner. The condition affects not only the memory but also the cognition, behaviour, affect, and daily functioning. People suffering from dementia often have blackouts in remembering crucial facts such as names and addresses, as well as close family members (Mao </w:t>
      </w:r>
      <w:r w:rsidRPr="000202AF">
        <w:rPr>
          <w:i/>
          <w:iCs/>
          <w:lang w:val="en-GB"/>
        </w:rPr>
        <w:t xml:space="preserve">et al., </w:t>
      </w:r>
      <w:r w:rsidRPr="000202AF">
        <w:rPr>
          <w:lang w:val="en-GB"/>
        </w:rPr>
        <w:t>2025). The consequent confusion with time and space aspects can result in a scenario where patients may get lost, at times even in the area adjacent to their residences, hence creating significant danger. They can also forget to eat, take medication, or turn off the appliances like stoves.</w:t>
      </w:r>
    </w:p>
    <w:p w14:paraId="0000001A" w14:textId="77777777" w:rsidR="000E0066" w:rsidRPr="000202AF" w:rsidRDefault="00647F78" w:rsidP="000202AF">
      <w:pPr>
        <w:rPr>
          <w:lang w:val="en-GB"/>
        </w:rPr>
      </w:pPr>
      <w:r w:rsidRPr="000202AF">
        <w:rPr>
          <w:lang w:val="en-GB"/>
        </w:rPr>
        <w:lastRenderedPageBreak/>
        <w:t xml:space="preserve">Dementia also causes a change in the affective states and personality. Someone irritable before would easily have nightmares or be stressed-out. Fear, anxiety or depressive mood are some of the reported feelings in some patients. As a result, such behaviour changes can also lead to quitting social activities, hence creating isolation and loneliness. The same thing happens to families. The treatment of a dementia patient can be very burdensome psychologically and physically. Family members will be affected by exhaustion, stress, and emotional depression. The money strains are caused by the fact that, in some instances, the caregivers </w:t>
      </w:r>
      <w:proofErr w:type="gramStart"/>
      <w:r w:rsidRPr="000202AF">
        <w:rPr>
          <w:lang w:val="en-GB"/>
        </w:rPr>
        <w:t>have to</w:t>
      </w:r>
      <w:proofErr w:type="gramEnd"/>
      <w:r w:rsidRPr="000202AF">
        <w:rPr>
          <w:lang w:val="en-GB"/>
        </w:rPr>
        <w:t xml:space="preserve"> forego work </w:t>
      </w:r>
      <w:proofErr w:type="gramStart"/>
      <w:r w:rsidRPr="000202AF">
        <w:rPr>
          <w:lang w:val="en-GB"/>
        </w:rPr>
        <w:t>in order to</w:t>
      </w:r>
      <w:proofErr w:type="gramEnd"/>
      <w:r w:rsidRPr="000202AF">
        <w:rPr>
          <w:lang w:val="en-GB"/>
        </w:rPr>
        <w:t xml:space="preserve"> provide full-time care (Banerjee </w:t>
      </w:r>
      <w:r w:rsidRPr="000202AF">
        <w:rPr>
          <w:i/>
          <w:iCs/>
          <w:lang w:val="en-GB"/>
        </w:rPr>
        <w:t xml:space="preserve">et al., </w:t>
      </w:r>
      <w:r w:rsidRPr="000202AF">
        <w:rPr>
          <w:lang w:val="en-GB"/>
        </w:rPr>
        <w:t>2025).</w:t>
      </w:r>
    </w:p>
    <w:p w14:paraId="0000001B" w14:textId="77777777" w:rsidR="000E0066" w:rsidRPr="000202AF" w:rsidRDefault="00647F78" w:rsidP="000202AF">
      <w:pPr>
        <w:rPr>
          <w:lang w:val="en-GB"/>
        </w:rPr>
      </w:pPr>
      <w:r w:rsidRPr="000202AF">
        <w:rPr>
          <w:lang w:val="en-GB"/>
        </w:rPr>
        <w:t>Dementia increases the demand for health and social services at the community level. Care organisations, general practitioner clinics, and hospitals get more workloads. The accident and fall rates, as well as emergency presentations, are also increased. Further, the stigma related to the condition might still be there; not all members of the community have sufficient knowledge of the condition, and thus they might discriminate or neglect to be supportive. In this matter, the professional organisations, like the Alzheimer Society, strive to create awareness among the people and offer support to the victims of dementia. All in all, the condition affects both an individual and the family, and even the rest of the population on physical, emotional, social, and financial fronts.</w:t>
      </w:r>
    </w:p>
    <w:p w14:paraId="554678C1" w14:textId="77777777" w:rsidR="007A6886" w:rsidRPr="000202AF" w:rsidRDefault="007A6886" w:rsidP="000202AF">
      <w:pPr>
        <w:rPr>
          <w:lang w:val="en-GB"/>
        </w:rPr>
      </w:pPr>
    </w:p>
    <w:p w14:paraId="0000001C" w14:textId="77777777" w:rsidR="000E0066" w:rsidRPr="000202AF" w:rsidRDefault="00647F78" w:rsidP="000202AF">
      <w:pPr>
        <w:rPr>
          <w:b/>
          <w:bCs/>
          <w:i/>
          <w:iCs/>
          <w:lang w:val="en-GB"/>
        </w:rPr>
      </w:pPr>
      <w:r w:rsidRPr="000202AF">
        <w:rPr>
          <w:b/>
          <w:bCs/>
          <w:i/>
          <w:iCs/>
          <w:lang w:val="en-GB"/>
        </w:rPr>
        <w:t>Health and social care support services are required</w:t>
      </w:r>
    </w:p>
    <w:p w14:paraId="0000001D" w14:textId="77777777" w:rsidR="000E0066" w:rsidRPr="000202AF" w:rsidRDefault="00647F78" w:rsidP="000202AF">
      <w:pPr>
        <w:rPr>
          <w:lang w:val="en-GB"/>
        </w:rPr>
      </w:pPr>
      <w:r w:rsidRPr="000202AF">
        <w:rPr>
          <w:lang w:val="en-GB"/>
        </w:rPr>
        <w:t xml:space="preserve">Making sure that the community has all the support to maintain safety and comfort means that proper care of the dementia patients requires a variety of support. To start with, there is a need to have medical support. The primary care doctors and memory clinics help with diagnosing and regular checkups. Home nursing visits test the condition of health. Mental health teams are interdisciplinary teams that are used to deal with behavioural and emotional issues. Social care is also of great importance. The activities done by home care aides include personal hygiene, dressing, cooking, and housekeeping (Jones </w:t>
      </w:r>
      <w:r w:rsidRPr="000202AF">
        <w:rPr>
          <w:i/>
          <w:iCs/>
          <w:lang w:val="en-GB"/>
        </w:rPr>
        <w:t xml:space="preserve">et al., </w:t>
      </w:r>
      <w:r w:rsidRPr="000202AF">
        <w:rPr>
          <w:lang w:val="en-GB"/>
        </w:rPr>
        <w:t>2025). Day care facilities provide safe settings in which members may interact and participate in scheduled activities and socialisation, thus providing reprieve to the family caregivers.</w:t>
      </w:r>
    </w:p>
    <w:p w14:paraId="0000001E" w14:textId="77777777" w:rsidR="000E0066" w:rsidRPr="000202AF" w:rsidRDefault="00647F78" w:rsidP="000202AF">
      <w:pPr>
        <w:rPr>
          <w:lang w:val="en-GB"/>
        </w:rPr>
      </w:pPr>
      <w:r w:rsidRPr="000202AF">
        <w:rPr>
          <w:lang w:val="en-GB"/>
        </w:rPr>
        <w:t xml:space="preserve">The support groups offer an excellent platform to both the patients and the carers, where psychosocial support can be offered in aid of practical advice. Memory clinics and community services are organized by the NHS (Takemura </w:t>
      </w:r>
      <w:r w:rsidRPr="000202AF">
        <w:rPr>
          <w:i/>
          <w:iCs/>
          <w:lang w:val="en-GB"/>
        </w:rPr>
        <w:t xml:space="preserve">et al., </w:t>
      </w:r>
      <w:r w:rsidRPr="000202AF">
        <w:rPr>
          <w:lang w:val="en-GB"/>
        </w:rPr>
        <w:t xml:space="preserve">2024). Information provided by the Alzheimer’s Society also includes helplines, information, and local in-person networks. Moreover, short time of rest is also inalienable; it helps the taking care of the person with dementia to have </w:t>
      </w:r>
      <w:r w:rsidRPr="000202AF">
        <w:rPr>
          <w:lang w:val="en-GB"/>
        </w:rPr>
        <w:lastRenderedPageBreak/>
        <w:t>intervals of rest when the experienced personnel is working on his/her care. Residential or nursing homes might be required at later stages of the disease.</w:t>
      </w:r>
    </w:p>
    <w:p w14:paraId="0000001F" w14:textId="77777777" w:rsidR="000E0066" w:rsidRPr="000202AF" w:rsidRDefault="00647F78" w:rsidP="000202AF">
      <w:pPr>
        <w:rPr>
          <w:lang w:val="en-GB"/>
        </w:rPr>
      </w:pPr>
      <w:r w:rsidRPr="000202AF">
        <w:rPr>
          <w:lang w:val="en-GB"/>
        </w:rPr>
        <w:t xml:space="preserve">Home country modifications increase safety. As an example, there should be signage, alarms, handrails, and sufficient lighting to minimize the chances of accidents. Financial support services are also considered critical; some of the families might need help in care spending or claim benefits (Manikandan </w:t>
      </w:r>
      <w:r w:rsidRPr="000202AF">
        <w:rPr>
          <w:i/>
          <w:iCs/>
          <w:lang w:val="en-GB"/>
        </w:rPr>
        <w:t xml:space="preserve">et al., </w:t>
      </w:r>
      <w:r w:rsidRPr="000202AF">
        <w:rPr>
          <w:lang w:val="en-GB"/>
        </w:rPr>
        <w:t>2025). Strong community support allows individuals with dementia to have dignified existences with a sense of security. The partnership and multifunctional work of health, as well as social care providers, require premature support and regular evaluation under the conditions of meeting their needs.</w:t>
      </w:r>
    </w:p>
    <w:p w14:paraId="304BA285" w14:textId="77777777" w:rsidR="007A6886" w:rsidRPr="000202AF" w:rsidRDefault="007A6886" w:rsidP="000202AF">
      <w:pPr>
        <w:rPr>
          <w:lang w:val="en-GB"/>
        </w:rPr>
      </w:pPr>
    </w:p>
    <w:p w14:paraId="00000020" w14:textId="77777777" w:rsidR="000E0066" w:rsidRPr="000202AF" w:rsidRDefault="00647F78" w:rsidP="000202AF">
      <w:pPr>
        <w:pStyle w:val="Heading2"/>
        <w:rPr>
          <w:lang w:val="en-GB"/>
        </w:rPr>
      </w:pPr>
      <w:bookmarkStart w:id="6" w:name="_nac501sb1vlr" w:colFirst="0" w:colLast="0"/>
      <w:bookmarkStart w:id="7" w:name="_Toc223191459"/>
      <w:bookmarkEnd w:id="6"/>
      <w:r w:rsidRPr="000202AF">
        <w:rPr>
          <w:lang w:val="en-GB"/>
        </w:rPr>
        <w:t>Conclusion</w:t>
      </w:r>
      <w:bookmarkEnd w:id="7"/>
    </w:p>
    <w:p w14:paraId="00000021" w14:textId="609F0D58" w:rsidR="000E0066" w:rsidRPr="000202AF" w:rsidRDefault="00647F78" w:rsidP="000202AF">
      <w:pPr>
        <w:rPr>
          <w:lang w:val="en-GB"/>
        </w:rPr>
      </w:pPr>
      <w:r w:rsidRPr="000202AF">
        <w:rPr>
          <w:lang w:val="en-GB"/>
        </w:rPr>
        <w:t xml:space="preserve">In conclusion it can be stated that dementia is a major and increasingly growing health issue of concern to the population. It compromises the memory, cognition, behaviour, and day-to-day performance. It is not part and parcel of aging in a normal condition. Millions of people are living with dementia in the world and the United Kingdom in particular. The condition has far </w:t>
      </w:r>
      <w:r w:rsidR="00B55E0B" w:rsidRPr="000202AF">
        <w:rPr>
          <w:lang w:val="en-GB"/>
        </w:rPr>
        <w:t>reached</w:t>
      </w:r>
      <w:r w:rsidRPr="000202AF">
        <w:rPr>
          <w:lang w:val="en-GB"/>
        </w:rPr>
        <w:t xml:space="preserve"> effects since it is not only personal but also to be with the families and even to the general society.</w:t>
      </w:r>
    </w:p>
    <w:p w14:paraId="00000022" w14:textId="77777777" w:rsidR="000E0066" w:rsidRPr="000202AF" w:rsidRDefault="00647F78" w:rsidP="000202AF">
      <w:pPr>
        <w:rPr>
          <w:lang w:val="en-GB"/>
        </w:rPr>
      </w:pPr>
      <w:r w:rsidRPr="000202AF">
        <w:rPr>
          <w:lang w:val="en-GB"/>
        </w:rPr>
        <w:t>Although dementia cannot be healed, it may be controlled. Early diagnosis, regular clinical examinations and simple cognitive evaluation help the clinicians to keep track of the disease progression. Symptoms can be reduced and reduce the quality of life through pharmacological interventions, healthy lifestyle, and emotional support.</w:t>
      </w:r>
    </w:p>
    <w:p w14:paraId="00000023" w14:textId="77777777" w:rsidR="000E0066" w:rsidRPr="000202AF" w:rsidRDefault="00647F78" w:rsidP="000202AF">
      <w:pPr>
        <w:rPr>
          <w:lang w:val="en-GB"/>
        </w:rPr>
      </w:pPr>
      <w:r w:rsidRPr="000202AF">
        <w:rPr>
          <w:lang w:val="en-GB"/>
        </w:rPr>
        <w:t>Patients with dementia need effective health and social care assistance. Other necessary services include general practitioner care services, memory clinic services, domiciliary care services, peer support groups, and residential care services. The families also require support and relief. With proper care, understanding, and societal support, the individuals living with dementia can be able to live safe, dignified and respectable lives.</w:t>
      </w:r>
      <w:r w:rsidRPr="000202AF">
        <w:rPr>
          <w:lang w:val="en-GB"/>
        </w:rPr>
        <w:br w:type="page"/>
      </w:r>
    </w:p>
    <w:p w14:paraId="00000024" w14:textId="77777777" w:rsidR="000E0066" w:rsidRPr="000202AF" w:rsidRDefault="00647F78" w:rsidP="000202AF">
      <w:pPr>
        <w:pStyle w:val="Heading1"/>
        <w:rPr>
          <w:lang w:val="en-GB"/>
        </w:rPr>
      </w:pPr>
      <w:bookmarkStart w:id="8" w:name="_ffo7iijbuyj2" w:colFirst="0" w:colLast="0"/>
      <w:bookmarkStart w:id="9" w:name="_Toc223191460"/>
      <w:bookmarkEnd w:id="8"/>
      <w:r w:rsidRPr="000202AF">
        <w:rPr>
          <w:lang w:val="en-GB"/>
        </w:rPr>
        <w:lastRenderedPageBreak/>
        <w:t>References</w:t>
      </w:r>
      <w:bookmarkEnd w:id="9"/>
      <w:r w:rsidRPr="000202AF">
        <w:rPr>
          <w:lang w:val="en-GB"/>
        </w:rPr>
        <w:t xml:space="preserve"> </w:t>
      </w:r>
    </w:p>
    <w:p w14:paraId="2EE66A06" w14:textId="77777777" w:rsidR="00F70D8F" w:rsidRPr="000202AF" w:rsidRDefault="00F70D8F" w:rsidP="000202AF">
      <w:pPr>
        <w:rPr>
          <w:highlight w:val="white"/>
          <w:lang w:val="en-GB"/>
        </w:rPr>
      </w:pPr>
      <w:r w:rsidRPr="000202AF">
        <w:rPr>
          <w:highlight w:val="white"/>
          <w:lang w:val="en-GB"/>
        </w:rPr>
        <w:t xml:space="preserve">Banerjee, S., 2025. Systematic literature review of wandering prevention technologies for dementia care. </w:t>
      </w:r>
      <w:r w:rsidRPr="000202AF">
        <w:rPr>
          <w:i/>
          <w:iCs/>
          <w:highlight w:val="white"/>
          <w:lang w:val="en-GB"/>
        </w:rPr>
        <w:t>Journal of Technology in Human Services</w:t>
      </w:r>
      <w:r w:rsidRPr="000202AF">
        <w:rPr>
          <w:highlight w:val="white"/>
          <w:lang w:val="en-GB"/>
        </w:rPr>
        <w:t xml:space="preserve">, </w:t>
      </w:r>
      <w:r w:rsidRPr="000202AF">
        <w:rPr>
          <w:i/>
          <w:iCs/>
          <w:highlight w:val="white"/>
          <w:lang w:val="en-GB"/>
        </w:rPr>
        <w:t>43</w:t>
      </w:r>
      <w:r w:rsidRPr="000202AF">
        <w:rPr>
          <w:highlight w:val="white"/>
          <w:lang w:val="en-GB"/>
        </w:rPr>
        <w:t>(3), pp.234-245.</w:t>
      </w:r>
    </w:p>
    <w:p w14:paraId="587E2E63" w14:textId="77777777" w:rsidR="00F70D8F" w:rsidRPr="000202AF" w:rsidRDefault="00F70D8F" w:rsidP="000202AF">
      <w:pPr>
        <w:rPr>
          <w:highlight w:val="white"/>
          <w:lang w:val="en-GB"/>
        </w:rPr>
      </w:pPr>
      <w:r w:rsidRPr="000202AF">
        <w:rPr>
          <w:highlight w:val="white"/>
          <w:lang w:val="en-GB"/>
        </w:rPr>
        <w:t xml:space="preserve">Bijlani, N., </w:t>
      </w:r>
      <w:proofErr w:type="spellStart"/>
      <w:r w:rsidRPr="000202AF">
        <w:rPr>
          <w:highlight w:val="white"/>
          <w:lang w:val="en-GB"/>
        </w:rPr>
        <w:t>Nilforooshan</w:t>
      </w:r>
      <w:proofErr w:type="spellEnd"/>
      <w:r w:rsidRPr="000202AF">
        <w:rPr>
          <w:highlight w:val="white"/>
          <w:lang w:val="en-GB"/>
        </w:rPr>
        <w:t xml:space="preserve">, R. and </w:t>
      </w:r>
      <w:proofErr w:type="spellStart"/>
      <w:r w:rsidRPr="000202AF">
        <w:rPr>
          <w:highlight w:val="white"/>
          <w:lang w:val="en-GB"/>
        </w:rPr>
        <w:t>Kouchaki</w:t>
      </w:r>
      <w:proofErr w:type="spellEnd"/>
      <w:r w:rsidRPr="000202AF">
        <w:rPr>
          <w:highlight w:val="white"/>
          <w:lang w:val="en-GB"/>
        </w:rPr>
        <w:t xml:space="preserve">, S., 2022. An unsupervised data-driven anomaly detection approach for adverse health conditions in people living with dementia: Cohort study. </w:t>
      </w:r>
      <w:r w:rsidRPr="000202AF">
        <w:rPr>
          <w:i/>
          <w:iCs/>
          <w:highlight w:val="white"/>
          <w:lang w:val="en-GB"/>
        </w:rPr>
        <w:t>JMIR aging</w:t>
      </w:r>
      <w:r w:rsidRPr="000202AF">
        <w:rPr>
          <w:highlight w:val="white"/>
          <w:lang w:val="en-GB"/>
        </w:rPr>
        <w:t xml:space="preserve">, </w:t>
      </w:r>
      <w:r w:rsidRPr="000202AF">
        <w:rPr>
          <w:i/>
          <w:iCs/>
          <w:highlight w:val="white"/>
          <w:lang w:val="en-GB"/>
        </w:rPr>
        <w:t>5</w:t>
      </w:r>
      <w:r w:rsidRPr="000202AF">
        <w:rPr>
          <w:highlight w:val="white"/>
          <w:lang w:val="en-GB"/>
        </w:rPr>
        <w:t>(3), p.e38211.</w:t>
      </w:r>
    </w:p>
    <w:p w14:paraId="7BC66D5E" w14:textId="77777777" w:rsidR="00F70D8F" w:rsidRPr="000202AF" w:rsidRDefault="00F70D8F" w:rsidP="000202AF">
      <w:pPr>
        <w:rPr>
          <w:lang w:val="en-GB"/>
        </w:rPr>
      </w:pPr>
      <w:r w:rsidRPr="000202AF">
        <w:rPr>
          <w:lang w:val="en-GB"/>
        </w:rPr>
        <w:t xml:space="preserve">Dementiahub.co.uk, 2025. </w:t>
      </w:r>
      <w:r w:rsidRPr="000202AF">
        <w:rPr>
          <w:i/>
          <w:iCs/>
          <w:lang w:val="en-GB"/>
        </w:rPr>
        <w:t>Dementia Statistics - Dementia Hub UK, Europe, USA, Global Dementia Statistics</w:t>
      </w:r>
      <w:r w:rsidRPr="000202AF">
        <w:rPr>
          <w:lang w:val="en-GB"/>
        </w:rPr>
        <w:t>. [online] Dementia Hub. Available at: https://dementiahub.co.uk/dementia-statistics [Accessed 28 Feb. 2026].</w:t>
      </w:r>
    </w:p>
    <w:p w14:paraId="065EB473" w14:textId="77777777" w:rsidR="00F70D8F" w:rsidRPr="000202AF" w:rsidRDefault="00F70D8F" w:rsidP="000202AF">
      <w:pPr>
        <w:rPr>
          <w:highlight w:val="white"/>
          <w:lang w:val="en-GB"/>
        </w:rPr>
      </w:pPr>
      <w:r w:rsidRPr="000202AF">
        <w:rPr>
          <w:highlight w:val="white"/>
          <w:lang w:val="en-GB"/>
        </w:rPr>
        <w:t>Jones, K.C., Weatherly, H., Birch, S., Castelli, A., Chalkley, M., Dargan, A., Findlay, D., Gao, M., Hinde, S., Markham, S. and Smith, D., 2025. Unit costs of health and social care 2024 manual.</w:t>
      </w:r>
    </w:p>
    <w:p w14:paraId="7A3D58A5" w14:textId="77777777" w:rsidR="00F70D8F" w:rsidRPr="000202AF" w:rsidRDefault="00F70D8F" w:rsidP="000202AF">
      <w:pPr>
        <w:rPr>
          <w:highlight w:val="white"/>
          <w:lang w:val="en-GB"/>
        </w:rPr>
      </w:pPr>
      <w:r w:rsidRPr="000202AF">
        <w:rPr>
          <w:highlight w:val="white"/>
          <w:lang w:val="en-GB"/>
        </w:rPr>
        <w:t xml:space="preserve">Lyall, D.M., </w:t>
      </w:r>
      <w:proofErr w:type="spellStart"/>
      <w:r w:rsidRPr="000202AF">
        <w:rPr>
          <w:highlight w:val="white"/>
          <w:lang w:val="en-GB"/>
        </w:rPr>
        <w:t>Kormilitzin</w:t>
      </w:r>
      <w:proofErr w:type="spellEnd"/>
      <w:r w:rsidRPr="000202AF">
        <w:rPr>
          <w:highlight w:val="white"/>
          <w:lang w:val="en-GB"/>
        </w:rPr>
        <w:t>, A., Lancaster, C., Sousa, J., Petermann</w:t>
      </w:r>
      <w:r w:rsidRPr="000202AF">
        <w:rPr>
          <w:rFonts w:ascii="Cambria Math" w:hAnsi="Cambria Math" w:cs="Cambria Math"/>
          <w:highlight w:val="white"/>
          <w:lang w:val="en-GB"/>
        </w:rPr>
        <w:t>‐</w:t>
      </w:r>
      <w:r w:rsidRPr="000202AF">
        <w:rPr>
          <w:highlight w:val="white"/>
          <w:lang w:val="en-GB"/>
        </w:rPr>
        <w:t xml:space="preserve">Rocha, F., Buckley, C., Harshfield, E.L., Iveson, M.H., Madan, C.R., McArdle, R. and Newby, D., 2023. Artificial intelligence for dementia—Applied models and digital health. </w:t>
      </w:r>
      <w:r w:rsidRPr="000202AF">
        <w:rPr>
          <w:i/>
          <w:iCs/>
          <w:highlight w:val="white"/>
          <w:lang w:val="en-GB"/>
        </w:rPr>
        <w:t>Alzheimer's &amp; Dementia</w:t>
      </w:r>
      <w:r w:rsidRPr="000202AF">
        <w:rPr>
          <w:highlight w:val="white"/>
          <w:lang w:val="en-GB"/>
        </w:rPr>
        <w:t xml:space="preserve">, </w:t>
      </w:r>
      <w:r w:rsidRPr="000202AF">
        <w:rPr>
          <w:i/>
          <w:iCs/>
          <w:highlight w:val="white"/>
          <w:lang w:val="en-GB"/>
        </w:rPr>
        <w:t>19</w:t>
      </w:r>
      <w:r w:rsidRPr="000202AF">
        <w:rPr>
          <w:highlight w:val="white"/>
          <w:lang w:val="en-GB"/>
        </w:rPr>
        <w:t>(12), pp.5872-5884.</w:t>
      </w:r>
    </w:p>
    <w:p w14:paraId="1E7EACFA" w14:textId="77777777" w:rsidR="00F70D8F" w:rsidRPr="000202AF" w:rsidRDefault="00F70D8F" w:rsidP="000202AF">
      <w:pPr>
        <w:rPr>
          <w:highlight w:val="white"/>
          <w:lang w:val="en-GB"/>
        </w:rPr>
      </w:pPr>
      <w:r w:rsidRPr="000202AF">
        <w:rPr>
          <w:highlight w:val="white"/>
          <w:lang w:val="en-GB"/>
        </w:rPr>
        <w:t xml:space="preserve">Manikandan, M., Kerr, C., Fortune, J., Walsh, M., Ryan, J. and Walsh, A., 2025. Experiences of health services for adults with cerebral palsy, their support people, and service providers. </w:t>
      </w:r>
      <w:r w:rsidRPr="000202AF">
        <w:rPr>
          <w:i/>
          <w:iCs/>
          <w:highlight w:val="white"/>
          <w:lang w:val="en-GB"/>
        </w:rPr>
        <w:t>Developmental Medicine &amp; Child Neurology</w:t>
      </w:r>
      <w:r w:rsidRPr="000202AF">
        <w:rPr>
          <w:highlight w:val="white"/>
          <w:lang w:val="en-GB"/>
        </w:rPr>
        <w:t xml:space="preserve">, </w:t>
      </w:r>
      <w:r w:rsidRPr="000202AF">
        <w:rPr>
          <w:i/>
          <w:iCs/>
          <w:highlight w:val="white"/>
          <w:lang w:val="en-GB"/>
        </w:rPr>
        <w:t>67</w:t>
      </w:r>
      <w:r w:rsidRPr="000202AF">
        <w:rPr>
          <w:highlight w:val="white"/>
          <w:lang w:val="en-GB"/>
        </w:rPr>
        <w:t>(2), pp.235-244.</w:t>
      </w:r>
    </w:p>
    <w:p w14:paraId="7CBEB02F" w14:textId="77777777" w:rsidR="00F70D8F" w:rsidRPr="000202AF" w:rsidRDefault="00F70D8F" w:rsidP="000202AF">
      <w:pPr>
        <w:rPr>
          <w:highlight w:val="white"/>
          <w:lang w:val="en-GB"/>
        </w:rPr>
      </w:pPr>
      <w:r w:rsidRPr="000202AF">
        <w:rPr>
          <w:highlight w:val="white"/>
          <w:lang w:val="en-GB"/>
        </w:rPr>
        <w:t xml:space="preserve">Mao, J., Yamakawa, M., Hu, X., Chikama, H., </w:t>
      </w:r>
      <w:proofErr w:type="spellStart"/>
      <w:r w:rsidRPr="000202AF">
        <w:rPr>
          <w:highlight w:val="white"/>
          <w:lang w:val="en-GB"/>
        </w:rPr>
        <w:t>Swa</w:t>
      </w:r>
      <w:proofErr w:type="spellEnd"/>
      <w:r w:rsidRPr="000202AF">
        <w:rPr>
          <w:highlight w:val="white"/>
          <w:lang w:val="en-GB"/>
        </w:rPr>
        <w:t xml:space="preserve">, T. and Takeya, Y., 2025. Negative consequences of sleep deprivation experienced by informal caregivers of people with dementia on caregivers and care recipients: A scoping review. </w:t>
      </w:r>
      <w:r w:rsidRPr="000202AF">
        <w:rPr>
          <w:i/>
          <w:iCs/>
          <w:highlight w:val="white"/>
          <w:lang w:val="en-GB"/>
        </w:rPr>
        <w:t>International Journal of Nursing Practice</w:t>
      </w:r>
      <w:r w:rsidRPr="000202AF">
        <w:rPr>
          <w:highlight w:val="white"/>
          <w:lang w:val="en-GB"/>
        </w:rPr>
        <w:t xml:space="preserve">, </w:t>
      </w:r>
      <w:r w:rsidRPr="000202AF">
        <w:rPr>
          <w:i/>
          <w:iCs/>
          <w:highlight w:val="white"/>
          <w:lang w:val="en-GB"/>
        </w:rPr>
        <w:t>31</w:t>
      </w:r>
      <w:r w:rsidRPr="000202AF">
        <w:rPr>
          <w:highlight w:val="white"/>
          <w:lang w:val="en-GB"/>
        </w:rPr>
        <w:t>(2), p.e70010.</w:t>
      </w:r>
    </w:p>
    <w:p w14:paraId="3A79F236" w14:textId="77777777" w:rsidR="00F70D8F" w:rsidRPr="000202AF" w:rsidRDefault="00F70D8F" w:rsidP="000202AF">
      <w:pPr>
        <w:rPr>
          <w:highlight w:val="white"/>
          <w:lang w:val="en-GB"/>
        </w:rPr>
      </w:pPr>
      <w:r w:rsidRPr="000202AF">
        <w:rPr>
          <w:highlight w:val="white"/>
          <w:lang w:val="en-GB"/>
        </w:rPr>
        <w:t xml:space="preserve">Seifert, I., </w:t>
      </w:r>
      <w:proofErr w:type="spellStart"/>
      <w:r w:rsidRPr="000202AF">
        <w:rPr>
          <w:highlight w:val="white"/>
          <w:lang w:val="en-GB"/>
        </w:rPr>
        <w:t>Wiegelmann</w:t>
      </w:r>
      <w:proofErr w:type="spellEnd"/>
      <w:r w:rsidRPr="000202AF">
        <w:rPr>
          <w:highlight w:val="white"/>
          <w:lang w:val="en-GB"/>
        </w:rPr>
        <w:t>, H., Lenart-</w:t>
      </w:r>
      <w:proofErr w:type="spellStart"/>
      <w:r w:rsidRPr="000202AF">
        <w:rPr>
          <w:highlight w:val="white"/>
          <w:lang w:val="en-GB"/>
        </w:rPr>
        <w:t>Bugla</w:t>
      </w:r>
      <w:proofErr w:type="spellEnd"/>
      <w:r w:rsidRPr="000202AF">
        <w:rPr>
          <w:highlight w:val="white"/>
          <w:lang w:val="en-GB"/>
        </w:rPr>
        <w:t xml:space="preserve">, M., </w:t>
      </w:r>
      <w:proofErr w:type="spellStart"/>
      <w:r w:rsidRPr="000202AF">
        <w:rPr>
          <w:highlight w:val="white"/>
          <w:lang w:val="en-GB"/>
        </w:rPr>
        <w:t>Łuc</w:t>
      </w:r>
      <w:proofErr w:type="spellEnd"/>
      <w:r w:rsidRPr="000202AF">
        <w:rPr>
          <w:highlight w:val="white"/>
          <w:lang w:val="en-GB"/>
        </w:rPr>
        <w:t xml:space="preserve">, M., Pawłowski, M., </w:t>
      </w:r>
      <w:proofErr w:type="spellStart"/>
      <w:r w:rsidRPr="000202AF">
        <w:rPr>
          <w:highlight w:val="white"/>
          <w:lang w:val="en-GB"/>
        </w:rPr>
        <w:t>Rouwette</w:t>
      </w:r>
      <w:proofErr w:type="spellEnd"/>
      <w:r w:rsidRPr="000202AF">
        <w:rPr>
          <w:highlight w:val="white"/>
          <w:lang w:val="en-GB"/>
        </w:rPr>
        <w:t xml:space="preserve">, E., </w:t>
      </w:r>
      <w:proofErr w:type="spellStart"/>
      <w:r w:rsidRPr="000202AF">
        <w:rPr>
          <w:highlight w:val="white"/>
          <w:lang w:val="en-GB"/>
        </w:rPr>
        <w:t>Rymaszewska</w:t>
      </w:r>
      <w:proofErr w:type="spellEnd"/>
      <w:r w:rsidRPr="000202AF">
        <w:rPr>
          <w:highlight w:val="white"/>
          <w:lang w:val="en-GB"/>
        </w:rPr>
        <w:t xml:space="preserve">, J., </w:t>
      </w:r>
      <w:proofErr w:type="spellStart"/>
      <w:r w:rsidRPr="000202AF">
        <w:rPr>
          <w:highlight w:val="white"/>
          <w:lang w:val="en-GB"/>
        </w:rPr>
        <w:t>Szcześniak</w:t>
      </w:r>
      <w:proofErr w:type="spellEnd"/>
      <w:r w:rsidRPr="000202AF">
        <w:rPr>
          <w:highlight w:val="white"/>
          <w:lang w:val="en-GB"/>
        </w:rPr>
        <w:t xml:space="preserve">, D., </w:t>
      </w:r>
      <w:proofErr w:type="spellStart"/>
      <w:r w:rsidRPr="000202AF">
        <w:rPr>
          <w:highlight w:val="white"/>
          <w:lang w:val="en-GB"/>
        </w:rPr>
        <w:t>Vernooij-Dassen</w:t>
      </w:r>
      <w:proofErr w:type="spellEnd"/>
      <w:r w:rsidRPr="000202AF">
        <w:rPr>
          <w:highlight w:val="white"/>
          <w:lang w:val="en-GB"/>
        </w:rPr>
        <w:t xml:space="preserve">, M., Perry, M. and Melis, R., 2022. Mapping the complexity of dementia: factors influencing cognitive function at the onset of dementia. </w:t>
      </w:r>
      <w:r w:rsidRPr="000202AF">
        <w:rPr>
          <w:i/>
          <w:iCs/>
          <w:highlight w:val="white"/>
          <w:lang w:val="en-GB"/>
        </w:rPr>
        <w:t>BMC geriatrics</w:t>
      </w:r>
      <w:r w:rsidRPr="000202AF">
        <w:rPr>
          <w:highlight w:val="white"/>
          <w:lang w:val="en-GB"/>
        </w:rPr>
        <w:t xml:space="preserve">, </w:t>
      </w:r>
      <w:r w:rsidRPr="000202AF">
        <w:rPr>
          <w:i/>
          <w:iCs/>
          <w:highlight w:val="white"/>
          <w:lang w:val="en-GB"/>
        </w:rPr>
        <w:t>22</w:t>
      </w:r>
      <w:r w:rsidRPr="000202AF">
        <w:rPr>
          <w:highlight w:val="white"/>
          <w:lang w:val="en-GB"/>
        </w:rPr>
        <w:t>(1), p.507.</w:t>
      </w:r>
    </w:p>
    <w:p w14:paraId="734DD443" w14:textId="77777777" w:rsidR="00F70D8F" w:rsidRPr="000202AF" w:rsidRDefault="00F70D8F" w:rsidP="000202AF">
      <w:pPr>
        <w:rPr>
          <w:highlight w:val="white"/>
          <w:lang w:val="en-GB"/>
        </w:rPr>
      </w:pPr>
      <w:r w:rsidRPr="000202AF">
        <w:rPr>
          <w:highlight w:val="white"/>
          <w:lang w:val="en-GB"/>
        </w:rPr>
        <w:t xml:space="preserve">Takemura, N., Maddocks, M. and Brighton, L.J., 2024. Advances in breathlessness support services for people with serious illness. </w:t>
      </w:r>
      <w:r w:rsidRPr="000202AF">
        <w:rPr>
          <w:i/>
          <w:iCs/>
          <w:highlight w:val="white"/>
          <w:lang w:val="en-GB"/>
        </w:rPr>
        <w:t>Current Opinion in Supportive and Palliative Care</w:t>
      </w:r>
      <w:r w:rsidRPr="000202AF">
        <w:rPr>
          <w:highlight w:val="white"/>
          <w:lang w:val="en-GB"/>
        </w:rPr>
        <w:t xml:space="preserve">, </w:t>
      </w:r>
      <w:r w:rsidRPr="000202AF">
        <w:rPr>
          <w:i/>
          <w:iCs/>
          <w:highlight w:val="white"/>
          <w:lang w:val="en-GB"/>
        </w:rPr>
        <w:t>18</w:t>
      </w:r>
      <w:r w:rsidRPr="000202AF">
        <w:rPr>
          <w:highlight w:val="white"/>
          <w:lang w:val="en-GB"/>
        </w:rPr>
        <w:t>(4), pp.199-205.</w:t>
      </w:r>
    </w:p>
    <w:p w14:paraId="0BD4F598" w14:textId="77777777" w:rsidR="00F70D8F" w:rsidRPr="000202AF" w:rsidRDefault="00F70D8F" w:rsidP="000202AF">
      <w:pPr>
        <w:rPr>
          <w:lang w:val="en-GB"/>
        </w:rPr>
      </w:pPr>
      <w:r w:rsidRPr="000202AF">
        <w:rPr>
          <w:lang w:val="en-GB"/>
        </w:rPr>
        <w:t xml:space="preserve">WHO, 2023. </w:t>
      </w:r>
      <w:r w:rsidRPr="000202AF">
        <w:rPr>
          <w:i/>
          <w:iCs/>
          <w:lang w:val="en-GB"/>
        </w:rPr>
        <w:t>Dementia</w:t>
      </w:r>
      <w:r w:rsidRPr="000202AF">
        <w:rPr>
          <w:lang w:val="en-GB"/>
        </w:rPr>
        <w:t>. [online] Who.int. Available at: https://www.who.int/news-room/fact-sheets/detail/dementia [Accessed 28 Feb. 2026].</w:t>
      </w:r>
    </w:p>
    <w:p w14:paraId="00000030" w14:textId="77777777" w:rsidR="000E0066" w:rsidRPr="000202AF" w:rsidRDefault="000E0066" w:rsidP="000202AF">
      <w:pPr>
        <w:rPr>
          <w:lang w:val="en-GB"/>
        </w:rPr>
      </w:pPr>
    </w:p>
    <w:sectPr w:rsidR="000E0066" w:rsidRPr="000202AF" w:rsidSect="00F70D8F">
      <w:headerReference w:type="default" r:id="rI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BC0A1" w14:textId="77777777" w:rsidR="00D76C68" w:rsidRDefault="00D76C68" w:rsidP="00F70D8F">
      <w:pPr>
        <w:spacing w:line="240" w:lineRule="auto"/>
      </w:pPr>
      <w:r>
        <w:separator/>
      </w:r>
    </w:p>
  </w:endnote>
  <w:endnote w:type="continuationSeparator" w:id="0">
    <w:p w14:paraId="304698E3" w14:textId="77777777" w:rsidR="00D76C68" w:rsidRDefault="00D76C68" w:rsidP="00F70D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0DBF212-16F0-4C70-8C1C-8C850D17157E}"/>
  </w:font>
  <w:font w:name="Cambria Math">
    <w:panose1 w:val="02040503050406030204"/>
    <w:charset w:val="00"/>
    <w:family w:val="roman"/>
    <w:pitch w:val="variable"/>
    <w:sig w:usb0="E00006FF" w:usb1="420024FF" w:usb2="02000000" w:usb3="00000000" w:csb0="0000019F" w:csb1="00000000"/>
    <w:embedRegular r:id="rId2" w:fontKey="{B070BAC7-DCD1-4394-B357-4C3F87726512}"/>
  </w:font>
  <w:font w:name="Cambria">
    <w:panose1 w:val="02040503050406030204"/>
    <w:charset w:val="00"/>
    <w:family w:val="roman"/>
    <w:pitch w:val="variable"/>
    <w:sig w:usb0="E00006FF" w:usb1="420024FF" w:usb2="02000000" w:usb3="00000000" w:csb0="0000019F" w:csb1="00000000"/>
    <w:embedRegular r:id="rId3" w:fontKey="{BD036424-6B8E-4859-ACAA-732241E2CD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377284"/>
      <w:docPartObj>
        <w:docPartGallery w:val="Page Numbers (Bottom of Page)"/>
        <w:docPartUnique/>
      </w:docPartObj>
    </w:sdtPr>
    <w:sdtEndPr>
      <w:rPr>
        <w:noProof/>
        <w:sz w:val="20"/>
        <w:szCs w:val="20"/>
      </w:rPr>
    </w:sdtEndPr>
    <w:sdtContent>
      <w:p w14:paraId="3CC842D5" w14:textId="6F029F38" w:rsidR="00F70D8F" w:rsidRPr="00F70D8F" w:rsidRDefault="00F70D8F">
        <w:pPr>
          <w:pStyle w:val="Footer"/>
          <w:jc w:val="right"/>
          <w:rPr>
            <w:sz w:val="20"/>
            <w:szCs w:val="20"/>
          </w:rPr>
        </w:pPr>
        <w:r w:rsidRPr="00F70D8F">
          <w:rPr>
            <w:sz w:val="20"/>
            <w:szCs w:val="20"/>
          </w:rPr>
          <w:fldChar w:fldCharType="begin"/>
        </w:r>
        <w:r w:rsidRPr="00F70D8F">
          <w:rPr>
            <w:sz w:val="20"/>
            <w:szCs w:val="20"/>
          </w:rPr>
          <w:instrText xml:space="preserve"> PAGE   \* MERGEFORMAT </w:instrText>
        </w:r>
        <w:r w:rsidRPr="00F70D8F">
          <w:rPr>
            <w:sz w:val="20"/>
            <w:szCs w:val="20"/>
          </w:rPr>
          <w:fldChar w:fldCharType="separate"/>
        </w:r>
        <w:r w:rsidRPr="00F70D8F">
          <w:rPr>
            <w:noProof/>
            <w:sz w:val="20"/>
            <w:szCs w:val="20"/>
          </w:rPr>
          <w:t>2</w:t>
        </w:r>
        <w:r w:rsidRPr="00F70D8F">
          <w:rPr>
            <w:noProof/>
            <w:sz w:val="20"/>
            <w:szCs w:val="20"/>
          </w:rPr>
          <w:fldChar w:fldCharType="end"/>
        </w:r>
      </w:p>
    </w:sdtContent>
  </w:sdt>
  <w:p w14:paraId="0E17E0E5" w14:textId="77777777" w:rsidR="00F70D8F" w:rsidRDefault="00F70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4498C" w14:textId="77777777" w:rsidR="00D76C68" w:rsidRDefault="00D76C68" w:rsidP="00F70D8F">
      <w:pPr>
        <w:spacing w:line="240" w:lineRule="auto"/>
      </w:pPr>
      <w:r>
        <w:separator/>
      </w:r>
    </w:p>
  </w:footnote>
  <w:footnote w:type="continuationSeparator" w:id="0">
    <w:p w14:paraId="00B8061E" w14:textId="77777777" w:rsidR="00D76C68" w:rsidRDefault="00D76C68" w:rsidP="00F70D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65527" w14:textId="77777777" w:rsidR="00BB01A4" w:rsidRDefault="00BB01A4" w:rsidP="00BB01A4">
    <w:pPr>
      <w:jc w:val="right"/>
    </w:pPr>
    <w:r>
      <w:rPr>
        <w:noProof/>
      </w:rPr>
      <w:drawing>
        <wp:inline distT="114300" distB="114300" distL="114300" distR="114300" wp14:anchorId="558D96E7" wp14:editId="33E2FEAD">
          <wp:extent cx="1292369" cy="5000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92369" cy="500063"/>
                  </a:xfrm>
                  <a:prstGeom prst="rect">
                    <a:avLst/>
                  </a:prstGeom>
                  <a:ln/>
                </pic:spPr>
              </pic:pic>
            </a:graphicData>
          </a:graphic>
        </wp:inline>
      </w:drawing>
    </w:r>
  </w:p>
  <w:p w14:paraId="158DBD72" w14:textId="77777777" w:rsidR="00BB01A4" w:rsidRDefault="00BB01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066"/>
    <w:rsid w:val="000202AF"/>
    <w:rsid w:val="000E0066"/>
    <w:rsid w:val="00107BC2"/>
    <w:rsid w:val="00214450"/>
    <w:rsid w:val="003D16C7"/>
    <w:rsid w:val="00422857"/>
    <w:rsid w:val="00647F78"/>
    <w:rsid w:val="00687267"/>
    <w:rsid w:val="007A6886"/>
    <w:rsid w:val="007F311B"/>
    <w:rsid w:val="00906E68"/>
    <w:rsid w:val="00A771F5"/>
    <w:rsid w:val="00B1499A"/>
    <w:rsid w:val="00B55E0B"/>
    <w:rsid w:val="00BB01A4"/>
    <w:rsid w:val="00BE7C50"/>
    <w:rsid w:val="00BF0FD9"/>
    <w:rsid w:val="00CB365D"/>
    <w:rsid w:val="00D76C68"/>
    <w:rsid w:val="00DB6986"/>
    <w:rsid w:val="00DF1326"/>
    <w:rsid w:val="00ED2529"/>
    <w:rsid w:val="00EE6BF7"/>
    <w:rsid w:val="00F70D8F"/>
    <w:rsid w:val="00FD44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49750"/>
  <w15:docId w15:val="{C8FBACE0-FCFD-474F-9F9F-E7EC95D2E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70D8F"/>
    <w:pPr>
      <w:tabs>
        <w:tab w:val="center" w:pos="4513"/>
        <w:tab w:val="right" w:pos="9026"/>
      </w:tabs>
      <w:spacing w:line="240" w:lineRule="auto"/>
    </w:pPr>
  </w:style>
  <w:style w:type="character" w:customStyle="1" w:styleId="HeaderChar">
    <w:name w:val="Header Char"/>
    <w:basedOn w:val="DefaultParagraphFont"/>
    <w:link w:val="Header"/>
    <w:uiPriority w:val="99"/>
    <w:rsid w:val="00F70D8F"/>
  </w:style>
  <w:style w:type="paragraph" w:styleId="Footer">
    <w:name w:val="footer"/>
    <w:basedOn w:val="Normal"/>
    <w:link w:val="FooterChar"/>
    <w:uiPriority w:val="99"/>
    <w:unhideWhenUsed/>
    <w:rsid w:val="00F70D8F"/>
    <w:pPr>
      <w:tabs>
        <w:tab w:val="center" w:pos="4513"/>
        <w:tab w:val="right" w:pos="9026"/>
      </w:tabs>
      <w:spacing w:line="240" w:lineRule="auto"/>
    </w:pPr>
  </w:style>
  <w:style w:type="character" w:customStyle="1" w:styleId="FooterChar">
    <w:name w:val="Footer Char"/>
    <w:basedOn w:val="DefaultParagraphFont"/>
    <w:link w:val="Footer"/>
    <w:uiPriority w:val="99"/>
    <w:rsid w:val="00F70D8F"/>
  </w:style>
  <w:style w:type="paragraph" w:styleId="TOCHeading">
    <w:name w:val="TOC Heading"/>
    <w:basedOn w:val="Heading1"/>
    <w:next w:val="Normal"/>
    <w:uiPriority w:val="39"/>
    <w:unhideWhenUsed/>
    <w:qFormat/>
    <w:rsid w:val="00F70D8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70D8F"/>
    <w:pPr>
      <w:spacing w:after="100"/>
    </w:pPr>
  </w:style>
  <w:style w:type="paragraph" w:styleId="TOC2">
    <w:name w:val="toc 2"/>
    <w:basedOn w:val="Normal"/>
    <w:next w:val="Normal"/>
    <w:autoRedefine/>
    <w:uiPriority w:val="39"/>
    <w:unhideWhenUsed/>
    <w:rsid w:val="00F70D8F"/>
    <w:pPr>
      <w:spacing w:after="100"/>
      <w:ind w:left="220"/>
    </w:pPr>
  </w:style>
  <w:style w:type="character" w:styleId="Hyperlink">
    <w:name w:val="Hyperlink"/>
    <w:basedOn w:val="DefaultParagraphFont"/>
    <w:uiPriority w:val="99"/>
    <w:unhideWhenUsed/>
    <w:rsid w:val="00F70D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3760F0D-FC84-4EF2-A917-FC835E644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1957</Words>
  <Characters>11155</Characters>
  <Application>Microsoft Office Word</Application>
  <DocSecurity>0</DocSecurity>
  <Lines>92</Lines>
  <Paragraphs>26</Paragraphs>
  <ScaleCrop>false</ScaleCrop>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Ashraful Mokhlook Talukdar (2441949)</cp:lastModifiedBy>
  <cp:revision>17</cp:revision>
  <dcterms:created xsi:type="dcterms:W3CDTF">2026-02-28T11:46:00Z</dcterms:created>
  <dcterms:modified xsi:type="dcterms:W3CDTF">2026-03-09T10:21:00Z</dcterms:modified>
</cp:coreProperties>
</file>