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82425036"/>
        <w:docPartObj>
          <w:docPartGallery w:val="Cover Pages"/>
          <w:docPartUnique/>
        </w:docPartObj>
      </w:sdtPr>
      <w:sdtEndPr>
        <w:rPr>
          <w:color w:val="auto"/>
        </w:rPr>
      </w:sdtEndPr>
      <w:sdtContent>
        <w:p w14:paraId="639E0C2D" w14:textId="6871FA21" w:rsidR="00C11A04" w:rsidRDefault="00C11A04">
          <w:pPr>
            <w:pStyle w:val="NoSpacing"/>
            <w:spacing w:before="1540" w:after="240"/>
            <w:jc w:val="center"/>
            <w:rPr>
              <w:color w:val="4472C4" w:themeColor="accent1"/>
            </w:rPr>
          </w:pPr>
          <w:r>
            <w:rPr>
              <w:noProof/>
              <w:color w:val="4472C4" w:themeColor="accent1"/>
            </w:rPr>
            <w:drawing>
              <wp:inline distT="0" distB="0" distL="0" distR="0" wp14:anchorId="26FA95AA" wp14:editId="764C648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B28DCEE8DFB4956BF012152E875AF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4607D1" w14:textId="5991997B" w:rsidR="00C11A04" w:rsidRDefault="00C11A0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PUBLIC HELTH (LCHS4004-LON</w:t>
              </w:r>
            </w:p>
          </w:sdtContent>
        </w:sdt>
        <w:sdt>
          <w:sdtPr>
            <w:rPr>
              <w:color w:val="4472C4" w:themeColor="accent1"/>
              <w:sz w:val="28"/>
              <w:szCs w:val="28"/>
            </w:rPr>
            <w:alias w:val="Subtitle"/>
            <w:tag w:val=""/>
            <w:id w:val="328029620"/>
            <w:placeholder>
              <w:docPart w:val="87789DCEECAE492392251EECCBE03BC9"/>
            </w:placeholder>
            <w:dataBinding w:prefixMappings="xmlns:ns0='http://purl.org/dc/elements/1.1/' xmlns:ns1='http://schemas.openxmlformats.org/package/2006/metadata/core-properties' " w:xpath="/ns1:coreProperties[1]/ns0:subject[1]" w:storeItemID="{6C3C8BC8-F283-45AE-878A-BAB7291924A1}"/>
            <w:text/>
          </w:sdtPr>
          <w:sdtContent>
            <w:p w14:paraId="36A6C53A" w14:textId="62293B36" w:rsidR="00C11A04" w:rsidRDefault="00C11A04">
              <w:pPr>
                <w:pStyle w:val="NoSpacing"/>
                <w:jc w:val="center"/>
                <w:rPr>
                  <w:color w:val="4472C4" w:themeColor="accent1"/>
                  <w:sz w:val="28"/>
                  <w:szCs w:val="28"/>
                </w:rPr>
              </w:pPr>
              <w:r w:rsidRPr="00C11A04">
                <w:rPr>
                  <w:color w:val="4472C4" w:themeColor="accent1"/>
                  <w:sz w:val="28"/>
                  <w:szCs w:val="28"/>
                </w:rPr>
                <w:t>How infectious diseases are measured monitored and controlled</w:t>
              </w:r>
            </w:p>
          </w:sdtContent>
        </w:sdt>
        <w:p w14:paraId="256CAE47" w14:textId="05B42229" w:rsidR="004F5C70" w:rsidRPr="004F5C70" w:rsidRDefault="00C11A04" w:rsidP="004F5C7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BBABEED" wp14:editId="763B89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E143BC" w14:textId="20208C79" w:rsidR="00C11A04" w:rsidRDefault="00FF5221">
                                    <w:pPr>
                                      <w:pStyle w:val="NoSpacing"/>
                                      <w:spacing w:after="40"/>
                                      <w:jc w:val="center"/>
                                      <w:rPr>
                                        <w:caps/>
                                        <w:color w:val="4472C4" w:themeColor="accent1"/>
                                        <w:sz w:val="28"/>
                                        <w:szCs w:val="28"/>
                                      </w:rPr>
                                    </w:pPr>
                                    <w:r>
                                      <w:rPr>
                                        <w:caps/>
                                        <w:color w:val="4472C4" w:themeColor="accent1"/>
                                        <w:sz w:val="28"/>
                                        <w:szCs w:val="28"/>
                                      </w:rPr>
                                      <w:t xml:space="preserve">BERLINDA SEMAHA </w:t>
                                    </w:r>
                                  </w:p>
                                </w:sdtContent>
                              </w:sdt>
                              <w:p w14:paraId="48F05FAF" w14:textId="78841D19" w:rsidR="00C11A04" w:rsidRDefault="00C11A0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F5221">
                                      <w:rPr>
                                        <w:caps/>
                                        <w:color w:val="4472C4" w:themeColor="accent1"/>
                                      </w:rPr>
                                      <w:t>STUDENT NUMBER:2131051</w:t>
                                    </w:r>
                                  </w:sdtContent>
                                </w:sdt>
                              </w:p>
                              <w:p w14:paraId="489394FD" w14:textId="723CDD41" w:rsidR="00C11A04" w:rsidRDefault="00C11A0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F5221">
                                      <w:rPr>
                                        <w:color w:val="4472C4" w:themeColor="accent1"/>
                                      </w:rPr>
                                      <w:t>UWTSD</w:t>
                                    </w:r>
                                  </w:sdtContent>
                                </w:sdt>
                              </w:p>
                              <w:p w14:paraId="3FE38082" w14:textId="77777777" w:rsidR="004F5C70" w:rsidRDefault="004F5C70">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BABEE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E143BC" w14:textId="20208C79" w:rsidR="00C11A04" w:rsidRDefault="00FF5221">
                              <w:pPr>
                                <w:pStyle w:val="NoSpacing"/>
                                <w:spacing w:after="40"/>
                                <w:jc w:val="center"/>
                                <w:rPr>
                                  <w:caps/>
                                  <w:color w:val="4472C4" w:themeColor="accent1"/>
                                  <w:sz w:val="28"/>
                                  <w:szCs w:val="28"/>
                                </w:rPr>
                              </w:pPr>
                              <w:r>
                                <w:rPr>
                                  <w:caps/>
                                  <w:color w:val="4472C4" w:themeColor="accent1"/>
                                  <w:sz w:val="28"/>
                                  <w:szCs w:val="28"/>
                                </w:rPr>
                                <w:t xml:space="preserve">BERLINDA SEMAHA </w:t>
                              </w:r>
                            </w:p>
                          </w:sdtContent>
                        </w:sdt>
                        <w:p w14:paraId="48F05FAF" w14:textId="78841D19" w:rsidR="00C11A04" w:rsidRDefault="00C11A0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F5221">
                                <w:rPr>
                                  <w:caps/>
                                  <w:color w:val="4472C4" w:themeColor="accent1"/>
                                </w:rPr>
                                <w:t>STUDENT NUMBER:2131051</w:t>
                              </w:r>
                            </w:sdtContent>
                          </w:sdt>
                        </w:p>
                        <w:p w14:paraId="489394FD" w14:textId="723CDD41" w:rsidR="00C11A04" w:rsidRDefault="00C11A0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F5221">
                                <w:rPr>
                                  <w:color w:val="4472C4" w:themeColor="accent1"/>
                                </w:rPr>
                                <w:t>UWTSD</w:t>
                              </w:r>
                            </w:sdtContent>
                          </w:sdt>
                        </w:p>
                        <w:p w14:paraId="3FE38082" w14:textId="77777777" w:rsidR="004F5C70" w:rsidRDefault="004F5C70">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6512FF45" wp14:editId="24D7E59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75B3C40D" w14:textId="77777777" w:rsidR="00B234E8" w:rsidRDefault="00B234E8"/>
    <w:p w14:paraId="02DB82D9" w14:textId="77777777" w:rsidR="004F5C70" w:rsidRDefault="004F5C70"/>
    <w:p w14:paraId="7A012B33" w14:textId="627A8A96" w:rsidR="004F5C70" w:rsidRDefault="004F5C70"/>
    <w:p w14:paraId="122379EE" w14:textId="77777777" w:rsidR="004F5C70" w:rsidRDefault="004F5C70">
      <w:r>
        <w:br w:type="page"/>
      </w:r>
    </w:p>
    <w:p w14:paraId="6326CC5A" w14:textId="12DE5D16" w:rsidR="004F5C70" w:rsidRDefault="004F5C70"/>
    <w:p w14:paraId="77A5CA30" w14:textId="77777777" w:rsidR="004F5C70" w:rsidRDefault="004F5C70">
      <w:r>
        <w:br w:type="page"/>
      </w:r>
    </w:p>
    <w:p w14:paraId="26D3283B" w14:textId="77777777" w:rsidR="004F5C70" w:rsidRDefault="004F5C70" w:rsidP="005837DC">
      <w:pPr>
        <w:pStyle w:val="Heading1"/>
      </w:pPr>
      <w:r>
        <w:lastRenderedPageBreak/>
        <w:t>Introduction</w:t>
      </w:r>
    </w:p>
    <w:p w14:paraId="0DBB3228" w14:textId="77777777" w:rsidR="004F5C70" w:rsidRDefault="004F5C70" w:rsidP="004F5C70"/>
    <w:p w14:paraId="617FF063" w14:textId="77777777" w:rsidR="004F5C70" w:rsidRDefault="004F5C70" w:rsidP="004F5C70">
      <w:r>
        <w:t>Paramyxoviruses are viruses that cause mumps. The virus can only be passed on through direct contact with saliva or saliva droplets from a person who has the virus. Mumps is easy to spot because they cause a painful bump just below the ear on one side of the face. This is what makes the cheeks swell and the jaw hurt and swell up and makes a person look different. Headaches, sore joints, and a high fever are also common mumps symptoms that might show up a few days before the parotid glands swell (Gov.UK, 2013). In the past, mumps was a common childhood illness that affected everyone between the ages of 5 and 9 (CDC,2021). This report will look at approaches and strategies used in the UK to measure, monitor and control mumps and Policies and Strategies available to the UK government to maintain public health.</w:t>
      </w:r>
    </w:p>
    <w:p w14:paraId="0435E73A" w14:textId="77777777" w:rsidR="004F5C70" w:rsidRDefault="004F5C70" w:rsidP="00001FE6">
      <w:pPr>
        <w:pStyle w:val="Heading1"/>
      </w:pPr>
      <w:r>
        <w:t>Approach and strategies used to measure mumps.</w:t>
      </w:r>
    </w:p>
    <w:p w14:paraId="22F446B5" w14:textId="77777777" w:rsidR="004F5C70" w:rsidRDefault="004F5C70" w:rsidP="004F5C70">
      <w:r>
        <w:t>In England, the number of confirmed cases of mumps has just reached its highest point in the last ten years. Oral fluid samples and other suitable samples sent to the National Reference Laboratory in Colindale, London, and samples from cases only tested in Public Health Laboratories, local NHS hospitals, and private laboratories are all part of the laboratory confirmation process for measles, mumps, and rubella (NICE, 2018). Cases of mumps are scientifically proven, and this is done out using reverse transcription polymerase chain reaction (RT-PCR) or viral culture, usually in buccal/oral swab specimens (CDC,2021).</w:t>
      </w:r>
    </w:p>
    <w:p w14:paraId="10494ECB" w14:textId="77777777" w:rsidR="004F5C70" w:rsidRDefault="004F5C70" w:rsidP="004F5C70">
      <w:r>
        <w:t>In 2017, there were a total of 1840 cases of mumps that were confirmed by a laboratory in England and Wales (NICE, 2018).   5,042 instances were reported in 2019, which is four times as many as in 2018. Many of them were caused by outbreaks at universities and colleges, and the majority affected young people who had not had the MMR (measles, mumps, and rubella) vaccine (The Guardian, 2023). A lot of the 2019 cases were born in the late 1990s or early 2000s but didn't get the MMR vaccine as kids.</w:t>
      </w:r>
    </w:p>
    <w:p w14:paraId="67608EB2" w14:textId="77777777" w:rsidR="004F5C70" w:rsidRDefault="004F5C70" w:rsidP="005837DC">
      <w:pPr>
        <w:pStyle w:val="Heading1"/>
      </w:pPr>
      <w:r>
        <w:t>Approach and strategies used to monitor mumps.</w:t>
      </w:r>
    </w:p>
    <w:p w14:paraId="7E4F3168" w14:textId="77777777" w:rsidR="004F5C70" w:rsidRDefault="004F5C70" w:rsidP="004F5C70">
      <w:r>
        <w:t>In England, there are four surveillance methods used to monitor the effect of the MMR vaccination program, these are Information on vaccination rates, clinical notifications, laboratory-confirmed cases, and antibody prevalence.  Public Health England (PHE) oversees keeping an eye on and dealing with infectious diseases and health risks from the environment (Oxford Academy, 2002). They do this by offering specialist health protection, epidemiology, and microbiology services across England. Their goal is to find disease outbreaks and epidemics as quickly as possible. Local Health Protection Teams (HPTs) lead Public Health England's reaction to all health-related events and offer expert help to avoid and lessen the effects of infectious diseases, chemical and nuclear dangers, and big crises.</w:t>
      </w:r>
    </w:p>
    <w:p w14:paraId="3F274E74" w14:textId="77777777" w:rsidR="004F5C70" w:rsidRDefault="004F5C70" w:rsidP="004F5C70">
      <w:r>
        <w:t>The local consultant for communicable disease control normally handles this and submits weekly reports to the Office for National Statistics. There are no formal case definitions; notifications are made on suspicion or diagnosis of clinical disease. Serum, urine, and buccal swabs were taken from mumps-suspected patients and the lad test confirms the case of mumps (Oxford Academy, 2002).</w:t>
      </w:r>
    </w:p>
    <w:p w14:paraId="61F992BA" w14:textId="77777777" w:rsidR="004F5C70" w:rsidRDefault="004F5C70" w:rsidP="004F5C70"/>
    <w:p w14:paraId="3E7EDA90" w14:textId="6BFA1BF2" w:rsidR="004F5C70" w:rsidRPr="005837DC" w:rsidRDefault="004F5C70" w:rsidP="005837DC">
      <w:pPr>
        <w:pStyle w:val="Heading1"/>
      </w:pPr>
      <w:r w:rsidRPr="005837DC">
        <w:lastRenderedPageBreak/>
        <w:t xml:space="preserve">Approach and strategies used to control </w:t>
      </w:r>
      <w:r w:rsidR="005837DC" w:rsidRPr="005837DC">
        <w:t>mumps.</w:t>
      </w:r>
      <w:r w:rsidRPr="005837DC">
        <w:tab/>
      </w:r>
    </w:p>
    <w:p w14:paraId="23939CDB" w14:textId="77777777" w:rsidR="004F5C70" w:rsidRDefault="004F5C70" w:rsidP="004F5C70">
      <w:r>
        <w:t>Immunisation is the most important means of preventing the infection of mumps (MMR) for mumps, measles and rubella. The NHS routinely gives the MMR vaccine to children in the UK. A child has their first dose of the vaccine between 12-13 months and the second dose is given before they start school (NHS Inform, 2023).  In October 1996, the MMR was given in two doses. In the UK, a single dose of a vaccine that protects against mumps protects between 61% and 91% of people.  So, two doses are needed to protect both the individual and the whole population (23 Mumps,2013).</w:t>
      </w:r>
    </w:p>
    <w:p w14:paraId="23E8B12A" w14:textId="76CBD895" w:rsidR="00001FE6" w:rsidRDefault="004F5C70" w:rsidP="004F5C70">
      <w:r>
        <w:t>NHS England makes sure there is a system in place to make sure each person to make sure they are fit to be immunised. checked everyone's immunisation history to make sure they were all up to date. NHS have plans in place that allow them to spot those who aren't fully vaccinated and call them in to have them vaccinated as soon as possible (Department of Health, 2013).</w:t>
      </w:r>
    </w:p>
    <w:p w14:paraId="20350B84" w14:textId="30E17060" w:rsidR="004F5C70" w:rsidRDefault="004F5C70" w:rsidP="004F5C70">
      <w:r>
        <w:t>Women of reproductive age who have not been vaccinated, who have only had one dose of the mumps vaccine, or who test negative for the mumps antibody should have both doses of the vaccination. Maternity services provide the first dose of MMR to individuals who were identified during pregnancy, and then a second dose one month later (Department of Health, 2014).</w:t>
      </w:r>
    </w:p>
    <w:p w14:paraId="2E079B2D" w14:textId="2EFFE265" w:rsidR="004F5C70" w:rsidRDefault="004F5C70" w:rsidP="005837DC">
      <w:pPr>
        <w:pStyle w:val="Heading1"/>
      </w:pPr>
      <w:r>
        <w:t>Policies and Strategies</w:t>
      </w:r>
      <w:r w:rsidR="002304DB">
        <w:t xml:space="preserve"> are</w:t>
      </w:r>
      <w:r>
        <w:t xml:space="preserve"> available to the UK government to maintain public health. </w:t>
      </w:r>
    </w:p>
    <w:p w14:paraId="74D8C71D" w14:textId="2E7C8332" w:rsidR="004F5C70" w:rsidRDefault="004F5C70" w:rsidP="004F5C70">
      <w:r>
        <w:t xml:space="preserve">England introduced the Vaccination Act of 1853 to tackle the smallpox outbreak, </w:t>
      </w:r>
      <w:r w:rsidR="00001FE6">
        <w:t>at</w:t>
      </w:r>
      <w:r>
        <w:t xml:space="preserve"> that period, 30% of Britons died from smallpox. Survivors were blinded or disfigured. This legislation was one of many that were passed to make vaccines legal for members of the general public (The Health Foundation, 2023).</w:t>
      </w:r>
    </w:p>
    <w:p w14:paraId="3B5BA576" w14:textId="77777777" w:rsidR="004F5C70" w:rsidRDefault="004F5C70" w:rsidP="004F5C70">
      <w:r>
        <w:t xml:space="preserve">Under Section 33(3) Children Act 1989, The Children's Trust has the power to go against what a child's parents want about vaccinations if they think it's in the child's best interests. A kid with a Temporary Care Order has the same power as any other child (Birmingham’s Children’s Trust, </w:t>
      </w:r>
      <w:proofErr w:type="spellStart"/>
      <w:r>
        <w:t>n.d</w:t>
      </w:r>
      <w:proofErr w:type="spellEnd"/>
      <w:r>
        <w:t>). Before making a choice, parents' opinions are taken into consideration. But the situation shouldn't be decided just by how strongly a parent feels unless that parent's opinion has a real effect on the child's safety.</w:t>
      </w:r>
    </w:p>
    <w:p w14:paraId="45E77882" w14:textId="77777777" w:rsidR="004F5C70" w:rsidRDefault="004F5C70" w:rsidP="004F5C70">
      <w:r>
        <w:t>Under the Health and Safety at Work Act, employers are required to pay for safety measures like immunisations. When possible, this will probably be done through the company's occupational health provider (Health and Safety Executive, N.D). The employee could also be asked to get vaccinated through their own doctor, but if this can't be done, the employer must make other plans and pay back the employee for any costs they incur. Vaccination rates must be monitored and reassessed, with booster shots given if required (Health and Safety Executive, N.D). Employers must pay for immunisations under the Health and Safety at Work Law. The occupational health provider may supply this. If the employee cannot schedule vaccination via their GP, the employer must make alternate arrangements and pay the employee for any expenses.</w:t>
      </w:r>
    </w:p>
    <w:p w14:paraId="5C06E87E" w14:textId="79C1E961" w:rsidR="004F5C70" w:rsidRDefault="004F5C70" w:rsidP="004F5C70">
      <w:r>
        <w:t xml:space="preserve"> </w:t>
      </w:r>
    </w:p>
    <w:p w14:paraId="73590890" w14:textId="745BE6C8" w:rsidR="004F5C70" w:rsidRDefault="004F5C70" w:rsidP="004F5C70">
      <w:pPr>
        <w:pStyle w:val="Heading1"/>
      </w:pPr>
      <w:r>
        <w:t>Conclusion</w:t>
      </w:r>
    </w:p>
    <w:p w14:paraId="1EED5B90" w14:textId="10121EBD" w:rsidR="004F5C70" w:rsidRDefault="004F5C70" w:rsidP="004F5C70">
      <w:r>
        <w:t xml:space="preserve">Many viral diseases can be controlled by taking the steps suggested in Preventing and controlling illnesses. Government Policies and Acts mentioned above have greatly impacted the spread of the infectious outbreak as it becomes mandatory for every child to be vaccinated. However, some </w:t>
      </w:r>
      <w:r>
        <w:lastRenderedPageBreak/>
        <w:t>parents are worried about the effectiveness and/or safety of vaccines, or they don't want their kids to get them because of personal beliefs, religious, safety concerns, and vaccine hesitancy. In order to provide NHS England with confidence in the quality and reliability of the service they provide, the vaccination programme is subject to frequent monitoring and auditing as part of clinical governance processes. This includes the creation and evaluation of a risk register (Department of Health, 2013).</w:t>
      </w:r>
    </w:p>
    <w:p w14:paraId="41F6C558" w14:textId="3F72DF86" w:rsidR="005837DC" w:rsidRDefault="005837DC" w:rsidP="005837DC">
      <w:pPr>
        <w:pStyle w:val="Heading1"/>
      </w:pPr>
      <w:r>
        <w:t xml:space="preserve">Reference </w:t>
      </w:r>
    </w:p>
    <w:sectPr w:rsidR="005837DC" w:rsidSect="00C11A0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0EAE5" w14:textId="77777777" w:rsidR="00573E08" w:rsidRDefault="00573E08" w:rsidP="004F5C70">
      <w:pPr>
        <w:spacing w:after="0" w:line="240" w:lineRule="auto"/>
      </w:pPr>
      <w:r>
        <w:separator/>
      </w:r>
    </w:p>
  </w:endnote>
  <w:endnote w:type="continuationSeparator" w:id="0">
    <w:p w14:paraId="17C4DC16" w14:textId="77777777" w:rsidR="00573E08" w:rsidRDefault="00573E08" w:rsidP="004F5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8065E" w14:textId="77777777" w:rsidR="004F5C70" w:rsidRDefault="004F5C7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52E43A0" w14:textId="77777777" w:rsidR="004F5C70" w:rsidRDefault="004F5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2A70A" w14:textId="77777777" w:rsidR="00573E08" w:rsidRDefault="00573E08" w:rsidP="004F5C70">
      <w:pPr>
        <w:spacing w:after="0" w:line="240" w:lineRule="auto"/>
      </w:pPr>
      <w:r>
        <w:separator/>
      </w:r>
    </w:p>
  </w:footnote>
  <w:footnote w:type="continuationSeparator" w:id="0">
    <w:p w14:paraId="72F5D192" w14:textId="77777777" w:rsidR="00573E08" w:rsidRDefault="00573E08" w:rsidP="004F5C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A04"/>
    <w:rsid w:val="00001FE6"/>
    <w:rsid w:val="002304DB"/>
    <w:rsid w:val="004F5C70"/>
    <w:rsid w:val="00573E08"/>
    <w:rsid w:val="005837DC"/>
    <w:rsid w:val="00B234E8"/>
    <w:rsid w:val="00C11A04"/>
    <w:rsid w:val="00F37962"/>
    <w:rsid w:val="00FF5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41F15"/>
  <w15:chartTrackingRefBased/>
  <w15:docId w15:val="{1B56CDA4-CDC2-4068-9EB1-209B61D60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C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1A0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11A04"/>
    <w:rPr>
      <w:rFonts w:eastAsiaTheme="minorEastAsia"/>
      <w:kern w:val="0"/>
      <w:lang w:val="en-US"/>
      <w14:ligatures w14:val="none"/>
    </w:rPr>
  </w:style>
  <w:style w:type="paragraph" w:styleId="Header">
    <w:name w:val="header"/>
    <w:basedOn w:val="Normal"/>
    <w:link w:val="HeaderChar"/>
    <w:uiPriority w:val="99"/>
    <w:unhideWhenUsed/>
    <w:rsid w:val="004F5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C70"/>
  </w:style>
  <w:style w:type="paragraph" w:styleId="Footer">
    <w:name w:val="footer"/>
    <w:basedOn w:val="Normal"/>
    <w:link w:val="FooterChar"/>
    <w:uiPriority w:val="99"/>
    <w:unhideWhenUsed/>
    <w:rsid w:val="004F5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C70"/>
  </w:style>
  <w:style w:type="character" w:customStyle="1" w:styleId="Heading1Char">
    <w:name w:val="Heading 1 Char"/>
    <w:basedOn w:val="DefaultParagraphFont"/>
    <w:link w:val="Heading1"/>
    <w:uiPriority w:val="9"/>
    <w:rsid w:val="004F5C7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28DCEE8DFB4956BF012152E875AF5A"/>
        <w:category>
          <w:name w:val="General"/>
          <w:gallery w:val="placeholder"/>
        </w:category>
        <w:types>
          <w:type w:val="bbPlcHdr"/>
        </w:types>
        <w:behaviors>
          <w:behavior w:val="content"/>
        </w:behaviors>
        <w:guid w:val="{BDEEF24B-3B00-4E79-8E79-E517A9955FBC}"/>
      </w:docPartPr>
      <w:docPartBody>
        <w:p w:rsidR="00000000" w:rsidRDefault="00BC487C" w:rsidP="00BC487C">
          <w:pPr>
            <w:pStyle w:val="3B28DCEE8DFB4956BF012152E875AF5A"/>
          </w:pPr>
          <w:r>
            <w:rPr>
              <w:rFonts w:asciiTheme="majorHAnsi" w:eastAsiaTheme="majorEastAsia" w:hAnsiTheme="majorHAnsi" w:cstheme="majorBidi"/>
              <w:caps/>
              <w:color w:val="4472C4" w:themeColor="accent1"/>
              <w:sz w:val="80"/>
              <w:szCs w:val="80"/>
            </w:rPr>
            <w:t>[Document title]</w:t>
          </w:r>
        </w:p>
      </w:docPartBody>
    </w:docPart>
    <w:docPart>
      <w:docPartPr>
        <w:name w:val="87789DCEECAE492392251EECCBE03BC9"/>
        <w:category>
          <w:name w:val="General"/>
          <w:gallery w:val="placeholder"/>
        </w:category>
        <w:types>
          <w:type w:val="bbPlcHdr"/>
        </w:types>
        <w:behaviors>
          <w:behavior w:val="content"/>
        </w:behaviors>
        <w:guid w:val="{F4903A76-247B-4DB1-8A55-159515028FA0}"/>
      </w:docPartPr>
      <w:docPartBody>
        <w:p w:rsidR="00000000" w:rsidRDefault="00BC487C" w:rsidP="00BC487C">
          <w:pPr>
            <w:pStyle w:val="87789DCEECAE492392251EECCBE03BC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87C"/>
    <w:rsid w:val="00BB79E6"/>
    <w:rsid w:val="00BC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28DCEE8DFB4956BF012152E875AF5A">
    <w:name w:val="3B28DCEE8DFB4956BF012152E875AF5A"/>
    <w:rsid w:val="00BC487C"/>
  </w:style>
  <w:style w:type="paragraph" w:customStyle="1" w:styleId="87789DCEECAE492392251EECCBE03BC9">
    <w:name w:val="87789DCEECAE492392251EECCBE03BC9"/>
    <w:rsid w:val="00BC48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BERLINDA SEMAHA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STUDENT NUMBER:2131051</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HELTH (LCHS4004-LON</dc:title>
  <dc:subject>How infectious diseases are measured monitored and controlled</dc:subject>
  <dc:creator>Berlinda Semaha (2131051)</dc:creator>
  <cp:keywords/>
  <dc:description/>
  <cp:lastModifiedBy>Berlinda Semaha (2131051)</cp:lastModifiedBy>
  <cp:revision>1</cp:revision>
  <dcterms:created xsi:type="dcterms:W3CDTF">2023-04-23T18:02:00Z</dcterms:created>
  <dcterms:modified xsi:type="dcterms:W3CDTF">2023-04-23T20:27:00Z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51ca8862-863b-4d66-aa18-a7995e22fb4f</vt:lpwstr>
  </property>
</Properties>
</file>