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C741BA" w14:textId="6BB416B9" w:rsidR="008928BB" w:rsidRPr="005C0761" w:rsidRDefault="008928BB" w:rsidP="008928BB">
      <w:pPr>
        <w:jc w:val="center"/>
        <w:rPr>
          <w:rFonts w:ascii="Arial" w:hAnsi="Arial"/>
        </w:rPr>
      </w:pPr>
      <w:r w:rsidRPr="005C0761">
        <w:rPr>
          <w:rFonts w:ascii="Arial" w:hAnsi="Arial"/>
          <w:noProof/>
        </w:rPr>
        <w:drawing>
          <wp:inline distT="0" distB="0" distL="0" distR="0" wp14:anchorId="592762D0" wp14:editId="5706A71E">
            <wp:extent cx="3381375" cy="1352550"/>
            <wp:effectExtent l="0" t="0" r="0" b="0"/>
            <wp:docPr id="21679782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381375" cy="1352550"/>
                    </a:xfrm>
                    <a:prstGeom prst="rect">
                      <a:avLst/>
                    </a:prstGeom>
                    <a:ln/>
                  </pic:spPr>
                </pic:pic>
              </a:graphicData>
            </a:graphic>
          </wp:inline>
        </w:drawing>
      </w:r>
    </w:p>
    <w:p w14:paraId="11316C37" w14:textId="77777777" w:rsidR="008928BB" w:rsidRPr="005C0761" w:rsidRDefault="008928BB" w:rsidP="008928BB">
      <w:pPr>
        <w:jc w:val="center"/>
        <w:rPr>
          <w:rFonts w:ascii="Arial" w:hAnsi="Arial"/>
        </w:rPr>
      </w:pPr>
    </w:p>
    <w:p w14:paraId="3011462F" w14:textId="7E993744" w:rsidR="008928BB" w:rsidRPr="005C0761" w:rsidRDefault="008928BB" w:rsidP="008928BB">
      <w:pPr>
        <w:jc w:val="center"/>
        <w:rPr>
          <w:rFonts w:ascii="Arial" w:hAnsi="Arial"/>
          <w:b/>
        </w:rPr>
      </w:pPr>
      <w:r w:rsidRPr="005C0761">
        <w:rPr>
          <w:rFonts w:ascii="Arial" w:hAnsi="Arial"/>
          <w:b/>
        </w:rPr>
        <w:t>Student Name:</w:t>
      </w:r>
      <w:r w:rsidRPr="005C0761">
        <w:rPr>
          <w:rFonts w:ascii="Arial" w:hAnsi="Arial"/>
          <w:b/>
        </w:rPr>
        <w:t xml:space="preserve"> </w:t>
      </w:r>
      <w:r w:rsidRPr="005C0761">
        <w:rPr>
          <w:rFonts w:ascii="Arial" w:hAnsi="Arial"/>
          <w:b/>
        </w:rPr>
        <w:t>Vishal Sapkal</w:t>
      </w:r>
    </w:p>
    <w:p w14:paraId="21BE4880" w14:textId="77777777" w:rsidR="008928BB" w:rsidRPr="005C0761" w:rsidRDefault="008928BB" w:rsidP="008928BB">
      <w:pPr>
        <w:jc w:val="center"/>
        <w:rPr>
          <w:rFonts w:ascii="Arial" w:hAnsi="Arial"/>
          <w:b/>
        </w:rPr>
      </w:pPr>
    </w:p>
    <w:p w14:paraId="1BF01EA9" w14:textId="4DE0E1CC" w:rsidR="008928BB" w:rsidRPr="005C0761" w:rsidRDefault="008928BB" w:rsidP="008928BB">
      <w:pPr>
        <w:jc w:val="center"/>
        <w:rPr>
          <w:rFonts w:ascii="Arial" w:hAnsi="Arial"/>
          <w:b/>
        </w:rPr>
      </w:pPr>
      <w:r w:rsidRPr="005C0761">
        <w:rPr>
          <w:rFonts w:ascii="Arial" w:hAnsi="Arial"/>
          <w:b/>
        </w:rPr>
        <w:t>Student ID:</w:t>
      </w:r>
      <w:r w:rsidRPr="005C0761">
        <w:rPr>
          <w:rFonts w:ascii="Arial" w:hAnsi="Arial"/>
          <w:b/>
        </w:rPr>
        <w:t xml:space="preserve"> </w:t>
      </w:r>
      <w:r w:rsidRPr="005C0761">
        <w:rPr>
          <w:rFonts w:ascii="Arial" w:hAnsi="Arial"/>
          <w:b/>
        </w:rPr>
        <w:t>2521152</w:t>
      </w:r>
    </w:p>
    <w:p w14:paraId="341A1DFD" w14:textId="77777777" w:rsidR="008928BB" w:rsidRPr="005C0761" w:rsidRDefault="008928BB" w:rsidP="008928BB">
      <w:pPr>
        <w:rPr>
          <w:rFonts w:ascii="Arial" w:hAnsi="Arial"/>
        </w:rPr>
      </w:pPr>
    </w:p>
    <w:p w14:paraId="68FD3572" w14:textId="632156AF" w:rsidR="008928BB" w:rsidRPr="005C0761" w:rsidRDefault="008928BB" w:rsidP="008928BB">
      <w:pPr>
        <w:jc w:val="center"/>
        <w:rPr>
          <w:rFonts w:ascii="Arial" w:hAnsi="Arial"/>
          <w:b/>
        </w:rPr>
      </w:pPr>
      <w:r w:rsidRPr="005C0761">
        <w:rPr>
          <w:rFonts w:ascii="Arial" w:hAnsi="Arial"/>
          <w:b/>
        </w:rPr>
        <w:t xml:space="preserve">Module Name: </w:t>
      </w:r>
      <w:r w:rsidRPr="005C0761">
        <w:rPr>
          <w:rFonts w:ascii="Arial" w:hAnsi="Arial"/>
          <w:b/>
        </w:rPr>
        <w:t>F</w:t>
      </w:r>
      <w:r w:rsidRPr="005C0761">
        <w:rPr>
          <w:rFonts w:ascii="Arial" w:hAnsi="Arial"/>
          <w:b/>
        </w:rPr>
        <w:t xml:space="preserve">inancial </w:t>
      </w:r>
      <w:r w:rsidRPr="005C0761">
        <w:rPr>
          <w:rFonts w:ascii="Arial" w:hAnsi="Arial"/>
          <w:b/>
        </w:rPr>
        <w:t>Management</w:t>
      </w:r>
    </w:p>
    <w:p w14:paraId="54F83BA4" w14:textId="77777777" w:rsidR="008928BB" w:rsidRPr="005C0761" w:rsidRDefault="008928BB" w:rsidP="008928BB">
      <w:pPr>
        <w:jc w:val="center"/>
        <w:rPr>
          <w:rFonts w:ascii="Arial" w:hAnsi="Arial"/>
          <w:b/>
        </w:rPr>
      </w:pPr>
    </w:p>
    <w:p w14:paraId="0A7DBADB" w14:textId="4154CDE5" w:rsidR="008928BB" w:rsidRPr="005C0761" w:rsidRDefault="008928BB" w:rsidP="008928BB">
      <w:pPr>
        <w:jc w:val="center"/>
        <w:rPr>
          <w:rFonts w:ascii="Arial" w:hAnsi="Arial"/>
          <w:b/>
        </w:rPr>
      </w:pPr>
      <w:r w:rsidRPr="005C0761">
        <w:rPr>
          <w:rFonts w:ascii="Arial" w:hAnsi="Arial"/>
          <w:b/>
        </w:rPr>
        <w:t>Module Code: LCMB7002</w:t>
      </w:r>
    </w:p>
    <w:p w14:paraId="147616F6" w14:textId="77777777" w:rsidR="008928BB" w:rsidRPr="005C0761" w:rsidRDefault="008928BB" w:rsidP="008928BB">
      <w:pPr>
        <w:jc w:val="center"/>
        <w:rPr>
          <w:rFonts w:ascii="Arial" w:hAnsi="Arial"/>
          <w:b/>
        </w:rPr>
      </w:pPr>
    </w:p>
    <w:p w14:paraId="115BA613" w14:textId="11517BAA" w:rsidR="008928BB" w:rsidRPr="005C0761" w:rsidRDefault="008928BB" w:rsidP="008928BB">
      <w:pPr>
        <w:jc w:val="center"/>
        <w:rPr>
          <w:rFonts w:ascii="Arial" w:hAnsi="Arial"/>
          <w:b/>
        </w:rPr>
      </w:pPr>
      <w:r w:rsidRPr="005C0761">
        <w:rPr>
          <w:rFonts w:ascii="Arial" w:hAnsi="Arial"/>
          <w:b/>
        </w:rPr>
        <w:t>Lecturer’s Name:</w:t>
      </w:r>
      <w:r w:rsidRPr="005C0761">
        <w:rPr>
          <w:rFonts w:ascii="Arial" w:hAnsi="Arial"/>
          <w:b/>
        </w:rPr>
        <w:t xml:space="preserve"> </w:t>
      </w:r>
      <w:r w:rsidRPr="005C0761">
        <w:rPr>
          <w:rFonts w:ascii="Arial" w:hAnsi="Arial"/>
          <w:b/>
        </w:rPr>
        <w:t>Shengfeng Mei</w:t>
      </w:r>
    </w:p>
    <w:p w14:paraId="14389135" w14:textId="77777777" w:rsidR="008928BB" w:rsidRPr="005C0761" w:rsidRDefault="008928BB" w:rsidP="008928BB">
      <w:pPr>
        <w:rPr>
          <w:rFonts w:ascii="Arial" w:hAnsi="Arial"/>
          <w:b/>
        </w:rPr>
      </w:pPr>
    </w:p>
    <w:p w14:paraId="6650CB1F" w14:textId="77777777" w:rsidR="000D48A4" w:rsidRPr="005C0761" w:rsidRDefault="000D48A4" w:rsidP="00C5012C">
      <w:pPr>
        <w:spacing w:before="240" w:after="240"/>
        <w:rPr>
          <w:rFonts w:ascii="Arial" w:eastAsia="Times New Roman" w:hAnsi="Arial"/>
          <w:b/>
          <w:bCs/>
          <w:color w:val="333333"/>
          <w:szCs w:val="24"/>
          <w:highlight w:val="white"/>
          <w:lang w:val="en-GB"/>
        </w:rPr>
      </w:pPr>
    </w:p>
    <w:p w14:paraId="448D6237" w14:textId="0BF8AF3E" w:rsidR="000D48A4" w:rsidRPr="005C0761" w:rsidRDefault="00B4147B" w:rsidP="00B4147B">
      <w:pPr>
        <w:spacing w:before="240" w:after="240"/>
        <w:jc w:val="center"/>
        <w:rPr>
          <w:rFonts w:ascii="Arial" w:eastAsia="Times New Roman" w:hAnsi="Arial"/>
          <w:b/>
          <w:bCs/>
          <w:szCs w:val="24"/>
          <w:highlight w:val="white"/>
          <w:lang w:val="en-GB"/>
        </w:rPr>
      </w:pPr>
      <w:r w:rsidRPr="005C0761">
        <w:rPr>
          <w:rFonts w:ascii="Arial" w:eastAsia="Times New Roman" w:hAnsi="Arial"/>
          <w:b/>
          <w:bCs/>
          <w:szCs w:val="24"/>
          <w:lang w:val="en-GB"/>
        </w:rPr>
        <w:t>ASSESSMENT COMPONENT: FINANCIAL PERFORMANCE AND MANAGEMENT</w:t>
      </w:r>
    </w:p>
    <w:p w14:paraId="7EFDBEC7" w14:textId="77777777" w:rsidR="000D48A4" w:rsidRPr="005C0761" w:rsidRDefault="000D48A4" w:rsidP="00C5012C">
      <w:pPr>
        <w:spacing w:before="240" w:after="240"/>
        <w:rPr>
          <w:rFonts w:ascii="Arial" w:eastAsia="Times New Roman" w:hAnsi="Arial"/>
          <w:b/>
          <w:bCs/>
          <w:color w:val="333333"/>
          <w:szCs w:val="24"/>
          <w:highlight w:val="white"/>
          <w:lang w:val="en-GB"/>
        </w:rPr>
      </w:pPr>
    </w:p>
    <w:p w14:paraId="678CE096" w14:textId="77777777" w:rsidR="000D48A4" w:rsidRPr="005C0761" w:rsidRDefault="000D48A4" w:rsidP="00C5012C">
      <w:pPr>
        <w:spacing w:before="240" w:after="240"/>
        <w:rPr>
          <w:rFonts w:ascii="Arial" w:eastAsia="Times New Roman" w:hAnsi="Arial"/>
          <w:b/>
          <w:bCs/>
          <w:color w:val="333333"/>
          <w:szCs w:val="24"/>
          <w:highlight w:val="white"/>
          <w:lang w:val="en-GB"/>
        </w:rPr>
      </w:pPr>
    </w:p>
    <w:p w14:paraId="2290C3EB" w14:textId="77777777" w:rsidR="000D48A4" w:rsidRPr="005C0761" w:rsidRDefault="000D48A4" w:rsidP="00C5012C">
      <w:pPr>
        <w:spacing w:before="240" w:after="240"/>
        <w:rPr>
          <w:rFonts w:ascii="Arial" w:eastAsia="Times New Roman" w:hAnsi="Arial"/>
          <w:b/>
          <w:bCs/>
          <w:color w:val="333333"/>
          <w:szCs w:val="24"/>
          <w:highlight w:val="white"/>
          <w:lang w:val="en-GB"/>
        </w:rPr>
      </w:pPr>
    </w:p>
    <w:p w14:paraId="26B8D7A7" w14:textId="77777777" w:rsidR="000D48A4" w:rsidRPr="005C0761" w:rsidRDefault="000D48A4" w:rsidP="00C5012C">
      <w:pPr>
        <w:spacing w:before="240" w:after="240"/>
        <w:rPr>
          <w:rFonts w:ascii="Arial" w:eastAsia="Times New Roman" w:hAnsi="Arial"/>
          <w:b/>
          <w:bCs/>
          <w:color w:val="333333"/>
          <w:szCs w:val="24"/>
          <w:highlight w:val="white"/>
          <w:lang w:val="en-GB"/>
        </w:rPr>
      </w:pPr>
    </w:p>
    <w:p w14:paraId="1C35EDDF" w14:textId="77777777" w:rsidR="000D48A4" w:rsidRPr="005C0761" w:rsidRDefault="000D48A4" w:rsidP="00C5012C">
      <w:pPr>
        <w:shd w:val="clear" w:color="auto" w:fill="FFFFFF"/>
        <w:spacing w:before="240" w:after="240"/>
        <w:jc w:val="center"/>
        <w:rPr>
          <w:rFonts w:ascii="Arial" w:eastAsia="Times New Roman" w:hAnsi="Arial"/>
          <w:b/>
          <w:bCs/>
          <w:sz w:val="32"/>
          <w:szCs w:val="32"/>
          <w:highlight w:val="white"/>
          <w:lang w:val="en-GB"/>
        </w:rPr>
      </w:pPr>
    </w:p>
    <w:p w14:paraId="5BF3536F" w14:textId="77777777" w:rsidR="000D48A4" w:rsidRPr="005C0761" w:rsidRDefault="000D48A4" w:rsidP="00C5012C">
      <w:pPr>
        <w:shd w:val="clear" w:color="auto" w:fill="FFFFFF"/>
        <w:spacing w:before="240" w:after="240"/>
        <w:jc w:val="center"/>
        <w:rPr>
          <w:rFonts w:ascii="Arial" w:eastAsia="Times New Roman" w:hAnsi="Arial"/>
          <w:b/>
          <w:bCs/>
          <w:sz w:val="32"/>
          <w:szCs w:val="32"/>
          <w:highlight w:val="white"/>
          <w:lang w:val="en-GB"/>
        </w:rPr>
      </w:pPr>
    </w:p>
    <w:p w14:paraId="20D4B7D8" w14:textId="77777777" w:rsidR="000D48A4" w:rsidRPr="005C0761" w:rsidRDefault="000D48A4" w:rsidP="00C5012C">
      <w:pPr>
        <w:shd w:val="clear" w:color="auto" w:fill="FFFFFF"/>
        <w:spacing w:before="240" w:after="240"/>
        <w:jc w:val="center"/>
        <w:rPr>
          <w:rFonts w:ascii="Arial" w:eastAsia="Times New Roman" w:hAnsi="Arial"/>
          <w:b/>
          <w:bCs/>
          <w:sz w:val="32"/>
          <w:szCs w:val="32"/>
          <w:highlight w:val="white"/>
          <w:lang w:val="en-GB"/>
        </w:rPr>
      </w:pPr>
    </w:p>
    <w:sdt>
      <w:sdtPr>
        <w:rPr>
          <w:rFonts w:ascii="Arial" w:eastAsia="Arial" w:hAnsi="Arial" w:cs="Arial"/>
          <w:color w:val="auto"/>
          <w:sz w:val="22"/>
          <w:szCs w:val="22"/>
          <w:lang w:val="en-GB"/>
        </w:rPr>
        <w:id w:val="-650447908"/>
        <w:docPartObj>
          <w:docPartGallery w:val="Table of Contents"/>
          <w:docPartUnique/>
        </w:docPartObj>
      </w:sdtPr>
      <w:sdtEndPr>
        <w:rPr>
          <w:b/>
          <w:bCs/>
          <w:noProof/>
          <w:sz w:val="24"/>
        </w:rPr>
      </w:sdtEndPr>
      <w:sdtContent>
        <w:p w14:paraId="241D9976" w14:textId="77777777" w:rsidR="00481F3D" w:rsidRPr="005C0761" w:rsidRDefault="00481F3D" w:rsidP="00C5012C">
          <w:pPr>
            <w:pStyle w:val="TOCHeading"/>
            <w:spacing w:after="240" w:line="360" w:lineRule="auto"/>
            <w:jc w:val="center"/>
            <w:rPr>
              <w:rFonts w:ascii="Arial" w:hAnsi="Arial" w:cs="Arial"/>
              <w:b/>
              <w:color w:val="000000" w:themeColor="text1"/>
              <w:sz w:val="24"/>
              <w:szCs w:val="24"/>
              <w:lang w:val="en-GB"/>
            </w:rPr>
          </w:pPr>
          <w:r w:rsidRPr="005C0761">
            <w:rPr>
              <w:rFonts w:ascii="Arial" w:hAnsi="Arial" w:cs="Arial"/>
              <w:b/>
              <w:color w:val="000000" w:themeColor="text1"/>
              <w:sz w:val="24"/>
              <w:szCs w:val="24"/>
              <w:lang w:val="en-GB"/>
            </w:rPr>
            <w:t>Table of Contents</w:t>
          </w:r>
        </w:p>
        <w:p w14:paraId="307511FA" w14:textId="06BB1AB2" w:rsidR="000948CF" w:rsidRPr="005C0761" w:rsidRDefault="00481F3D" w:rsidP="00C5012C">
          <w:pPr>
            <w:pStyle w:val="TOC1"/>
            <w:tabs>
              <w:tab w:val="right" w:leader="dot" w:pos="9350"/>
            </w:tabs>
            <w:spacing w:before="240" w:after="240"/>
            <w:rPr>
              <w:rFonts w:ascii="Arial" w:eastAsiaTheme="minorEastAsia" w:hAnsi="Arial"/>
              <w:noProof/>
              <w:kern w:val="2"/>
              <w:szCs w:val="24"/>
              <w:lang w:val="en-GB" w:eastAsia="en-IN"/>
              <w14:ligatures w14:val="standardContextual"/>
            </w:rPr>
          </w:pPr>
          <w:r w:rsidRPr="005C0761">
            <w:rPr>
              <w:rFonts w:ascii="Arial" w:hAnsi="Arial"/>
              <w:lang w:val="en-GB"/>
            </w:rPr>
            <w:fldChar w:fldCharType="begin"/>
          </w:r>
          <w:r w:rsidRPr="005C0761">
            <w:rPr>
              <w:rFonts w:ascii="Arial" w:hAnsi="Arial"/>
              <w:lang w:val="en-GB"/>
            </w:rPr>
            <w:instrText xml:space="preserve"> TOC \o "1-3" \h \z \u </w:instrText>
          </w:r>
          <w:r w:rsidRPr="005C0761">
            <w:rPr>
              <w:rFonts w:ascii="Arial" w:hAnsi="Arial"/>
              <w:lang w:val="en-GB"/>
            </w:rPr>
            <w:fldChar w:fldCharType="separate"/>
          </w:r>
          <w:hyperlink w:anchor="_Toc227950746" w:history="1">
            <w:r w:rsidR="000948CF" w:rsidRPr="005C0761">
              <w:rPr>
                <w:rStyle w:val="Hyperlink"/>
                <w:rFonts w:ascii="Arial" w:hAnsi="Arial"/>
                <w:noProof/>
                <w:lang w:val="en-GB"/>
              </w:rPr>
              <w:t>Introduction</w:t>
            </w:r>
            <w:r w:rsidR="000948CF" w:rsidRPr="005C0761">
              <w:rPr>
                <w:rFonts w:ascii="Arial" w:hAnsi="Arial"/>
                <w:noProof/>
                <w:webHidden/>
                <w:lang w:val="en-GB"/>
              </w:rPr>
              <w:tab/>
            </w:r>
            <w:r w:rsidR="000948CF" w:rsidRPr="005C0761">
              <w:rPr>
                <w:rFonts w:ascii="Arial" w:hAnsi="Arial"/>
                <w:noProof/>
                <w:webHidden/>
                <w:lang w:val="en-GB"/>
              </w:rPr>
              <w:fldChar w:fldCharType="begin"/>
            </w:r>
            <w:r w:rsidR="000948CF" w:rsidRPr="005C0761">
              <w:rPr>
                <w:rFonts w:ascii="Arial" w:hAnsi="Arial"/>
                <w:noProof/>
                <w:webHidden/>
                <w:lang w:val="en-GB"/>
              </w:rPr>
              <w:instrText xml:space="preserve"> PAGEREF _Toc227950746 \h </w:instrText>
            </w:r>
            <w:r w:rsidR="000948CF" w:rsidRPr="005C0761">
              <w:rPr>
                <w:rFonts w:ascii="Arial" w:hAnsi="Arial"/>
                <w:noProof/>
                <w:webHidden/>
                <w:lang w:val="en-GB"/>
              </w:rPr>
            </w:r>
            <w:r w:rsidR="000948CF" w:rsidRPr="005C0761">
              <w:rPr>
                <w:rFonts w:ascii="Arial" w:hAnsi="Arial"/>
                <w:noProof/>
                <w:webHidden/>
                <w:lang w:val="en-GB"/>
              </w:rPr>
              <w:fldChar w:fldCharType="separate"/>
            </w:r>
            <w:r w:rsidR="000948CF" w:rsidRPr="005C0761">
              <w:rPr>
                <w:rFonts w:ascii="Arial" w:hAnsi="Arial"/>
                <w:noProof/>
                <w:webHidden/>
                <w:lang w:val="en-GB"/>
              </w:rPr>
              <w:t>3</w:t>
            </w:r>
            <w:r w:rsidR="000948CF" w:rsidRPr="005C0761">
              <w:rPr>
                <w:rFonts w:ascii="Arial" w:hAnsi="Arial"/>
                <w:noProof/>
                <w:webHidden/>
                <w:lang w:val="en-GB"/>
              </w:rPr>
              <w:fldChar w:fldCharType="end"/>
            </w:r>
          </w:hyperlink>
        </w:p>
        <w:p w14:paraId="163F7233" w14:textId="2268EFDB" w:rsidR="000948CF" w:rsidRPr="005C0761" w:rsidRDefault="000948CF" w:rsidP="00C5012C">
          <w:pPr>
            <w:pStyle w:val="TOC1"/>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47" w:history="1">
            <w:r w:rsidRPr="005C0761">
              <w:rPr>
                <w:rStyle w:val="Hyperlink"/>
                <w:rFonts w:ascii="Arial" w:hAnsi="Arial"/>
                <w:noProof/>
                <w:lang w:val="en-GB"/>
              </w:rPr>
              <w:t>1. Analysis of the Financial Health</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_Toc227950747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4</w:t>
            </w:r>
            <w:r w:rsidRPr="005C0761">
              <w:rPr>
                <w:rFonts w:ascii="Arial" w:hAnsi="Arial"/>
                <w:noProof/>
                <w:webHidden/>
                <w:lang w:val="en-GB"/>
              </w:rPr>
              <w:fldChar w:fldCharType="end"/>
            </w:r>
          </w:hyperlink>
        </w:p>
        <w:p w14:paraId="1B0CC1DB" w14:textId="0EC6ADEC" w:rsidR="000948CF" w:rsidRPr="005C0761" w:rsidRDefault="000948CF" w:rsidP="00C5012C">
          <w:pPr>
            <w:pStyle w:val="TOC2"/>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48" w:history="1">
            <w:r w:rsidRPr="005C0761">
              <w:rPr>
                <w:rStyle w:val="Hyperlink"/>
                <w:rFonts w:ascii="Arial" w:hAnsi="Arial"/>
                <w:noProof/>
                <w:lang w:val="en-GB"/>
              </w:rPr>
              <w:t>Analysis of the five-year financial statements of Hyundai</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_Toc227950748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4</w:t>
            </w:r>
            <w:r w:rsidRPr="005C0761">
              <w:rPr>
                <w:rFonts w:ascii="Arial" w:hAnsi="Arial"/>
                <w:noProof/>
                <w:webHidden/>
                <w:lang w:val="en-GB"/>
              </w:rPr>
              <w:fldChar w:fldCharType="end"/>
            </w:r>
          </w:hyperlink>
        </w:p>
        <w:p w14:paraId="5375B24B" w14:textId="78776EE8" w:rsidR="000948CF" w:rsidRPr="005C0761" w:rsidRDefault="000948CF" w:rsidP="00C5012C">
          <w:pPr>
            <w:pStyle w:val="TOC2"/>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49" w:history="1">
            <w:r w:rsidRPr="005C0761">
              <w:rPr>
                <w:rStyle w:val="Hyperlink"/>
                <w:rFonts w:ascii="Arial" w:hAnsi="Arial"/>
                <w:noProof/>
                <w:lang w:val="en-GB"/>
              </w:rPr>
              <w:t>Evaluate full ratio analysis (profitability, liquidity, efficiency, gearing, investment, cash flow)</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_Toc227950749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7</w:t>
            </w:r>
            <w:r w:rsidRPr="005C0761">
              <w:rPr>
                <w:rFonts w:ascii="Arial" w:hAnsi="Arial"/>
                <w:noProof/>
                <w:webHidden/>
                <w:lang w:val="en-GB"/>
              </w:rPr>
              <w:fldChar w:fldCharType="end"/>
            </w:r>
          </w:hyperlink>
        </w:p>
        <w:p w14:paraId="6545C8E0" w14:textId="668CF8CB" w:rsidR="000948CF" w:rsidRPr="005C0761" w:rsidRDefault="000948CF" w:rsidP="00C5012C">
          <w:pPr>
            <w:pStyle w:val="TOC2"/>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50" w:history="1">
            <w:r w:rsidRPr="005C0761">
              <w:rPr>
                <w:rStyle w:val="Hyperlink"/>
                <w:rFonts w:ascii="Arial" w:hAnsi="Arial"/>
                <w:noProof/>
                <w:lang w:val="en-GB"/>
              </w:rPr>
              <w:t>Analysing the key trends, strengths, and threats</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_Toc227950750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12</w:t>
            </w:r>
            <w:r w:rsidRPr="005C0761">
              <w:rPr>
                <w:rFonts w:ascii="Arial" w:hAnsi="Arial"/>
                <w:noProof/>
                <w:webHidden/>
                <w:lang w:val="en-GB"/>
              </w:rPr>
              <w:fldChar w:fldCharType="end"/>
            </w:r>
          </w:hyperlink>
        </w:p>
        <w:p w14:paraId="41382D37" w14:textId="06DA29EB" w:rsidR="000948CF" w:rsidRPr="005C0761" w:rsidRDefault="000948CF" w:rsidP="00C5012C">
          <w:pPr>
            <w:pStyle w:val="TOC1"/>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51" w:history="1">
            <w:r w:rsidRPr="005C0761">
              <w:rPr>
                <w:rStyle w:val="Hyperlink"/>
                <w:rFonts w:ascii="Arial" w:hAnsi="Arial"/>
                <w:noProof/>
                <w:lang w:val="en-GB"/>
              </w:rPr>
              <w:t>2. Working Capital Management Analysis</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_Toc227950751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12</w:t>
            </w:r>
            <w:r w:rsidRPr="005C0761">
              <w:rPr>
                <w:rFonts w:ascii="Arial" w:hAnsi="Arial"/>
                <w:noProof/>
                <w:webHidden/>
                <w:lang w:val="en-GB"/>
              </w:rPr>
              <w:fldChar w:fldCharType="end"/>
            </w:r>
          </w:hyperlink>
        </w:p>
        <w:p w14:paraId="232B69C7" w14:textId="1ED2812C" w:rsidR="000948CF" w:rsidRPr="005C0761" w:rsidRDefault="000948CF" w:rsidP="00C5012C">
          <w:pPr>
            <w:pStyle w:val="TOC2"/>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52" w:history="1">
            <w:r w:rsidRPr="005C0761">
              <w:rPr>
                <w:rStyle w:val="Hyperlink"/>
                <w:rFonts w:ascii="Arial" w:hAnsi="Arial"/>
                <w:noProof/>
                <w:lang w:val="en-GB"/>
              </w:rPr>
              <w:t>Analysing the cash operating cycle</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_Toc227950752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12</w:t>
            </w:r>
            <w:r w:rsidRPr="005C0761">
              <w:rPr>
                <w:rFonts w:ascii="Arial" w:hAnsi="Arial"/>
                <w:noProof/>
                <w:webHidden/>
                <w:lang w:val="en-GB"/>
              </w:rPr>
              <w:fldChar w:fldCharType="end"/>
            </w:r>
          </w:hyperlink>
        </w:p>
        <w:p w14:paraId="5385C61E" w14:textId="2D815D9B" w:rsidR="000948CF" w:rsidRPr="005C0761" w:rsidRDefault="000948CF" w:rsidP="00C5012C">
          <w:pPr>
            <w:pStyle w:val="TOC2"/>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53" w:history="1">
            <w:r w:rsidRPr="005C0761">
              <w:rPr>
                <w:rStyle w:val="Hyperlink"/>
                <w:rFonts w:ascii="Arial" w:hAnsi="Arial"/>
                <w:noProof/>
                <w:lang w:val="en-GB"/>
              </w:rPr>
              <w:t>Recommendation of strategies to improve liquidity through working capital reforms</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_Toc227950753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13</w:t>
            </w:r>
            <w:r w:rsidRPr="005C0761">
              <w:rPr>
                <w:rFonts w:ascii="Arial" w:hAnsi="Arial"/>
                <w:noProof/>
                <w:webHidden/>
                <w:lang w:val="en-GB"/>
              </w:rPr>
              <w:fldChar w:fldCharType="end"/>
            </w:r>
          </w:hyperlink>
        </w:p>
        <w:p w14:paraId="4E0E4A09" w14:textId="6D7E3939" w:rsidR="000948CF" w:rsidRPr="005C0761" w:rsidRDefault="000948CF" w:rsidP="00C5012C">
          <w:pPr>
            <w:pStyle w:val="TOC2"/>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54" w:history="1">
            <w:r w:rsidRPr="005C0761">
              <w:rPr>
                <w:rStyle w:val="Hyperlink"/>
                <w:rFonts w:ascii="Arial" w:hAnsi="Arial"/>
                <w:noProof/>
                <w:lang w:val="en-GB"/>
              </w:rPr>
              <w:t>Comparison of short-term and long-term financing options</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_Toc227950754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14</w:t>
            </w:r>
            <w:r w:rsidRPr="005C0761">
              <w:rPr>
                <w:rFonts w:ascii="Arial" w:hAnsi="Arial"/>
                <w:noProof/>
                <w:webHidden/>
                <w:lang w:val="en-GB"/>
              </w:rPr>
              <w:fldChar w:fldCharType="end"/>
            </w:r>
          </w:hyperlink>
        </w:p>
        <w:p w14:paraId="153B0CA5" w14:textId="4ED4D742" w:rsidR="000948CF" w:rsidRPr="005C0761" w:rsidRDefault="000948CF" w:rsidP="00C5012C">
          <w:pPr>
            <w:pStyle w:val="TOC1"/>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55" w:history="1">
            <w:r w:rsidRPr="005C0761">
              <w:rPr>
                <w:rStyle w:val="Hyperlink"/>
                <w:rFonts w:ascii="Arial" w:hAnsi="Arial"/>
                <w:noProof/>
                <w:lang w:val="en-GB"/>
              </w:rPr>
              <w:t>3. Strategic Financial Restructuring Plan</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_Toc227950755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15</w:t>
            </w:r>
            <w:r w:rsidRPr="005C0761">
              <w:rPr>
                <w:rFonts w:ascii="Arial" w:hAnsi="Arial"/>
                <w:noProof/>
                <w:webHidden/>
                <w:lang w:val="en-GB"/>
              </w:rPr>
              <w:fldChar w:fldCharType="end"/>
            </w:r>
          </w:hyperlink>
        </w:p>
        <w:p w14:paraId="1560D376" w14:textId="46A49572" w:rsidR="000948CF" w:rsidRPr="005C0761" w:rsidRDefault="000948CF" w:rsidP="00C5012C">
          <w:pPr>
            <w:pStyle w:val="TOC2"/>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56" w:history="1">
            <w:r w:rsidRPr="005C0761">
              <w:rPr>
                <w:rStyle w:val="Hyperlink"/>
                <w:rFonts w:ascii="Arial" w:hAnsi="Arial"/>
                <w:noProof/>
                <w:lang w:val="en-GB"/>
              </w:rPr>
              <w:t>Recommendation of financial restructuring plan</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_Toc227950756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16</w:t>
            </w:r>
            <w:r w:rsidRPr="005C0761">
              <w:rPr>
                <w:rFonts w:ascii="Arial" w:hAnsi="Arial"/>
                <w:noProof/>
                <w:webHidden/>
                <w:lang w:val="en-GB"/>
              </w:rPr>
              <w:fldChar w:fldCharType="end"/>
            </w:r>
          </w:hyperlink>
        </w:p>
        <w:p w14:paraId="3E9D0E37" w14:textId="0C622B80" w:rsidR="000948CF" w:rsidRPr="005C0761" w:rsidRDefault="000948CF" w:rsidP="00C5012C">
          <w:pPr>
            <w:pStyle w:val="TOC2"/>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57" w:history="1">
            <w:r w:rsidRPr="005C0761">
              <w:rPr>
                <w:rStyle w:val="Hyperlink"/>
                <w:rFonts w:ascii="Arial" w:hAnsi="Arial"/>
                <w:noProof/>
                <w:lang w:val="en-GB"/>
              </w:rPr>
              <w:t>Evaluation of the impact on shareholder value, debt structure, and operational flexibility</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_Toc227950757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17</w:t>
            </w:r>
            <w:r w:rsidRPr="005C0761">
              <w:rPr>
                <w:rFonts w:ascii="Arial" w:hAnsi="Arial"/>
                <w:noProof/>
                <w:webHidden/>
                <w:lang w:val="en-GB"/>
              </w:rPr>
              <w:fldChar w:fldCharType="end"/>
            </w:r>
          </w:hyperlink>
        </w:p>
        <w:p w14:paraId="2A371E3C" w14:textId="7C2D43E4" w:rsidR="000948CF" w:rsidRPr="005C0761" w:rsidRDefault="000948CF" w:rsidP="00C5012C">
          <w:pPr>
            <w:pStyle w:val="TOC2"/>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58" w:history="1">
            <w:r w:rsidRPr="005C0761">
              <w:rPr>
                <w:rStyle w:val="Hyperlink"/>
                <w:rFonts w:ascii="Arial" w:hAnsi="Arial"/>
                <w:noProof/>
                <w:lang w:val="en-GB"/>
              </w:rPr>
              <w:t>International and Ethical Considerations</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_Toc227950758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17</w:t>
            </w:r>
            <w:r w:rsidRPr="005C0761">
              <w:rPr>
                <w:rFonts w:ascii="Arial" w:hAnsi="Arial"/>
                <w:noProof/>
                <w:webHidden/>
                <w:lang w:val="en-GB"/>
              </w:rPr>
              <w:fldChar w:fldCharType="end"/>
            </w:r>
          </w:hyperlink>
        </w:p>
        <w:p w14:paraId="1F8FBDDD" w14:textId="6034B9DD" w:rsidR="000948CF" w:rsidRPr="005C0761" w:rsidRDefault="000948CF" w:rsidP="00C5012C">
          <w:pPr>
            <w:pStyle w:val="TOC1"/>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59" w:history="1">
            <w:r w:rsidRPr="005C0761">
              <w:rPr>
                <w:rStyle w:val="Hyperlink"/>
                <w:rFonts w:ascii="Arial" w:hAnsi="Arial"/>
                <w:noProof/>
                <w:lang w:val="en-GB"/>
              </w:rPr>
              <w:t>4.  Evaluate the Investment Appraisal and Capital Budgeting system of the company</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_Toc227950759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18</w:t>
            </w:r>
            <w:r w:rsidRPr="005C0761">
              <w:rPr>
                <w:rFonts w:ascii="Arial" w:hAnsi="Arial"/>
                <w:noProof/>
                <w:webHidden/>
                <w:lang w:val="en-GB"/>
              </w:rPr>
              <w:fldChar w:fldCharType="end"/>
            </w:r>
          </w:hyperlink>
        </w:p>
        <w:p w14:paraId="6873877F" w14:textId="4E54CAD8" w:rsidR="000948CF" w:rsidRPr="005C0761" w:rsidRDefault="000948CF" w:rsidP="00C5012C">
          <w:pPr>
            <w:pStyle w:val="TOC2"/>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60" w:history="1">
            <w:r w:rsidRPr="005C0761">
              <w:rPr>
                <w:rStyle w:val="Hyperlink"/>
                <w:rFonts w:ascii="Arial" w:hAnsi="Arial"/>
                <w:noProof/>
                <w:lang w:val="en-GB"/>
              </w:rPr>
              <w:t>Capital Budgeting  management</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_Toc227950760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18</w:t>
            </w:r>
            <w:r w:rsidRPr="005C0761">
              <w:rPr>
                <w:rFonts w:ascii="Arial" w:hAnsi="Arial"/>
                <w:noProof/>
                <w:webHidden/>
                <w:lang w:val="en-GB"/>
              </w:rPr>
              <w:fldChar w:fldCharType="end"/>
            </w:r>
          </w:hyperlink>
        </w:p>
        <w:p w14:paraId="33220687" w14:textId="7FEF615A" w:rsidR="000948CF" w:rsidRPr="005C0761" w:rsidRDefault="000948CF" w:rsidP="00C5012C">
          <w:pPr>
            <w:pStyle w:val="TOC2"/>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61" w:history="1">
            <w:r w:rsidRPr="005C0761">
              <w:rPr>
                <w:rStyle w:val="Hyperlink"/>
                <w:rFonts w:ascii="Arial" w:hAnsi="Arial"/>
                <w:noProof/>
                <w:lang w:val="en-GB"/>
              </w:rPr>
              <w:t>Analysis of the PBP, ARR, NPV, PI, and IRR</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_Toc227950761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19</w:t>
            </w:r>
            <w:r w:rsidRPr="005C0761">
              <w:rPr>
                <w:rFonts w:ascii="Arial" w:hAnsi="Arial"/>
                <w:noProof/>
                <w:webHidden/>
                <w:lang w:val="en-GB"/>
              </w:rPr>
              <w:fldChar w:fldCharType="end"/>
            </w:r>
          </w:hyperlink>
        </w:p>
        <w:p w14:paraId="3B613865" w14:textId="6D900C44" w:rsidR="000948CF" w:rsidRPr="005C0761" w:rsidRDefault="000948CF" w:rsidP="00C5012C">
          <w:pPr>
            <w:pStyle w:val="TOC2"/>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62" w:history="1">
            <w:r w:rsidRPr="005C0761">
              <w:rPr>
                <w:rStyle w:val="Hyperlink"/>
                <w:rFonts w:ascii="Arial" w:hAnsi="Arial"/>
                <w:noProof/>
                <w:lang w:val="en-GB"/>
              </w:rPr>
              <w:t>Analysis and assuming a discount rate of 10% and straight-line depreciation to zero.</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_Toc227950762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24</w:t>
            </w:r>
            <w:r w:rsidRPr="005C0761">
              <w:rPr>
                <w:rFonts w:ascii="Arial" w:hAnsi="Arial"/>
                <w:noProof/>
                <w:webHidden/>
                <w:lang w:val="en-GB"/>
              </w:rPr>
              <w:fldChar w:fldCharType="end"/>
            </w:r>
          </w:hyperlink>
        </w:p>
        <w:p w14:paraId="1BBD3BE2" w14:textId="3561213C" w:rsidR="000948CF" w:rsidRPr="005C0761" w:rsidRDefault="000948CF" w:rsidP="00C5012C">
          <w:pPr>
            <w:pStyle w:val="TOC2"/>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63" w:history="1">
            <w:r w:rsidRPr="005C0761">
              <w:rPr>
                <w:rStyle w:val="Hyperlink"/>
                <w:rFonts w:ascii="Arial" w:hAnsi="Arial"/>
                <w:noProof/>
                <w:lang w:val="en-GB"/>
              </w:rPr>
              <w:t>Recommendations</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_Toc227950763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24</w:t>
            </w:r>
            <w:r w:rsidRPr="005C0761">
              <w:rPr>
                <w:rFonts w:ascii="Arial" w:hAnsi="Arial"/>
                <w:noProof/>
                <w:webHidden/>
                <w:lang w:val="en-GB"/>
              </w:rPr>
              <w:fldChar w:fldCharType="end"/>
            </w:r>
          </w:hyperlink>
        </w:p>
        <w:p w14:paraId="45AF01A0" w14:textId="6D286830" w:rsidR="000948CF" w:rsidRPr="005C0761" w:rsidRDefault="000948CF" w:rsidP="00C5012C">
          <w:pPr>
            <w:pStyle w:val="TOC2"/>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64" w:history="1">
            <w:r w:rsidRPr="005C0761">
              <w:rPr>
                <w:rStyle w:val="Hyperlink"/>
                <w:rFonts w:ascii="Arial" w:hAnsi="Arial"/>
                <w:noProof/>
                <w:lang w:val="en-GB"/>
              </w:rPr>
              <w:t>Assessment of the project combination  and providing justification through the capital</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_Toc227950764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26</w:t>
            </w:r>
            <w:r w:rsidRPr="005C0761">
              <w:rPr>
                <w:rFonts w:ascii="Arial" w:hAnsi="Arial"/>
                <w:noProof/>
                <w:webHidden/>
                <w:lang w:val="en-GB"/>
              </w:rPr>
              <w:fldChar w:fldCharType="end"/>
            </w:r>
          </w:hyperlink>
        </w:p>
        <w:p w14:paraId="65DE3DA0" w14:textId="0EC4E279" w:rsidR="000948CF" w:rsidRPr="005C0761" w:rsidRDefault="000948CF" w:rsidP="00C5012C">
          <w:pPr>
            <w:pStyle w:val="TOC1"/>
            <w:tabs>
              <w:tab w:val="right" w:leader="dot" w:pos="9350"/>
            </w:tabs>
            <w:spacing w:before="240" w:after="240"/>
            <w:rPr>
              <w:rFonts w:ascii="Arial" w:eastAsiaTheme="minorEastAsia" w:hAnsi="Arial"/>
              <w:noProof/>
              <w:kern w:val="2"/>
              <w:szCs w:val="24"/>
              <w:lang w:val="en-GB" w:eastAsia="en-IN"/>
              <w14:ligatures w14:val="standardContextual"/>
            </w:rPr>
          </w:pPr>
          <w:hyperlink w:anchor="_Toc227950765" w:history="1">
            <w:r w:rsidRPr="005C0761">
              <w:rPr>
                <w:rStyle w:val="Hyperlink"/>
                <w:rFonts w:ascii="Arial" w:hAnsi="Arial"/>
                <w:noProof/>
                <w:lang w:val="en-GB"/>
              </w:rPr>
              <w:t>References</w:t>
            </w:r>
            <w:r w:rsidRPr="005C0761">
              <w:rPr>
                <w:rFonts w:ascii="Arial" w:hAnsi="Arial"/>
                <w:noProof/>
                <w:webHidden/>
                <w:lang w:val="en-GB"/>
              </w:rPr>
              <w:tab/>
            </w:r>
            <w:r w:rsidRPr="005C0761">
              <w:rPr>
                <w:rFonts w:ascii="Arial" w:hAnsi="Arial"/>
                <w:noProof/>
                <w:webHidden/>
                <w:lang w:val="en-GB"/>
              </w:rPr>
              <w:fldChar w:fldCharType="begin"/>
            </w:r>
            <w:r w:rsidRPr="005C0761">
              <w:rPr>
                <w:rFonts w:ascii="Arial" w:hAnsi="Arial"/>
                <w:noProof/>
                <w:webHidden/>
                <w:lang w:val="en-GB"/>
              </w:rPr>
              <w:instrText xml:space="preserve"> PAGEREF _Toc227950765 \h </w:instrText>
            </w:r>
            <w:r w:rsidRPr="005C0761">
              <w:rPr>
                <w:rFonts w:ascii="Arial" w:hAnsi="Arial"/>
                <w:noProof/>
                <w:webHidden/>
                <w:lang w:val="en-GB"/>
              </w:rPr>
            </w:r>
            <w:r w:rsidRPr="005C0761">
              <w:rPr>
                <w:rFonts w:ascii="Arial" w:hAnsi="Arial"/>
                <w:noProof/>
                <w:webHidden/>
                <w:lang w:val="en-GB"/>
              </w:rPr>
              <w:fldChar w:fldCharType="separate"/>
            </w:r>
            <w:r w:rsidRPr="005C0761">
              <w:rPr>
                <w:rFonts w:ascii="Arial" w:hAnsi="Arial"/>
                <w:noProof/>
                <w:webHidden/>
                <w:lang w:val="en-GB"/>
              </w:rPr>
              <w:t>27</w:t>
            </w:r>
            <w:r w:rsidRPr="005C0761">
              <w:rPr>
                <w:rFonts w:ascii="Arial" w:hAnsi="Arial"/>
                <w:noProof/>
                <w:webHidden/>
                <w:lang w:val="en-GB"/>
              </w:rPr>
              <w:fldChar w:fldCharType="end"/>
            </w:r>
          </w:hyperlink>
        </w:p>
        <w:p w14:paraId="40A3C75E" w14:textId="19EF0F8D" w:rsidR="00481F3D" w:rsidRPr="005C0761" w:rsidRDefault="00481F3D" w:rsidP="00C5012C">
          <w:pPr>
            <w:spacing w:before="240" w:after="240"/>
            <w:rPr>
              <w:rFonts w:ascii="Arial" w:hAnsi="Arial"/>
              <w:lang w:val="en-GB"/>
            </w:rPr>
          </w:pPr>
          <w:r w:rsidRPr="005C0761">
            <w:rPr>
              <w:rFonts w:ascii="Arial" w:hAnsi="Arial"/>
              <w:b/>
              <w:bCs/>
              <w:noProof/>
              <w:lang w:val="en-GB"/>
            </w:rPr>
            <w:fldChar w:fldCharType="end"/>
          </w:r>
        </w:p>
      </w:sdtContent>
    </w:sdt>
    <w:p w14:paraId="66242FBF" w14:textId="77777777" w:rsidR="000D48A4" w:rsidRPr="005C0761" w:rsidRDefault="000D48A4" w:rsidP="00C5012C">
      <w:pPr>
        <w:spacing w:before="240" w:after="240"/>
        <w:rPr>
          <w:rFonts w:ascii="Arial" w:eastAsia="Times New Roman" w:hAnsi="Arial"/>
          <w:b/>
          <w:bCs/>
          <w:szCs w:val="24"/>
          <w:highlight w:val="white"/>
          <w:lang w:val="en-GB"/>
        </w:rPr>
      </w:pPr>
    </w:p>
    <w:p w14:paraId="1548A0FC" w14:textId="77777777" w:rsidR="000D48A4" w:rsidRPr="005C0761" w:rsidRDefault="000D48A4" w:rsidP="00C5012C">
      <w:pPr>
        <w:spacing w:before="240" w:after="240"/>
        <w:rPr>
          <w:rFonts w:ascii="Arial" w:eastAsia="Times New Roman" w:hAnsi="Arial"/>
          <w:b/>
          <w:bCs/>
          <w:color w:val="333333"/>
          <w:szCs w:val="24"/>
          <w:highlight w:val="white"/>
          <w:lang w:val="en-GB"/>
        </w:rPr>
      </w:pPr>
    </w:p>
    <w:p w14:paraId="1E549AEC" w14:textId="77777777" w:rsidR="000D48A4" w:rsidRPr="005C0761" w:rsidRDefault="000D48A4" w:rsidP="00C5012C">
      <w:pPr>
        <w:spacing w:before="240" w:after="240"/>
        <w:rPr>
          <w:rFonts w:ascii="Arial" w:eastAsia="Times New Roman" w:hAnsi="Arial"/>
          <w:b/>
          <w:bCs/>
          <w:color w:val="333333"/>
          <w:szCs w:val="24"/>
          <w:highlight w:val="white"/>
          <w:lang w:val="en-GB"/>
        </w:rPr>
      </w:pPr>
    </w:p>
    <w:p w14:paraId="6EA89695" w14:textId="77777777" w:rsidR="000D48A4" w:rsidRPr="005C0761" w:rsidRDefault="000D48A4" w:rsidP="00C5012C">
      <w:pPr>
        <w:spacing w:before="240" w:after="240"/>
        <w:rPr>
          <w:rFonts w:ascii="Arial" w:eastAsia="Times New Roman" w:hAnsi="Arial"/>
          <w:b/>
          <w:bCs/>
          <w:color w:val="333333"/>
          <w:szCs w:val="24"/>
          <w:highlight w:val="white"/>
          <w:lang w:val="en-GB"/>
        </w:rPr>
      </w:pPr>
    </w:p>
    <w:p w14:paraId="54A5B6C2" w14:textId="77777777" w:rsidR="000D48A4" w:rsidRPr="005C0761" w:rsidRDefault="000D48A4" w:rsidP="00C5012C">
      <w:pPr>
        <w:spacing w:before="240" w:after="240"/>
        <w:rPr>
          <w:rFonts w:ascii="Arial" w:eastAsia="Times New Roman" w:hAnsi="Arial"/>
          <w:b/>
          <w:bCs/>
          <w:color w:val="333333"/>
          <w:szCs w:val="24"/>
          <w:highlight w:val="white"/>
          <w:lang w:val="en-GB"/>
        </w:rPr>
      </w:pPr>
    </w:p>
    <w:p w14:paraId="5DB6324E" w14:textId="77777777" w:rsidR="00C5012C" w:rsidRPr="005C0761" w:rsidRDefault="00C5012C" w:rsidP="00C5012C">
      <w:pPr>
        <w:spacing w:before="240" w:after="240"/>
        <w:rPr>
          <w:rFonts w:ascii="Arial" w:eastAsia="Times New Roman" w:hAnsi="Arial"/>
          <w:b/>
          <w:bCs/>
          <w:color w:val="333333"/>
          <w:szCs w:val="24"/>
          <w:highlight w:val="white"/>
          <w:lang w:val="en-GB"/>
        </w:rPr>
      </w:pPr>
    </w:p>
    <w:p w14:paraId="0572B643" w14:textId="77777777" w:rsidR="0035283E" w:rsidRDefault="0035283E">
      <w:pPr>
        <w:spacing w:line="276" w:lineRule="auto"/>
        <w:jc w:val="left"/>
        <w:rPr>
          <w:rFonts w:ascii="Arial" w:eastAsia="Times New Roman" w:hAnsi="Arial"/>
          <w:b/>
          <w:bCs/>
          <w:szCs w:val="24"/>
          <w:highlight w:val="white"/>
          <w:lang w:val="en-GB"/>
        </w:rPr>
      </w:pPr>
      <w:bookmarkStart w:id="0" w:name="_ohehmn3gauod" w:colFirst="0" w:colLast="0"/>
      <w:bookmarkStart w:id="1" w:name="_Toc227950746"/>
      <w:bookmarkEnd w:id="0"/>
      <w:r>
        <w:rPr>
          <w:rFonts w:ascii="Arial" w:hAnsi="Arial"/>
          <w:lang w:val="en-GB"/>
        </w:rPr>
        <w:br w:type="page"/>
      </w:r>
    </w:p>
    <w:p w14:paraId="33A9A73B" w14:textId="0084E5DB" w:rsidR="0037456B" w:rsidRPr="005C0761" w:rsidRDefault="0037456B" w:rsidP="00C5012C">
      <w:pPr>
        <w:pStyle w:val="Heading1"/>
        <w:spacing w:before="240" w:after="240"/>
        <w:rPr>
          <w:rFonts w:ascii="Arial" w:hAnsi="Arial" w:cs="Arial"/>
          <w:lang w:val="en-GB"/>
        </w:rPr>
      </w:pPr>
      <w:r w:rsidRPr="005C0761">
        <w:rPr>
          <w:rFonts w:ascii="Arial" w:hAnsi="Arial" w:cs="Arial"/>
          <w:lang w:val="en-GB"/>
        </w:rPr>
        <w:lastRenderedPageBreak/>
        <w:t>Introduction</w:t>
      </w:r>
      <w:bookmarkEnd w:id="1"/>
    </w:p>
    <w:p w14:paraId="0E815562" w14:textId="76F9FDF2"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 xml:space="preserve">Financial management and performance analysis can help evaluate market effectiveness, growth, revenue generation, and competitiveness of </w:t>
      </w:r>
      <w:r w:rsidR="000948CF" w:rsidRPr="005C0761">
        <w:rPr>
          <w:rFonts w:ascii="Arial" w:eastAsia="Times New Roman" w:hAnsi="Arial"/>
          <w:szCs w:val="24"/>
          <w:lang w:val="en-GB"/>
        </w:rPr>
        <w:t>organizations</w:t>
      </w:r>
      <w:r w:rsidRPr="005C0761">
        <w:rPr>
          <w:rFonts w:ascii="Arial" w:eastAsia="Times New Roman" w:hAnsi="Arial"/>
          <w:szCs w:val="24"/>
          <w:lang w:val="en-GB"/>
        </w:rPr>
        <w:t xml:space="preserve">. The assignment is going to focus on an analytical study of Hyundai, </w:t>
      </w:r>
      <w:r w:rsidRPr="005C0761">
        <w:rPr>
          <w:rFonts w:ascii="Arial" w:hAnsi="Arial"/>
          <w:lang w:val="en-GB"/>
        </w:rPr>
        <w:t xml:space="preserve">evaluating its financial health and market performance, and identifying its strengths, trends, and threats. </w:t>
      </w:r>
      <w:r w:rsidRPr="005C0761">
        <w:rPr>
          <w:rFonts w:ascii="Arial" w:eastAsia="Times New Roman" w:hAnsi="Arial"/>
          <w:szCs w:val="24"/>
          <w:lang w:val="en-GB"/>
        </w:rPr>
        <w:t xml:space="preserve">It can help to analyse the investment structure and capital budgeting system of the company by evaluating its past five years' financial performances.  </w:t>
      </w:r>
      <w:r w:rsidRPr="005C0761">
        <w:rPr>
          <w:rFonts w:ascii="Arial" w:eastAsia="Times New Roman" w:hAnsi="Arial"/>
          <w:szCs w:val="24"/>
          <w:lang w:val="en-GB"/>
        </w:rPr>
        <w:tab/>
      </w:r>
    </w:p>
    <w:p w14:paraId="12B54701" w14:textId="77777777" w:rsidR="0037456B" w:rsidRPr="005C0761" w:rsidRDefault="0037456B" w:rsidP="00C5012C">
      <w:pPr>
        <w:pStyle w:val="Heading1"/>
        <w:spacing w:before="240" w:after="240"/>
        <w:rPr>
          <w:rFonts w:ascii="Arial" w:hAnsi="Arial" w:cs="Arial"/>
          <w:lang w:val="en-GB"/>
        </w:rPr>
      </w:pPr>
      <w:bookmarkStart w:id="2" w:name="_fpz9tablcuc6" w:colFirst="0" w:colLast="0"/>
      <w:bookmarkStart w:id="3" w:name="_Toc227950747"/>
      <w:bookmarkEnd w:id="2"/>
      <w:r w:rsidRPr="005C0761">
        <w:rPr>
          <w:rFonts w:ascii="Arial" w:hAnsi="Arial" w:cs="Arial"/>
          <w:lang w:val="en-GB"/>
        </w:rPr>
        <w:t>1. Analysis of the Financial Health</w:t>
      </w:r>
      <w:bookmarkEnd w:id="3"/>
      <w:r w:rsidRPr="005C0761">
        <w:rPr>
          <w:rFonts w:ascii="Arial" w:hAnsi="Arial" w:cs="Arial"/>
          <w:lang w:val="en-GB"/>
        </w:rPr>
        <w:t xml:space="preserve"> </w:t>
      </w:r>
    </w:p>
    <w:p w14:paraId="4F719FE5" w14:textId="77777777" w:rsidR="0037456B" w:rsidRPr="005C0761" w:rsidRDefault="0037456B" w:rsidP="00C5012C">
      <w:pPr>
        <w:pStyle w:val="Heading2"/>
        <w:spacing w:before="240" w:after="240"/>
        <w:rPr>
          <w:rFonts w:ascii="Arial" w:hAnsi="Arial" w:cs="Arial"/>
          <w:lang w:val="en-GB"/>
        </w:rPr>
      </w:pPr>
      <w:bookmarkStart w:id="4" w:name="_re9c52q3i8f7" w:colFirst="0" w:colLast="0"/>
      <w:bookmarkStart w:id="5" w:name="_Toc227950748"/>
      <w:bookmarkEnd w:id="4"/>
      <w:r w:rsidRPr="005C0761">
        <w:rPr>
          <w:rFonts w:ascii="Arial" w:hAnsi="Arial" w:cs="Arial"/>
          <w:lang w:val="en-GB"/>
        </w:rPr>
        <w:t>Analysis of the five-year financial statements of Hyundai</w:t>
      </w:r>
      <w:bookmarkEnd w:id="5"/>
      <w:r w:rsidRPr="005C0761">
        <w:rPr>
          <w:rFonts w:ascii="Arial" w:hAnsi="Arial" w:cs="Arial"/>
          <w:lang w:val="en-GB"/>
        </w:rPr>
        <w:t xml:space="preserve">  </w:t>
      </w:r>
    </w:p>
    <w:p w14:paraId="550FE650" w14:textId="77777777" w:rsidR="0037456B" w:rsidRPr="005C0761" w:rsidRDefault="0037456B" w:rsidP="00C5012C">
      <w:pPr>
        <w:spacing w:before="240" w:after="240"/>
        <w:jc w:val="center"/>
        <w:rPr>
          <w:rFonts w:ascii="Arial" w:hAnsi="Arial"/>
          <w:b/>
          <w:bCs/>
          <w:lang w:val="en-GB"/>
        </w:rPr>
      </w:pPr>
      <w:r w:rsidRPr="005C0761">
        <w:rPr>
          <w:rFonts w:ascii="Arial" w:hAnsi="Arial"/>
          <w:b/>
          <w:bCs/>
          <w:noProof/>
          <w:lang w:val="en-GB"/>
        </w:rPr>
        <w:drawing>
          <wp:inline distT="114300" distB="114300" distL="114300" distR="114300" wp14:anchorId="0071B9FD" wp14:editId="25F8D1F0">
            <wp:extent cx="5648325" cy="4773178"/>
            <wp:effectExtent l="0" t="0" r="0" b="0"/>
            <wp:docPr id="1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8"/>
                    <a:srcRect/>
                    <a:stretch>
                      <a:fillRect/>
                    </a:stretch>
                  </pic:blipFill>
                  <pic:spPr>
                    <a:xfrm>
                      <a:off x="0" y="0"/>
                      <a:ext cx="5648325" cy="4773178"/>
                    </a:xfrm>
                    <a:prstGeom prst="rect">
                      <a:avLst/>
                    </a:prstGeom>
                    <a:ln/>
                  </pic:spPr>
                </pic:pic>
              </a:graphicData>
            </a:graphic>
          </wp:inline>
        </w:drawing>
      </w:r>
    </w:p>
    <w:p w14:paraId="5E0367E6" w14:textId="77777777" w:rsidR="0037456B" w:rsidRPr="005C0761" w:rsidRDefault="0037456B" w:rsidP="00C5012C">
      <w:pPr>
        <w:spacing w:before="240" w:after="240"/>
        <w:jc w:val="center"/>
        <w:rPr>
          <w:rFonts w:ascii="Arial" w:hAnsi="Arial"/>
          <w:b/>
          <w:bCs/>
          <w:lang w:val="en-GB"/>
        </w:rPr>
      </w:pPr>
      <w:r w:rsidRPr="005C0761">
        <w:rPr>
          <w:rFonts w:ascii="Arial" w:hAnsi="Arial"/>
          <w:b/>
          <w:bCs/>
          <w:lang w:val="en-GB"/>
        </w:rPr>
        <w:t>Figure 1: Balance sheet of 2025</w:t>
      </w:r>
    </w:p>
    <w:p w14:paraId="43B5BE6B" w14:textId="77777777" w:rsidR="0037456B" w:rsidRPr="005C0761" w:rsidRDefault="0037456B" w:rsidP="00C5012C">
      <w:pPr>
        <w:spacing w:before="240" w:after="240"/>
        <w:jc w:val="center"/>
        <w:rPr>
          <w:rFonts w:ascii="Arial" w:hAnsi="Arial"/>
          <w:lang w:val="en-GB"/>
        </w:rPr>
      </w:pPr>
      <w:r w:rsidRPr="005C0761">
        <w:rPr>
          <w:rFonts w:ascii="Arial" w:hAnsi="Arial"/>
          <w:lang w:val="en-GB"/>
        </w:rPr>
        <w:lastRenderedPageBreak/>
        <w:t>(Source:</w:t>
      </w:r>
      <w:hyperlink r:id="rId9">
        <w:r w:rsidRPr="005C0761">
          <w:rPr>
            <w:rFonts w:ascii="Arial" w:hAnsi="Arial"/>
            <w:lang w:val="en-GB"/>
          </w:rPr>
          <w:t>hyundai.com</w:t>
        </w:r>
      </w:hyperlink>
      <w:r w:rsidRPr="005C0761">
        <w:rPr>
          <w:rFonts w:ascii="Arial" w:hAnsi="Arial"/>
          <w:lang w:val="en-GB"/>
        </w:rPr>
        <w:t xml:space="preserve">, 2025) </w:t>
      </w:r>
    </w:p>
    <w:p w14:paraId="2E56DCDF" w14:textId="77777777" w:rsidR="0037456B" w:rsidRPr="005C0761" w:rsidRDefault="0037456B" w:rsidP="00C5012C">
      <w:pPr>
        <w:spacing w:before="240" w:after="240"/>
        <w:rPr>
          <w:rFonts w:ascii="Arial" w:hAnsi="Arial"/>
          <w:lang w:val="en-GB"/>
        </w:rPr>
      </w:pPr>
      <w:r w:rsidRPr="005C0761">
        <w:rPr>
          <w:rFonts w:ascii="Arial" w:hAnsi="Arial"/>
          <w:lang w:val="en-GB"/>
        </w:rPr>
        <w:t xml:space="preserve">The above figure shows the balance sheet of the company, which reflects its non-current assets, current assets, amount of liquidity and liabilities in its international market. </w:t>
      </w:r>
    </w:p>
    <w:p w14:paraId="55643439"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559AB26A" wp14:editId="2ABB63C3">
            <wp:extent cx="5124450" cy="4565377"/>
            <wp:effectExtent l="0" t="0" r="0" b="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124450" cy="4565377"/>
                    </a:xfrm>
                    <a:prstGeom prst="rect">
                      <a:avLst/>
                    </a:prstGeom>
                    <a:ln/>
                  </pic:spPr>
                </pic:pic>
              </a:graphicData>
            </a:graphic>
          </wp:inline>
        </w:drawing>
      </w:r>
    </w:p>
    <w:p w14:paraId="0034470D" w14:textId="131E0F99" w:rsidR="0037456B" w:rsidRPr="005C0761" w:rsidRDefault="0037456B" w:rsidP="00C5012C">
      <w:pPr>
        <w:spacing w:before="240" w:after="240"/>
        <w:jc w:val="center"/>
        <w:rPr>
          <w:rFonts w:ascii="Arial" w:hAnsi="Arial"/>
          <w:b/>
          <w:bCs/>
          <w:lang w:val="en-GB"/>
        </w:rPr>
      </w:pPr>
      <w:r w:rsidRPr="005C0761">
        <w:rPr>
          <w:rFonts w:ascii="Arial" w:hAnsi="Arial"/>
          <w:b/>
          <w:bCs/>
          <w:lang w:val="en-GB"/>
        </w:rPr>
        <w:t xml:space="preserve">Figure </w:t>
      </w:r>
      <w:r w:rsidR="000948CF" w:rsidRPr="005C0761">
        <w:rPr>
          <w:rFonts w:ascii="Arial" w:hAnsi="Arial"/>
          <w:b/>
          <w:bCs/>
          <w:lang w:val="en-GB"/>
        </w:rPr>
        <w:t>2:</w:t>
      </w:r>
      <w:r w:rsidRPr="005C0761">
        <w:rPr>
          <w:rFonts w:ascii="Arial" w:hAnsi="Arial"/>
          <w:b/>
          <w:bCs/>
          <w:lang w:val="en-GB"/>
        </w:rPr>
        <w:t xml:space="preserve"> Balance sheet of 2024</w:t>
      </w:r>
    </w:p>
    <w:p w14:paraId="7096771D" w14:textId="77777777" w:rsidR="0037456B" w:rsidRPr="005C0761" w:rsidRDefault="0037456B" w:rsidP="00C5012C">
      <w:pPr>
        <w:spacing w:before="240" w:after="240"/>
        <w:jc w:val="center"/>
        <w:rPr>
          <w:rFonts w:ascii="Arial" w:hAnsi="Arial"/>
          <w:lang w:val="en-GB"/>
        </w:rPr>
      </w:pPr>
      <w:r w:rsidRPr="005C0761">
        <w:rPr>
          <w:rFonts w:ascii="Arial" w:hAnsi="Arial"/>
          <w:lang w:val="en-GB"/>
        </w:rPr>
        <w:t xml:space="preserve">(Source: </w:t>
      </w:r>
      <w:hyperlink r:id="rId11">
        <w:r w:rsidRPr="005C0761">
          <w:rPr>
            <w:rFonts w:ascii="Arial" w:hAnsi="Arial"/>
            <w:lang w:val="en-GB"/>
          </w:rPr>
          <w:t>hyundai.com</w:t>
        </w:r>
      </w:hyperlink>
      <w:r w:rsidRPr="005C0761">
        <w:rPr>
          <w:rFonts w:ascii="Arial" w:hAnsi="Arial"/>
          <w:lang w:val="en-GB"/>
        </w:rPr>
        <w:t>, 2024)</w:t>
      </w:r>
    </w:p>
    <w:p w14:paraId="576498FC" w14:textId="77777777" w:rsidR="0037456B" w:rsidRPr="005C0761" w:rsidRDefault="0037456B" w:rsidP="00C5012C">
      <w:pPr>
        <w:spacing w:before="240" w:after="240"/>
        <w:rPr>
          <w:rFonts w:ascii="Arial" w:hAnsi="Arial"/>
          <w:lang w:val="en-GB"/>
        </w:rPr>
      </w:pPr>
      <w:r w:rsidRPr="005C0761">
        <w:rPr>
          <w:rFonts w:ascii="Arial" w:hAnsi="Arial"/>
          <w:lang w:val="en-GB"/>
        </w:rPr>
        <w:t>The above figure shows the liabilities, payment receivables, equity performances and liabilities of the company in the year 2024</w:t>
      </w:r>
    </w:p>
    <w:p w14:paraId="494DD0BD"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lastRenderedPageBreak/>
        <w:drawing>
          <wp:inline distT="114300" distB="114300" distL="114300" distR="114300" wp14:anchorId="71EF0A80" wp14:editId="7A72C875">
            <wp:extent cx="4876800" cy="5400675"/>
            <wp:effectExtent l="0" t="0" r="0" b="0"/>
            <wp:docPr id="9"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2"/>
                    <a:srcRect/>
                    <a:stretch>
                      <a:fillRect/>
                    </a:stretch>
                  </pic:blipFill>
                  <pic:spPr>
                    <a:xfrm>
                      <a:off x="0" y="0"/>
                      <a:ext cx="4876800" cy="5400675"/>
                    </a:xfrm>
                    <a:prstGeom prst="rect">
                      <a:avLst/>
                    </a:prstGeom>
                    <a:ln/>
                  </pic:spPr>
                </pic:pic>
              </a:graphicData>
            </a:graphic>
          </wp:inline>
        </w:drawing>
      </w:r>
    </w:p>
    <w:p w14:paraId="494DD0A8" w14:textId="77777777" w:rsidR="0037456B" w:rsidRPr="005C0761" w:rsidRDefault="0037456B" w:rsidP="00C5012C">
      <w:pPr>
        <w:spacing w:before="240" w:after="240"/>
        <w:jc w:val="center"/>
        <w:rPr>
          <w:rFonts w:ascii="Arial" w:hAnsi="Arial"/>
          <w:b/>
          <w:bCs/>
          <w:lang w:val="en-GB"/>
        </w:rPr>
      </w:pPr>
      <w:r w:rsidRPr="005C0761">
        <w:rPr>
          <w:rFonts w:ascii="Arial" w:hAnsi="Arial"/>
          <w:b/>
          <w:bCs/>
          <w:lang w:val="en-GB"/>
        </w:rPr>
        <w:t>Figure 3: Balance Sheet of 2023</w:t>
      </w:r>
    </w:p>
    <w:p w14:paraId="494A8962" w14:textId="77777777" w:rsidR="0037456B" w:rsidRPr="005C0761" w:rsidRDefault="0037456B" w:rsidP="00C5012C">
      <w:pPr>
        <w:spacing w:before="240" w:after="240"/>
        <w:jc w:val="center"/>
        <w:rPr>
          <w:rFonts w:ascii="Arial" w:hAnsi="Arial"/>
          <w:lang w:val="en-GB"/>
        </w:rPr>
      </w:pPr>
      <w:r w:rsidRPr="005C0761">
        <w:rPr>
          <w:rFonts w:ascii="Arial" w:hAnsi="Arial"/>
          <w:lang w:val="en-GB"/>
        </w:rPr>
        <w:t xml:space="preserve">(Source: </w:t>
      </w:r>
      <w:hyperlink r:id="rId13">
        <w:r w:rsidRPr="005C0761">
          <w:rPr>
            <w:rFonts w:ascii="Arial" w:hAnsi="Arial"/>
            <w:lang w:val="en-GB"/>
          </w:rPr>
          <w:t>hyundai.com</w:t>
        </w:r>
      </w:hyperlink>
      <w:r w:rsidRPr="005C0761">
        <w:rPr>
          <w:rFonts w:ascii="Arial" w:hAnsi="Arial"/>
          <w:lang w:val="en-GB"/>
        </w:rPr>
        <w:t>, 2023)</w:t>
      </w:r>
    </w:p>
    <w:p w14:paraId="4B8551F6" w14:textId="287EB380" w:rsidR="0037456B" w:rsidRPr="005C0761" w:rsidRDefault="0037456B" w:rsidP="00C5012C">
      <w:pPr>
        <w:spacing w:before="240" w:after="240"/>
        <w:rPr>
          <w:rFonts w:ascii="Arial" w:hAnsi="Arial"/>
          <w:lang w:val="en-GB"/>
        </w:rPr>
      </w:pPr>
      <w:r w:rsidRPr="005C0761">
        <w:rPr>
          <w:rFonts w:ascii="Arial" w:hAnsi="Arial"/>
          <w:lang w:val="en-GB"/>
        </w:rPr>
        <w:t xml:space="preserve">The above figure shows the financial performances and stability level, equity </w:t>
      </w:r>
      <w:r w:rsidR="000948CF" w:rsidRPr="005C0761">
        <w:rPr>
          <w:rFonts w:ascii="Arial" w:hAnsi="Arial"/>
          <w:lang w:val="en-GB"/>
        </w:rPr>
        <w:t>level,</w:t>
      </w:r>
      <w:r w:rsidRPr="005C0761">
        <w:rPr>
          <w:rFonts w:ascii="Arial" w:hAnsi="Arial"/>
          <w:lang w:val="en-GB"/>
        </w:rPr>
        <w:t xml:space="preserve"> and brand performance level of the company in the year of 2023</w:t>
      </w:r>
    </w:p>
    <w:p w14:paraId="54A630A5"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lastRenderedPageBreak/>
        <w:drawing>
          <wp:inline distT="114300" distB="114300" distL="114300" distR="114300" wp14:anchorId="2081295E" wp14:editId="161CAE2D">
            <wp:extent cx="5943600" cy="6121400"/>
            <wp:effectExtent l="0" t="0" r="0" b="0"/>
            <wp:docPr id="2"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4"/>
                    <a:srcRect/>
                    <a:stretch>
                      <a:fillRect/>
                    </a:stretch>
                  </pic:blipFill>
                  <pic:spPr>
                    <a:xfrm>
                      <a:off x="0" y="0"/>
                      <a:ext cx="5943600" cy="6121400"/>
                    </a:xfrm>
                    <a:prstGeom prst="rect">
                      <a:avLst/>
                    </a:prstGeom>
                    <a:ln/>
                  </pic:spPr>
                </pic:pic>
              </a:graphicData>
            </a:graphic>
          </wp:inline>
        </w:drawing>
      </w:r>
    </w:p>
    <w:p w14:paraId="06A50176" w14:textId="77777777" w:rsidR="0037456B" w:rsidRPr="005C0761" w:rsidRDefault="0037456B" w:rsidP="00C5012C">
      <w:pPr>
        <w:spacing w:before="240" w:after="240"/>
        <w:jc w:val="center"/>
        <w:rPr>
          <w:rFonts w:ascii="Arial" w:hAnsi="Arial"/>
          <w:b/>
          <w:bCs/>
          <w:lang w:val="en-GB"/>
        </w:rPr>
      </w:pPr>
      <w:r w:rsidRPr="005C0761">
        <w:rPr>
          <w:rFonts w:ascii="Arial" w:hAnsi="Arial"/>
          <w:b/>
          <w:bCs/>
          <w:lang w:val="en-GB"/>
        </w:rPr>
        <w:t>Figure 4: Balance Sheet of 2022</w:t>
      </w:r>
    </w:p>
    <w:p w14:paraId="0335C557" w14:textId="77777777" w:rsidR="0037456B" w:rsidRPr="005C0761" w:rsidRDefault="0037456B" w:rsidP="00C5012C">
      <w:pPr>
        <w:spacing w:before="240" w:after="240"/>
        <w:jc w:val="center"/>
        <w:rPr>
          <w:rFonts w:ascii="Arial" w:hAnsi="Arial"/>
          <w:lang w:val="en-GB"/>
        </w:rPr>
      </w:pPr>
      <w:r w:rsidRPr="005C0761">
        <w:rPr>
          <w:rFonts w:ascii="Arial" w:hAnsi="Arial"/>
          <w:lang w:val="en-GB"/>
        </w:rPr>
        <w:t xml:space="preserve">(Source: </w:t>
      </w:r>
      <w:hyperlink r:id="rId15">
        <w:r w:rsidRPr="005C0761">
          <w:rPr>
            <w:rFonts w:ascii="Arial" w:hAnsi="Arial"/>
            <w:lang w:val="en-GB"/>
          </w:rPr>
          <w:t>hyundai.com</w:t>
        </w:r>
      </w:hyperlink>
      <w:r w:rsidRPr="005C0761">
        <w:rPr>
          <w:rFonts w:ascii="Arial" w:hAnsi="Arial"/>
          <w:lang w:val="en-GB"/>
        </w:rPr>
        <w:t>, 2022)</w:t>
      </w:r>
    </w:p>
    <w:p w14:paraId="40E05A4B" w14:textId="77777777" w:rsidR="0037456B" w:rsidRPr="005C0761" w:rsidRDefault="0037456B" w:rsidP="00C5012C">
      <w:pPr>
        <w:spacing w:before="240" w:after="240"/>
        <w:rPr>
          <w:rFonts w:ascii="Arial" w:hAnsi="Arial"/>
          <w:lang w:val="en-GB"/>
        </w:rPr>
      </w:pPr>
      <w:r w:rsidRPr="005C0761">
        <w:rPr>
          <w:rFonts w:ascii="Arial" w:hAnsi="Arial"/>
          <w:lang w:val="en-GB"/>
        </w:rPr>
        <w:t>The above figure shows the total current liabilities, equity, non-current and current assets of the company in the year 2022.</w:t>
      </w:r>
    </w:p>
    <w:p w14:paraId="79F4D838" w14:textId="77777777" w:rsidR="0037456B" w:rsidRPr="005C0761" w:rsidRDefault="0037456B" w:rsidP="00C5012C">
      <w:pPr>
        <w:spacing w:before="240" w:after="240"/>
        <w:rPr>
          <w:rFonts w:ascii="Arial" w:hAnsi="Arial"/>
          <w:lang w:val="en-GB"/>
        </w:rPr>
      </w:pPr>
    </w:p>
    <w:p w14:paraId="4117DF8B" w14:textId="77777777" w:rsidR="0037456B" w:rsidRPr="005C0761" w:rsidRDefault="0037456B" w:rsidP="00C5012C">
      <w:pPr>
        <w:pStyle w:val="Heading2"/>
        <w:spacing w:before="240" w:after="240"/>
        <w:rPr>
          <w:rFonts w:ascii="Arial" w:hAnsi="Arial" w:cs="Arial"/>
          <w:lang w:val="en-GB"/>
        </w:rPr>
      </w:pPr>
      <w:bookmarkStart w:id="6" w:name="_dwttcnozylrx" w:colFirst="0" w:colLast="0"/>
      <w:bookmarkStart w:id="7" w:name="_Toc227950749"/>
      <w:bookmarkEnd w:id="6"/>
      <w:r w:rsidRPr="005C0761">
        <w:rPr>
          <w:rFonts w:ascii="Arial" w:hAnsi="Arial" w:cs="Arial"/>
          <w:lang w:val="en-GB"/>
        </w:rPr>
        <w:lastRenderedPageBreak/>
        <w:t>Evaluate full ratio analysis (profitability, liquidity, efficiency, gearing, investment, cash flow)</w:t>
      </w:r>
      <w:bookmarkEnd w:id="7"/>
    </w:p>
    <w:p w14:paraId="4BE7B36F" w14:textId="77777777"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t xml:space="preserve">Profitability ratio </w:t>
      </w:r>
    </w:p>
    <w:p w14:paraId="12DB7E4C" w14:textId="77777777" w:rsidR="0037456B" w:rsidRPr="005C0761" w:rsidRDefault="0037456B" w:rsidP="00C5012C">
      <w:pPr>
        <w:spacing w:before="240" w:after="240"/>
        <w:rPr>
          <w:rFonts w:ascii="Arial" w:hAnsi="Arial"/>
          <w:b/>
          <w:bCs/>
          <w:lang w:val="en-GB"/>
        </w:rPr>
      </w:pPr>
      <w:r w:rsidRPr="005C0761">
        <w:rPr>
          <w:rFonts w:ascii="Arial" w:hAnsi="Arial"/>
          <w:lang w:val="en-GB"/>
        </w:rPr>
        <w:t xml:space="preserve">Profitability ratio is a financial performance metric that can help to assess the ability of generating profit and revenue of different organisations (Nasution and Yusleny, 2023). This metric is important for measuring strong financial performances, gross margin, operating margins, and net profit margin. </w:t>
      </w:r>
    </w:p>
    <w:p w14:paraId="0988DC57" w14:textId="77777777" w:rsidR="0037456B" w:rsidRPr="005C0761" w:rsidRDefault="0037456B" w:rsidP="00C5012C">
      <w:pPr>
        <w:spacing w:before="240" w:after="240"/>
        <w:jc w:val="center"/>
        <w:rPr>
          <w:rFonts w:ascii="Arial" w:hAnsi="Arial"/>
          <w:b/>
          <w:bCs/>
          <w:lang w:val="en-GB"/>
        </w:rPr>
      </w:pPr>
      <w:r w:rsidRPr="005C0761">
        <w:rPr>
          <w:rFonts w:ascii="Arial" w:hAnsi="Arial"/>
          <w:b/>
          <w:bCs/>
          <w:noProof/>
          <w:lang w:val="en-GB"/>
        </w:rPr>
        <w:drawing>
          <wp:inline distT="114300" distB="114300" distL="114300" distR="114300" wp14:anchorId="6552C292" wp14:editId="32FF4D28">
            <wp:extent cx="5329238" cy="2886075"/>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329238" cy="2886075"/>
                    </a:xfrm>
                    <a:prstGeom prst="rect">
                      <a:avLst/>
                    </a:prstGeom>
                    <a:ln/>
                  </pic:spPr>
                </pic:pic>
              </a:graphicData>
            </a:graphic>
          </wp:inline>
        </w:drawing>
      </w:r>
    </w:p>
    <w:p w14:paraId="6279A7F5" w14:textId="77777777" w:rsidR="0037456B" w:rsidRPr="005C0761" w:rsidRDefault="0037456B" w:rsidP="00C5012C">
      <w:pPr>
        <w:spacing w:before="240" w:after="240"/>
        <w:jc w:val="center"/>
        <w:rPr>
          <w:rFonts w:ascii="Arial" w:hAnsi="Arial"/>
          <w:b/>
          <w:bCs/>
          <w:lang w:val="en-GB"/>
        </w:rPr>
      </w:pPr>
      <w:r w:rsidRPr="005C0761">
        <w:rPr>
          <w:rFonts w:ascii="Arial" w:eastAsia="Times New Roman" w:hAnsi="Arial"/>
          <w:b/>
          <w:bCs/>
          <w:szCs w:val="24"/>
          <w:lang w:val="en-GB"/>
        </w:rPr>
        <w:t xml:space="preserve">Figure </w:t>
      </w:r>
      <w:r w:rsidRPr="005C0761">
        <w:rPr>
          <w:rFonts w:ascii="Arial" w:hAnsi="Arial"/>
          <w:b/>
          <w:bCs/>
          <w:lang w:val="en-GB"/>
        </w:rPr>
        <w:t>5</w:t>
      </w:r>
      <w:r w:rsidRPr="005C0761">
        <w:rPr>
          <w:rFonts w:ascii="Arial" w:eastAsia="Times New Roman" w:hAnsi="Arial"/>
          <w:b/>
          <w:bCs/>
          <w:szCs w:val="24"/>
          <w:lang w:val="en-GB"/>
        </w:rPr>
        <w:t>: Profitability Ratio</w:t>
      </w:r>
    </w:p>
    <w:p w14:paraId="702D3E3D" w14:textId="316C140B" w:rsidR="0037456B" w:rsidRPr="005C0761" w:rsidRDefault="0037456B" w:rsidP="00C5012C">
      <w:pPr>
        <w:spacing w:before="240" w:after="240"/>
        <w:jc w:val="center"/>
        <w:rPr>
          <w:rFonts w:ascii="Arial" w:hAnsi="Arial"/>
          <w:lang w:val="en-GB"/>
        </w:rPr>
      </w:pPr>
      <w:r w:rsidRPr="005C0761">
        <w:rPr>
          <w:rFonts w:ascii="Arial" w:eastAsia="Times New Roman" w:hAnsi="Arial"/>
          <w:szCs w:val="24"/>
          <w:lang w:val="en-GB"/>
        </w:rPr>
        <w:t xml:space="preserve">(Source: </w:t>
      </w:r>
      <w:r w:rsidRPr="005C0761">
        <w:rPr>
          <w:rFonts w:ascii="Arial" w:hAnsi="Arial"/>
          <w:lang w:val="en-GB"/>
        </w:rPr>
        <w:t>MS Excel</w:t>
      </w:r>
      <w:r w:rsidRPr="005C0761">
        <w:rPr>
          <w:rFonts w:ascii="Arial" w:eastAsia="Times New Roman" w:hAnsi="Arial"/>
          <w:szCs w:val="24"/>
          <w:lang w:val="en-GB"/>
        </w:rPr>
        <w:t>)</w:t>
      </w:r>
    </w:p>
    <w:p w14:paraId="12B99B01" w14:textId="30D930E6"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 xml:space="preserve">The above figure 1 shows the </w:t>
      </w:r>
      <w:r w:rsidRPr="005C0761">
        <w:rPr>
          <w:rFonts w:ascii="Arial" w:hAnsi="Arial"/>
          <w:lang w:val="en-GB"/>
        </w:rPr>
        <w:t xml:space="preserve">rate of the company’s profitability in the past five </w:t>
      </w:r>
      <w:r w:rsidR="000948CF" w:rsidRPr="005C0761">
        <w:rPr>
          <w:rFonts w:ascii="Arial" w:hAnsi="Arial"/>
          <w:lang w:val="en-GB"/>
        </w:rPr>
        <w:t>years. The</w:t>
      </w:r>
      <w:r w:rsidRPr="005C0761">
        <w:rPr>
          <w:rFonts w:ascii="Arial" w:hAnsi="Arial"/>
          <w:lang w:val="en-GB"/>
        </w:rPr>
        <w:t xml:space="preserve"> profitability rate of gross profit margin shows a high rate in the year of 2025 as 25.85 that the other years. The return rate of capital employed shows that this company achieve a high rate in the year of 2024 as 62.90 that the other years. The lowest rate of this company in the section of gross profit and return of capital employed estimated in the year of 2021 as 21.88 and 15.38. The year of 2022, 2023 and 2024 and 2025 shows </w:t>
      </w:r>
      <w:r w:rsidRPr="005C0761">
        <w:rPr>
          <w:rFonts w:ascii="Arial" w:hAnsi="Arial"/>
          <w:lang w:val="en-GB"/>
        </w:rPr>
        <w:lastRenderedPageBreak/>
        <w:t>lower to medium growth as the rate of the gross profit and return on capital employed estimated 22.28, 23.22, 24.23 and 20.37, 28.75 and 40.99.</w:t>
      </w:r>
      <w:r w:rsidRPr="005C0761">
        <w:rPr>
          <w:rFonts w:ascii="Arial" w:eastAsia="Times New Roman" w:hAnsi="Arial"/>
          <w:szCs w:val="24"/>
          <w:lang w:val="en-GB"/>
        </w:rPr>
        <w:t xml:space="preserve">   </w:t>
      </w:r>
    </w:p>
    <w:p w14:paraId="757C3E1E" w14:textId="77777777"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t xml:space="preserve">Liquidity ratio </w:t>
      </w:r>
    </w:p>
    <w:p w14:paraId="3A67ED0D" w14:textId="77777777"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Liquidity ratio helps to assess a company’s ability to generate cash flows, long-term and short-term ability to cover obligations (Barnabas</w:t>
      </w:r>
      <w:r w:rsidRPr="005C0761">
        <w:rPr>
          <w:rFonts w:ascii="Arial" w:hAnsi="Arial"/>
          <w:lang w:val="en-GB"/>
        </w:rPr>
        <w:t xml:space="preserve"> </w:t>
      </w:r>
      <w:r w:rsidRPr="005C0761">
        <w:rPr>
          <w:rFonts w:ascii="Arial" w:eastAsia="Times New Roman" w:hAnsi="Arial"/>
          <w:szCs w:val="24"/>
          <w:lang w:val="en-GB"/>
        </w:rPr>
        <w:t xml:space="preserve"> and Oloyede,</w:t>
      </w:r>
      <w:r w:rsidRPr="005C0761">
        <w:rPr>
          <w:rFonts w:ascii="Arial" w:hAnsi="Arial"/>
          <w:lang w:val="en-GB"/>
        </w:rPr>
        <w:t xml:space="preserve"> </w:t>
      </w:r>
      <w:r w:rsidRPr="005C0761">
        <w:rPr>
          <w:rFonts w:ascii="Arial" w:eastAsia="Times New Roman" w:hAnsi="Arial"/>
          <w:szCs w:val="24"/>
          <w:lang w:val="en-GB"/>
        </w:rPr>
        <w:t xml:space="preserve">2024). It is important to measure the long-term and short-term efforts of companies to pay their debts in international markets. </w:t>
      </w:r>
    </w:p>
    <w:p w14:paraId="3FFDD1C8"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073FC383" wp14:editId="343C331C">
            <wp:extent cx="4881563" cy="2209800"/>
            <wp:effectExtent l="0" t="0" r="0" b="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4881563" cy="2209800"/>
                    </a:xfrm>
                    <a:prstGeom prst="rect">
                      <a:avLst/>
                    </a:prstGeom>
                    <a:ln/>
                  </pic:spPr>
                </pic:pic>
              </a:graphicData>
            </a:graphic>
          </wp:inline>
        </w:drawing>
      </w:r>
    </w:p>
    <w:p w14:paraId="0765B921" w14:textId="431F6835" w:rsidR="0037456B" w:rsidRPr="005C0761" w:rsidRDefault="0037456B" w:rsidP="00C5012C">
      <w:pPr>
        <w:spacing w:before="240" w:after="240"/>
        <w:jc w:val="center"/>
        <w:rPr>
          <w:rFonts w:ascii="Arial" w:hAnsi="Arial"/>
          <w:b/>
          <w:bCs/>
          <w:lang w:val="en-GB"/>
        </w:rPr>
      </w:pPr>
      <w:r w:rsidRPr="005C0761">
        <w:rPr>
          <w:rFonts w:ascii="Arial" w:hAnsi="Arial"/>
          <w:b/>
          <w:bCs/>
          <w:lang w:val="en-GB"/>
        </w:rPr>
        <w:t xml:space="preserve"> Figure </w:t>
      </w:r>
      <w:r w:rsidR="000948CF" w:rsidRPr="005C0761">
        <w:rPr>
          <w:rFonts w:ascii="Arial" w:hAnsi="Arial"/>
          <w:b/>
          <w:bCs/>
          <w:lang w:val="en-GB"/>
        </w:rPr>
        <w:t>6: Liquidity</w:t>
      </w:r>
      <w:r w:rsidRPr="005C0761">
        <w:rPr>
          <w:rFonts w:ascii="Arial" w:hAnsi="Arial"/>
          <w:b/>
          <w:bCs/>
          <w:lang w:val="en-GB"/>
        </w:rPr>
        <w:t xml:space="preserve"> ratio </w:t>
      </w:r>
    </w:p>
    <w:p w14:paraId="647BE7CD" w14:textId="26ED8E39" w:rsidR="0037456B" w:rsidRPr="005C0761" w:rsidRDefault="0037456B" w:rsidP="00C5012C">
      <w:pPr>
        <w:spacing w:before="240" w:after="240"/>
        <w:jc w:val="center"/>
        <w:rPr>
          <w:rFonts w:ascii="Arial" w:hAnsi="Arial"/>
          <w:lang w:val="en-GB"/>
        </w:rPr>
      </w:pPr>
      <w:r w:rsidRPr="005C0761">
        <w:rPr>
          <w:rFonts w:ascii="Arial" w:hAnsi="Arial"/>
          <w:lang w:val="en-GB"/>
        </w:rPr>
        <w:t>(Source: MS Excel)</w:t>
      </w:r>
    </w:p>
    <w:p w14:paraId="007881E3" w14:textId="3A237DE4" w:rsidR="0037456B" w:rsidRPr="005C0761" w:rsidRDefault="0037456B" w:rsidP="00C5012C">
      <w:pPr>
        <w:spacing w:before="240" w:after="240"/>
        <w:rPr>
          <w:rFonts w:ascii="Arial" w:hAnsi="Arial"/>
          <w:lang w:val="en-GB"/>
        </w:rPr>
      </w:pPr>
      <w:r w:rsidRPr="005C0761">
        <w:rPr>
          <w:rFonts w:ascii="Arial" w:hAnsi="Arial"/>
          <w:lang w:val="en-GB"/>
        </w:rPr>
        <w:t xml:space="preserve">The above figure 2 shows the rate of liquidity of the company in the past five years in the </w:t>
      </w:r>
      <w:r w:rsidR="000948CF" w:rsidRPr="005C0761">
        <w:rPr>
          <w:rFonts w:ascii="Arial" w:hAnsi="Arial"/>
          <w:lang w:val="en-GB"/>
        </w:rPr>
        <w:t>organisational</w:t>
      </w:r>
      <w:r w:rsidRPr="005C0761">
        <w:rPr>
          <w:rFonts w:ascii="Arial" w:hAnsi="Arial"/>
          <w:lang w:val="en-GB"/>
        </w:rPr>
        <w:t xml:space="preserve"> context. The quick ratio and current ratio of the company identified high in the year of 2022 which shows that the company has a healthy and equitable revenue system in its internal markets. The liquidity ratio identified low in the year of 2024 as the rate of quick ratio and current ratio identified as 0.99 and1.24. The other year shows a moderate to medium growth in its liquidity sector such as the year of 2021, 2023 and 2025 identified the rate of 1.12,1.42,1.62,1.90 and 1.83 and 2.11.  </w:t>
      </w:r>
    </w:p>
    <w:p w14:paraId="2A1B8FD9" w14:textId="77777777" w:rsidR="0037456B" w:rsidRDefault="0037456B" w:rsidP="00C5012C">
      <w:pPr>
        <w:spacing w:before="240" w:after="240"/>
        <w:rPr>
          <w:rFonts w:ascii="Arial" w:hAnsi="Arial"/>
          <w:lang w:val="en-GB"/>
        </w:rPr>
      </w:pPr>
    </w:p>
    <w:p w14:paraId="6E09429A" w14:textId="77777777" w:rsidR="00087FDC" w:rsidRPr="005C0761" w:rsidRDefault="00087FDC" w:rsidP="00C5012C">
      <w:pPr>
        <w:spacing w:before="240" w:after="240"/>
        <w:rPr>
          <w:rFonts w:ascii="Arial" w:hAnsi="Arial"/>
          <w:lang w:val="en-GB"/>
        </w:rPr>
      </w:pPr>
    </w:p>
    <w:p w14:paraId="7E6A3C04" w14:textId="77777777"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lastRenderedPageBreak/>
        <w:t xml:space="preserve">Efficiency ratio </w:t>
      </w:r>
    </w:p>
    <w:p w14:paraId="4C8D5608" w14:textId="77777777"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 xml:space="preserve">The efficiency ratio helps to examine the abilities of different organisations to generate income by utilising their assets and multiple resources (Majka, 2024). This metric helps to identify the internal assets and liabilities of multiple organizations by analysing their equity management and inventory systems.  </w:t>
      </w:r>
    </w:p>
    <w:p w14:paraId="652A5AC7"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04818DB2" wp14:editId="792594F1">
            <wp:extent cx="5157788" cy="2438400"/>
            <wp:effectExtent l="0" t="0" r="0" b="0"/>
            <wp:docPr id="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18"/>
                    <a:srcRect/>
                    <a:stretch>
                      <a:fillRect/>
                    </a:stretch>
                  </pic:blipFill>
                  <pic:spPr>
                    <a:xfrm>
                      <a:off x="0" y="0"/>
                      <a:ext cx="5157788" cy="2438400"/>
                    </a:xfrm>
                    <a:prstGeom prst="rect">
                      <a:avLst/>
                    </a:prstGeom>
                    <a:ln/>
                  </pic:spPr>
                </pic:pic>
              </a:graphicData>
            </a:graphic>
          </wp:inline>
        </w:drawing>
      </w:r>
    </w:p>
    <w:p w14:paraId="24E97763" w14:textId="77777777" w:rsidR="0037456B" w:rsidRPr="005C0761" w:rsidRDefault="0037456B" w:rsidP="00C5012C">
      <w:pPr>
        <w:spacing w:before="240" w:after="240"/>
        <w:jc w:val="center"/>
        <w:rPr>
          <w:rFonts w:ascii="Arial" w:hAnsi="Arial"/>
          <w:b/>
          <w:bCs/>
          <w:lang w:val="en-GB"/>
        </w:rPr>
      </w:pPr>
      <w:r w:rsidRPr="005C0761">
        <w:rPr>
          <w:rFonts w:ascii="Arial" w:hAnsi="Arial"/>
          <w:b/>
          <w:bCs/>
          <w:lang w:val="en-GB"/>
        </w:rPr>
        <w:t xml:space="preserve">Figure 7: Efficiency ratio </w:t>
      </w:r>
    </w:p>
    <w:p w14:paraId="2B95C471" w14:textId="77777777" w:rsidR="0037456B" w:rsidRPr="005C0761" w:rsidRDefault="0037456B" w:rsidP="00C5012C">
      <w:pPr>
        <w:spacing w:before="240" w:after="240"/>
        <w:jc w:val="center"/>
        <w:rPr>
          <w:rFonts w:ascii="Arial" w:hAnsi="Arial"/>
          <w:lang w:val="en-GB"/>
        </w:rPr>
      </w:pPr>
      <w:r w:rsidRPr="005C0761">
        <w:rPr>
          <w:rFonts w:ascii="Arial" w:hAnsi="Arial"/>
          <w:lang w:val="en-GB"/>
        </w:rPr>
        <w:t>(Source: MS Excel )</w:t>
      </w:r>
    </w:p>
    <w:p w14:paraId="2B9DF4B9" w14:textId="50AD2CD4" w:rsidR="0037456B" w:rsidRPr="005C0761" w:rsidRDefault="0037456B" w:rsidP="00C5012C">
      <w:pPr>
        <w:spacing w:before="240" w:after="240"/>
        <w:rPr>
          <w:rFonts w:ascii="Arial" w:hAnsi="Arial"/>
          <w:lang w:val="en-GB"/>
        </w:rPr>
      </w:pPr>
      <w:r w:rsidRPr="005C0761">
        <w:rPr>
          <w:rFonts w:ascii="Arial" w:hAnsi="Arial"/>
          <w:lang w:val="en-GB"/>
        </w:rPr>
        <w:t xml:space="preserve">The above figure 3 shows the rate of efficiency ratio, assets turnover ratio and </w:t>
      </w:r>
      <w:r w:rsidR="000948CF" w:rsidRPr="005C0761">
        <w:rPr>
          <w:rFonts w:ascii="Arial" w:hAnsi="Arial"/>
          <w:lang w:val="en-GB"/>
        </w:rPr>
        <w:t>inventory</w:t>
      </w:r>
      <w:r w:rsidRPr="005C0761">
        <w:rPr>
          <w:rFonts w:ascii="Arial" w:hAnsi="Arial"/>
          <w:lang w:val="en-GB"/>
        </w:rPr>
        <w:t xml:space="preserve"> turnover ratio in its international markets. It shows that the company has fail to sell their existing stocks and services during the period of 2021, as the asset turnover ratio and inventory ratio were identified as 1.68 and 0. The liquidity rate of the year of 2022 shows a strong and efficient sales operation, capital recycling, and is balanced in its organisational context. The years 2023 and 2024 show the high and efficient operational performances </w:t>
      </w:r>
      <w:r w:rsidR="000948CF" w:rsidRPr="005C0761">
        <w:rPr>
          <w:rFonts w:ascii="Arial" w:hAnsi="Arial"/>
          <w:lang w:val="en-GB"/>
        </w:rPr>
        <w:t>and</w:t>
      </w:r>
      <w:r w:rsidRPr="005C0761">
        <w:rPr>
          <w:rFonts w:ascii="Arial" w:hAnsi="Arial"/>
          <w:lang w:val="en-GB"/>
        </w:rPr>
        <w:t xml:space="preserve"> risks, evaluated as the rate of efficiency improved better that the previous. Also, the year 2025 shows the higher efficiency and efficacy in the operational and sales management sector of the company. </w:t>
      </w:r>
    </w:p>
    <w:p w14:paraId="4983DA9D" w14:textId="77777777" w:rsidR="00087FDC" w:rsidRDefault="00087FDC">
      <w:pPr>
        <w:spacing w:line="276" w:lineRule="auto"/>
        <w:jc w:val="left"/>
        <w:rPr>
          <w:rFonts w:ascii="Arial" w:eastAsia="Times New Roman" w:hAnsi="Arial"/>
          <w:b/>
          <w:bCs/>
          <w:szCs w:val="24"/>
          <w:lang w:val="en-GB"/>
        </w:rPr>
      </w:pPr>
      <w:r>
        <w:rPr>
          <w:rFonts w:ascii="Arial" w:eastAsia="Times New Roman" w:hAnsi="Arial"/>
          <w:b/>
          <w:bCs/>
          <w:szCs w:val="24"/>
          <w:lang w:val="en-GB"/>
        </w:rPr>
        <w:br w:type="page"/>
      </w:r>
    </w:p>
    <w:p w14:paraId="65C23698" w14:textId="744D0348"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lastRenderedPageBreak/>
        <w:t xml:space="preserve">Gearing ratio </w:t>
      </w:r>
    </w:p>
    <w:p w14:paraId="66B559CE" w14:textId="77777777"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 xml:space="preserve">Gearing ratio helps to analyse the financial structure of companies by comparing their borrowing levels with their own capital resources </w:t>
      </w:r>
      <w:r w:rsidRPr="005C0761">
        <w:rPr>
          <w:rFonts w:ascii="Arial" w:hAnsi="Arial"/>
          <w:lang w:val="en-GB"/>
        </w:rPr>
        <w:t>(Ulbert</w:t>
      </w:r>
      <w:r w:rsidRPr="005C0761">
        <w:rPr>
          <w:rFonts w:ascii="Arial" w:hAnsi="Arial"/>
          <w:i/>
          <w:iCs/>
          <w:lang w:val="en-GB"/>
        </w:rPr>
        <w:t xml:space="preserve"> et al., </w:t>
      </w:r>
      <w:r w:rsidRPr="005C0761">
        <w:rPr>
          <w:rFonts w:ascii="Arial" w:hAnsi="Arial"/>
          <w:lang w:val="en-GB"/>
        </w:rPr>
        <w:t>2022</w:t>
      </w:r>
      <w:r w:rsidRPr="005C0761">
        <w:rPr>
          <w:rFonts w:ascii="Arial" w:eastAsia="Times New Roman" w:hAnsi="Arial"/>
          <w:szCs w:val="24"/>
          <w:lang w:val="en-GB"/>
        </w:rPr>
        <w:t xml:space="preserve">). This measurement ratio is important to create a comparison with other companies in their international markets. </w:t>
      </w:r>
    </w:p>
    <w:p w14:paraId="564325F3"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31CFD2FE" wp14:editId="0CDE346A">
            <wp:extent cx="5043488" cy="2819400"/>
            <wp:effectExtent l="0" t="0" r="0" b="0"/>
            <wp:docPr id="1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043488" cy="2819400"/>
                    </a:xfrm>
                    <a:prstGeom prst="rect">
                      <a:avLst/>
                    </a:prstGeom>
                    <a:ln/>
                  </pic:spPr>
                </pic:pic>
              </a:graphicData>
            </a:graphic>
          </wp:inline>
        </w:drawing>
      </w:r>
    </w:p>
    <w:p w14:paraId="6913CD9E" w14:textId="77777777" w:rsidR="0037456B" w:rsidRPr="005C0761" w:rsidRDefault="0037456B" w:rsidP="00C5012C">
      <w:pPr>
        <w:spacing w:before="240" w:after="240"/>
        <w:jc w:val="center"/>
        <w:rPr>
          <w:rFonts w:ascii="Arial" w:hAnsi="Arial"/>
          <w:b/>
          <w:bCs/>
          <w:lang w:val="en-GB"/>
        </w:rPr>
      </w:pPr>
      <w:r w:rsidRPr="005C0761">
        <w:rPr>
          <w:rFonts w:ascii="Arial" w:hAnsi="Arial"/>
          <w:b/>
          <w:bCs/>
          <w:lang w:val="en-GB"/>
        </w:rPr>
        <w:t xml:space="preserve">Figure 8: Gearing ratio </w:t>
      </w:r>
    </w:p>
    <w:p w14:paraId="37C40748" w14:textId="77777777" w:rsidR="0037456B" w:rsidRPr="005C0761" w:rsidRDefault="0037456B" w:rsidP="00C5012C">
      <w:pPr>
        <w:spacing w:before="240" w:after="240"/>
        <w:jc w:val="center"/>
        <w:rPr>
          <w:rFonts w:ascii="Arial" w:hAnsi="Arial"/>
          <w:lang w:val="en-GB"/>
        </w:rPr>
      </w:pPr>
      <w:r w:rsidRPr="005C0761">
        <w:rPr>
          <w:rFonts w:ascii="Arial" w:hAnsi="Arial"/>
          <w:lang w:val="en-GB"/>
        </w:rPr>
        <w:t>(Source: MS Excel )</w:t>
      </w:r>
    </w:p>
    <w:p w14:paraId="765829AC" w14:textId="72096BBB" w:rsidR="0037456B" w:rsidRPr="005C0761" w:rsidRDefault="0037456B" w:rsidP="00C5012C">
      <w:pPr>
        <w:spacing w:before="240" w:after="240"/>
        <w:rPr>
          <w:rFonts w:ascii="Arial" w:hAnsi="Arial"/>
          <w:lang w:val="en-GB"/>
        </w:rPr>
      </w:pPr>
      <w:r w:rsidRPr="005C0761">
        <w:rPr>
          <w:rFonts w:ascii="Arial" w:hAnsi="Arial"/>
          <w:lang w:val="en-GB"/>
        </w:rPr>
        <w:t xml:space="preserve">The above figure 4 shows the  rate debt-to-equity ratio and the interest coverage ratio of the company. In the year of 2021 the company face a low leverage and high interest coverage as the value </w:t>
      </w:r>
      <w:r w:rsidR="000948CF" w:rsidRPr="005C0761">
        <w:rPr>
          <w:rFonts w:ascii="Arial" w:hAnsi="Arial"/>
          <w:lang w:val="en-GB"/>
        </w:rPr>
        <w:t>identified</w:t>
      </w:r>
      <w:r w:rsidRPr="005C0761">
        <w:rPr>
          <w:rFonts w:ascii="Arial" w:hAnsi="Arial"/>
          <w:lang w:val="en-GB"/>
        </w:rPr>
        <w:t xml:space="preserve"> as 0.088 and 16.43. The </w:t>
      </w:r>
      <w:r w:rsidR="000948CF" w:rsidRPr="005C0761">
        <w:rPr>
          <w:rFonts w:ascii="Arial" w:hAnsi="Arial"/>
          <w:lang w:val="en-GB"/>
        </w:rPr>
        <w:t>year</w:t>
      </w:r>
      <w:r w:rsidRPr="005C0761">
        <w:rPr>
          <w:rFonts w:ascii="Arial" w:hAnsi="Arial"/>
          <w:lang w:val="en-GB"/>
        </w:rPr>
        <w:t xml:space="preserve"> of 2022 shows that low </w:t>
      </w:r>
      <w:r w:rsidR="000948CF" w:rsidRPr="005C0761">
        <w:rPr>
          <w:rFonts w:ascii="Arial" w:hAnsi="Arial"/>
          <w:lang w:val="en-GB"/>
        </w:rPr>
        <w:t>interact</w:t>
      </w:r>
      <w:r w:rsidRPr="005C0761">
        <w:rPr>
          <w:rFonts w:ascii="Arial" w:hAnsi="Arial"/>
          <w:lang w:val="en-GB"/>
        </w:rPr>
        <w:t xml:space="preserve"> risks and high e3xellecy in debt </w:t>
      </w:r>
      <w:r w:rsidR="000948CF" w:rsidRPr="005C0761">
        <w:rPr>
          <w:rFonts w:ascii="Arial" w:hAnsi="Arial"/>
          <w:lang w:val="en-GB"/>
        </w:rPr>
        <w:t>serving</w:t>
      </w:r>
      <w:r w:rsidRPr="005C0761">
        <w:rPr>
          <w:rFonts w:ascii="Arial" w:hAnsi="Arial"/>
          <w:lang w:val="en-GB"/>
        </w:rPr>
        <w:t xml:space="preserve"> ability as the rate identified at 0.068 and 45.56. The rate of debt-to equity  ratio and interact coverage ratio of  year of 2023 and 2024 shows the low debt equity percentage and high interest coverage in the </w:t>
      </w:r>
      <w:r w:rsidR="000948CF" w:rsidRPr="005C0761">
        <w:rPr>
          <w:rFonts w:ascii="Arial" w:hAnsi="Arial"/>
          <w:lang w:val="en-GB"/>
        </w:rPr>
        <w:t>organisational</w:t>
      </w:r>
      <w:r w:rsidRPr="005C0761">
        <w:rPr>
          <w:rFonts w:ascii="Arial" w:hAnsi="Arial"/>
          <w:lang w:val="en-GB"/>
        </w:rPr>
        <w:t xml:space="preserve"> context. The year of 2025 shows low gearing performances and high interest coverage in the international market. </w:t>
      </w:r>
    </w:p>
    <w:p w14:paraId="2D18DEAC" w14:textId="77777777" w:rsidR="003E1DEA" w:rsidRDefault="003E1DEA">
      <w:pPr>
        <w:spacing w:line="276" w:lineRule="auto"/>
        <w:jc w:val="left"/>
        <w:rPr>
          <w:rFonts w:ascii="Arial" w:eastAsia="Times New Roman" w:hAnsi="Arial"/>
          <w:b/>
          <w:bCs/>
          <w:szCs w:val="24"/>
          <w:lang w:val="en-GB"/>
        </w:rPr>
      </w:pPr>
      <w:r>
        <w:rPr>
          <w:rFonts w:ascii="Arial" w:eastAsia="Times New Roman" w:hAnsi="Arial"/>
          <w:b/>
          <w:bCs/>
          <w:szCs w:val="24"/>
          <w:lang w:val="en-GB"/>
        </w:rPr>
        <w:br w:type="page"/>
      </w:r>
    </w:p>
    <w:p w14:paraId="2F43A77E" w14:textId="49AA80B8"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lastRenderedPageBreak/>
        <w:t xml:space="preserve">Investment ratio </w:t>
      </w:r>
    </w:p>
    <w:p w14:paraId="517D57ED" w14:textId="77777777"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 xml:space="preserve">The investment ratio helps to analyse the amount of invested money and the generated profit from it (Olayinka, 2022). It helps to evaluate the profitability rate of investment by creating a comparison with net investment income. </w:t>
      </w:r>
    </w:p>
    <w:p w14:paraId="50A3000E"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438D8DB1" wp14:editId="28818835">
            <wp:extent cx="5291138" cy="2971800"/>
            <wp:effectExtent l="0" t="0" r="0" b="0"/>
            <wp:docPr id="11"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0"/>
                    <a:srcRect/>
                    <a:stretch>
                      <a:fillRect/>
                    </a:stretch>
                  </pic:blipFill>
                  <pic:spPr>
                    <a:xfrm>
                      <a:off x="0" y="0"/>
                      <a:ext cx="5291138" cy="2971800"/>
                    </a:xfrm>
                    <a:prstGeom prst="rect">
                      <a:avLst/>
                    </a:prstGeom>
                    <a:ln/>
                  </pic:spPr>
                </pic:pic>
              </a:graphicData>
            </a:graphic>
          </wp:inline>
        </w:drawing>
      </w:r>
    </w:p>
    <w:p w14:paraId="1845F493" w14:textId="77777777" w:rsidR="0037456B" w:rsidRPr="005C0761" w:rsidRDefault="0037456B" w:rsidP="00C5012C">
      <w:pPr>
        <w:spacing w:before="240" w:after="240"/>
        <w:jc w:val="center"/>
        <w:rPr>
          <w:rFonts w:ascii="Arial" w:hAnsi="Arial"/>
          <w:b/>
          <w:bCs/>
          <w:lang w:val="en-GB"/>
        </w:rPr>
      </w:pPr>
      <w:r w:rsidRPr="005C0761">
        <w:rPr>
          <w:rFonts w:ascii="Arial" w:hAnsi="Arial"/>
          <w:b/>
          <w:bCs/>
          <w:lang w:val="en-GB"/>
        </w:rPr>
        <w:t>Figure 9: Investment Ratio</w:t>
      </w:r>
    </w:p>
    <w:p w14:paraId="4EC47CEC" w14:textId="77777777" w:rsidR="0037456B" w:rsidRPr="005C0761" w:rsidRDefault="0037456B" w:rsidP="00C5012C">
      <w:pPr>
        <w:spacing w:before="240" w:after="240"/>
        <w:jc w:val="center"/>
        <w:rPr>
          <w:rFonts w:ascii="Arial" w:hAnsi="Arial"/>
          <w:lang w:val="en-GB"/>
        </w:rPr>
      </w:pPr>
      <w:r w:rsidRPr="005C0761">
        <w:rPr>
          <w:rFonts w:ascii="Arial" w:hAnsi="Arial"/>
          <w:lang w:val="en-GB"/>
        </w:rPr>
        <w:t>(Source: MS Excel )</w:t>
      </w:r>
    </w:p>
    <w:p w14:paraId="62F95B8C" w14:textId="5FA09FB9" w:rsidR="0037456B" w:rsidRPr="005C0761" w:rsidRDefault="0037456B" w:rsidP="00C5012C">
      <w:pPr>
        <w:spacing w:before="240" w:after="240"/>
        <w:rPr>
          <w:rFonts w:ascii="Arial" w:hAnsi="Arial"/>
          <w:lang w:val="en-GB"/>
        </w:rPr>
      </w:pPr>
      <w:r w:rsidRPr="005C0761">
        <w:rPr>
          <w:rFonts w:ascii="Arial" w:hAnsi="Arial"/>
          <w:lang w:val="en-GB"/>
        </w:rPr>
        <w:t xml:space="preserve">The above Figure 2 shows the book value per share and earnings per share of the company in its international markets. The rate of 2021 of the company indicates a high profitability, business MS Excel </w:t>
      </w:r>
      <w:r w:rsidR="000948CF" w:rsidRPr="005C0761">
        <w:rPr>
          <w:rFonts w:ascii="Arial" w:hAnsi="Arial"/>
          <w:lang w:val="en-GB"/>
        </w:rPr>
        <w:t>Lence</w:t>
      </w:r>
      <w:r w:rsidRPr="005C0761">
        <w:rPr>
          <w:rFonts w:ascii="Arial" w:hAnsi="Arial"/>
          <w:lang w:val="en-GB"/>
        </w:rPr>
        <w:t xml:space="preserve"> and operational efficiency in the organisational context. The investment rate of 2023 and 2024 indicates high proficiency, high potential value and effective revenue generation in the organisational context. Also, the year 2025 shows high efficiency, profitability, and efficiency in the international market.  </w:t>
      </w:r>
    </w:p>
    <w:p w14:paraId="5A1B77EE" w14:textId="77777777" w:rsidR="009A6075" w:rsidRDefault="009A6075">
      <w:pPr>
        <w:spacing w:line="276" w:lineRule="auto"/>
        <w:jc w:val="left"/>
        <w:rPr>
          <w:rFonts w:ascii="Arial" w:eastAsia="Times New Roman" w:hAnsi="Arial"/>
          <w:b/>
          <w:bCs/>
          <w:szCs w:val="24"/>
          <w:lang w:val="en-GB"/>
        </w:rPr>
      </w:pPr>
      <w:r>
        <w:rPr>
          <w:rFonts w:ascii="Arial" w:eastAsia="Times New Roman" w:hAnsi="Arial"/>
          <w:b/>
          <w:bCs/>
          <w:szCs w:val="24"/>
          <w:lang w:val="en-GB"/>
        </w:rPr>
        <w:br w:type="page"/>
      </w:r>
    </w:p>
    <w:p w14:paraId="133A06B1" w14:textId="40F03484"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lastRenderedPageBreak/>
        <w:t xml:space="preserve">Cash flow ratio </w:t>
      </w:r>
    </w:p>
    <w:p w14:paraId="341F7F4E" w14:textId="77777777"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Evaluating the cash flow ratio can help companies to measure their current debts with the amount of cash in the same period of time (Laghari</w:t>
      </w:r>
      <w:r w:rsidRPr="005C0761">
        <w:rPr>
          <w:rFonts w:ascii="Arial" w:hAnsi="Arial"/>
          <w:i/>
          <w:iCs/>
          <w:lang w:val="en-GB"/>
        </w:rPr>
        <w:t xml:space="preserve"> et al., </w:t>
      </w:r>
      <w:r w:rsidRPr="005C0761">
        <w:rPr>
          <w:rFonts w:ascii="Arial" w:hAnsi="Arial"/>
          <w:lang w:val="en-GB"/>
        </w:rPr>
        <w:t>2023</w:t>
      </w:r>
      <w:r w:rsidRPr="005C0761">
        <w:rPr>
          <w:rFonts w:ascii="Arial" w:eastAsia="Times New Roman" w:hAnsi="Arial"/>
          <w:szCs w:val="24"/>
          <w:lang w:val="en-GB"/>
        </w:rPr>
        <w:t xml:space="preserve">). It is mostly important to measure the liabilities and current debt level of companies.  </w:t>
      </w:r>
    </w:p>
    <w:p w14:paraId="3763A65B"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0C5328FB" wp14:editId="6D57E2D9">
            <wp:extent cx="5014913" cy="2352675"/>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1"/>
                    <a:srcRect/>
                    <a:stretch>
                      <a:fillRect/>
                    </a:stretch>
                  </pic:blipFill>
                  <pic:spPr>
                    <a:xfrm>
                      <a:off x="0" y="0"/>
                      <a:ext cx="5014913" cy="2352675"/>
                    </a:xfrm>
                    <a:prstGeom prst="rect">
                      <a:avLst/>
                    </a:prstGeom>
                    <a:ln/>
                  </pic:spPr>
                </pic:pic>
              </a:graphicData>
            </a:graphic>
          </wp:inline>
        </w:drawing>
      </w:r>
    </w:p>
    <w:p w14:paraId="04F1D4CB" w14:textId="77777777" w:rsidR="0037456B" w:rsidRPr="005C0761" w:rsidRDefault="0037456B" w:rsidP="00C5012C">
      <w:pPr>
        <w:spacing w:before="240" w:after="240"/>
        <w:jc w:val="center"/>
        <w:rPr>
          <w:rFonts w:ascii="Arial" w:hAnsi="Arial"/>
          <w:b/>
          <w:bCs/>
          <w:lang w:val="en-GB"/>
        </w:rPr>
      </w:pPr>
      <w:r w:rsidRPr="005C0761">
        <w:rPr>
          <w:rFonts w:ascii="Arial" w:hAnsi="Arial"/>
          <w:b/>
          <w:bCs/>
          <w:lang w:val="en-GB"/>
        </w:rPr>
        <w:t xml:space="preserve">Figure 10: Cash Flow ratio </w:t>
      </w:r>
    </w:p>
    <w:p w14:paraId="4C7D1A28" w14:textId="77777777" w:rsidR="0037456B" w:rsidRPr="005C0761" w:rsidRDefault="0037456B" w:rsidP="00C5012C">
      <w:pPr>
        <w:spacing w:before="240" w:after="240"/>
        <w:jc w:val="center"/>
        <w:rPr>
          <w:rFonts w:ascii="Arial" w:hAnsi="Arial"/>
          <w:lang w:val="en-GB"/>
        </w:rPr>
      </w:pPr>
      <w:r w:rsidRPr="005C0761">
        <w:rPr>
          <w:rFonts w:ascii="Arial" w:hAnsi="Arial"/>
          <w:lang w:val="en-GB"/>
        </w:rPr>
        <w:t>(Source: MS Excel )</w:t>
      </w:r>
    </w:p>
    <w:p w14:paraId="76614306" w14:textId="4CDA4ECC" w:rsidR="0037456B" w:rsidRPr="005C0761" w:rsidRDefault="0037456B" w:rsidP="00C5012C">
      <w:pPr>
        <w:spacing w:before="240" w:after="240"/>
        <w:rPr>
          <w:rFonts w:ascii="Arial" w:hAnsi="Arial"/>
          <w:lang w:val="en-GB"/>
        </w:rPr>
      </w:pPr>
      <w:r w:rsidRPr="005C0761">
        <w:rPr>
          <w:rFonts w:ascii="Arial" w:hAnsi="Arial"/>
          <w:lang w:val="en-GB"/>
        </w:rPr>
        <w:t xml:space="preserve">The above figure 6 shows the cash flow to debt ratio and operating cash flow ratio of the chosen company in the organisational </w:t>
      </w:r>
      <w:r w:rsidR="000948CF" w:rsidRPr="005C0761">
        <w:rPr>
          <w:rFonts w:ascii="Arial" w:hAnsi="Arial"/>
          <w:lang w:val="en-GB"/>
        </w:rPr>
        <w:t>context. The</w:t>
      </w:r>
      <w:r w:rsidRPr="005C0761">
        <w:rPr>
          <w:rFonts w:ascii="Arial" w:hAnsi="Arial"/>
          <w:lang w:val="en-GB"/>
        </w:rPr>
        <w:t xml:space="preserve"> result of 2022 indicates higher short-term liquidity and moderate long-term leverage in the international market. The result of 2023 indicates that the company stable position to meet debt obligations and can be utilised to debt servicing. The year of </w:t>
      </w:r>
      <w:r w:rsidR="000948CF" w:rsidRPr="005C0761">
        <w:rPr>
          <w:rFonts w:ascii="Arial" w:hAnsi="Arial"/>
          <w:lang w:val="en-GB"/>
        </w:rPr>
        <w:t>2023,</w:t>
      </w:r>
      <w:r w:rsidRPr="005C0761">
        <w:rPr>
          <w:rFonts w:ascii="Arial" w:hAnsi="Arial"/>
          <w:lang w:val="en-GB"/>
        </w:rPr>
        <w:t xml:space="preserve"> 2024 and 2025 show the same positive and high efficiency of debt obligation and debt servicing process capabilities in the international market. </w:t>
      </w:r>
    </w:p>
    <w:p w14:paraId="6E4CF871" w14:textId="77777777" w:rsidR="00666585" w:rsidRDefault="0037456B" w:rsidP="00C5012C">
      <w:pPr>
        <w:pStyle w:val="Heading2"/>
        <w:spacing w:before="240" w:after="240"/>
        <w:rPr>
          <w:rFonts w:ascii="Arial" w:hAnsi="Arial" w:cs="Arial"/>
          <w:lang w:val="en-GB"/>
        </w:rPr>
      </w:pPr>
      <w:bookmarkStart w:id="8" w:name="_mcw3rjed6iq6" w:colFirst="0" w:colLast="0"/>
      <w:bookmarkEnd w:id="8"/>
      <w:r w:rsidRPr="005C0761">
        <w:rPr>
          <w:rFonts w:ascii="Arial" w:hAnsi="Arial" w:cs="Arial"/>
          <w:lang w:val="en-GB"/>
        </w:rPr>
        <w:t xml:space="preserve"> </w:t>
      </w:r>
      <w:bookmarkStart w:id="9" w:name="_Toc227950750"/>
    </w:p>
    <w:p w14:paraId="58CC7ED4" w14:textId="77777777" w:rsidR="00666585" w:rsidRDefault="00666585">
      <w:pPr>
        <w:spacing w:line="276" w:lineRule="auto"/>
        <w:jc w:val="left"/>
        <w:rPr>
          <w:rFonts w:ascii="Arial" w:eastAsia="Times New Roman" w:hAnsi="Arial"/>
          <w:b/>
          <w:bCs/>
          <w:szCs w:val="24"/>
          <w:highlight w:val="white"/>
          <w:lang w:val="en-GB"/>
        </w:rPr>
      </w:pPr>
      <w:r>
        <w:rPr>
          <w:rFonts w:ascii="Arial" w:hAnsi="Arial"/>
          <w:lang w:val="en-GB"/>
        </w:rPr>
        <w:br w:type="page"/>
      </w:r>
    </w:p>
    <w:p w14:paraId="0C553CDC" w14:textId="19E3F220" w:rsidR="0037456B" w:rsidRPr="005C0761" w:rsidRDefault="0037456B" w:rsidP="00C5012C">
      <w:pPr>
        <w:pStyle w:val="Heading2"/>
        <w:spacing w:before="240" w:after="240"/>
        <w:rPr>
          <w:rFonts w:ascii="Arial" w:hAnsi="Arial" w:cs="Arial"/>
          <w:lang w:val="en-GB"/>
        </w:rPr>
      </w:pPr>
      <w:r w:rsidRPr="005C0761">
        <w:rPr>
          <w:rFonts w:ascii="Arial" w:hAnsi="Arial" w:cs="Arial"/>
          <w:lang w:val="en-GB"/>
        </w:rPr>
        <w:lastRenderedPageBreak/>
        <w:t>Analysing the key trends, strengths, and threats</w:t>
      </w:r>
      <w:bookmarkEnd w:id="9"/>
      <w:r w:rsidRPr="005C0761">
        <w:rPr>
          <w:rFonts w:ascii="Arial" w:hAnsi="Arial" w:cs="Arial"/>
          <w:lang w:val="en-GB"/>
        </w:rPr>
        <w:t xml:space="preserve">  </w:t>
      </w:r>
    </w:p>
    <w:p w14:paraId="3D0C8B2E" w14:textId="77777777" w:rsidR="0037456B" w:rsidRPr="005C0761" w:rsidRDefault="0037456B" w:rsidP="00C5012C">
      <w:pPr>
        <w:spacing w:before="240" w:after="240"/>
        <w:rPr>
          <w:rFonts w:ascii="Arial" w:hAnsi="Arial"/>
          <w:b/>
          <w:bCs/>
          <w:lang w:val="en-GB"/>
        </w:rPr>
      </w:pPr>
      <w:r w:rsidRPr="005C0761">
        <w:rPr>
          <w:rFonts w:ascii="Arial" w:hAnsi="Arial"/>
          <w:b/>
          <w:bCs/>
          <w:lang w:val="en-GB"/>
        </w:rPr>
        <w:t xml:space="preserve">Trends </w:t>
      </w:r>
    </w:p>
    <w:p w14:paraId="25443396" w14:textId="7F8AE337" w:rsidR="0037456B" w:rsidRPr="005C0761" w:rsidRDefault="0037456B" w:rsidP="00C5012C">
      <w:pPr>
        <w:spacing w:before="240" w:after="240"/>
        <w:rPr>
          <w:rFonts w:ascii="Arial" w:hAnsi="Arial"/>
          <w:lang w:val="en-GB"/>
        </w:rPr>
      </w:pPr>
      <w:r w:rsidRPr="005C0761">
        <w:rPr>
          <w:rFonts w:ascii="Arial" w:hAnsi="Arial"/>
          <w:lang w:val="en-GB"/>
        </w:rPr>
        <w:t xml:space="preserve">The </w:t>
      </w:r>
      <w:r w:rsidR="000948CF" w:rsidRPr="005C0761">
        <w:rPr>
          <w:rFonts w:ascii="Arial" w:hAnsi="Arial"/>
          <w:lang w:val="en-GB"/>
        </w:rPr>
        <w:t>analysation</w:t>
      </w:r>
      <w:r w:rsidRPr="005C0761">
        <w:rPr>
          <w:rFonts w:ascii="Arial" w:hAnsi="Arial"/>
          <w:lang w:val="en-GB"/>
        </w:rPr>
        <w:t xml:space="preserve"> of multiple </w:t>
      </w:r>
      <w:r w:rsidR="000948CF" w:rsidRPr="005C0761">
        <w:rPr>
          <w:rFonts w:ascii="Arial" w:hAnsi="Arial"/>
          <w:lang w:val="en-GB"/>
        </w:rPr>
        <w:t>ratios</w:t>
      </w:r>
      <w:r w:rsidRPr="005C0761">
        <w:rPr>
          <w:rFonts w:ascii="Arial" w:hAnsi="Arial"/>
          <w:lang w:val="en-GB"/>
        </w:rPr>
        <w:t xml:space="preserve"> can help the company to easily measuring its brand perf</w:t>
      </w:r>
      <w:r w:rsidR="000948CF" w:rsidRPr="005C0761">
        <w:rPr>
          <w:rFonts w:ascii="Arial" w:hAnsi="Arial"/>
          <w:lang w:val="en-GB"/>
        </w:rPr>
        <w:t xml:space="preserve">ormance, </w:t>
      </w:r>
      <w:r w:rsidRPr="005C0761">
        <w:rPr>
          <w:rFonts w:ascii="Arial" w:hAnsi="Arial"/>
          <w:lang w:val="en-GB"/>
        </w:rPr>
        <w:t xml:space="preserve">technological integration and business efficacy in the international sector (Benamara, 2023). It can help the company to foster new trends related to electric cars, software defined vehicles, self-driving vehicles, and usage of alternative fuels in its </w:t>
      </w:r>
      <w:r w:rsidR="000948CF" w:rsidRPr="005C0761">
        <w:rPr>
          <w:rFonts w:ascii="Arial" w:hAnsi="Arial"/>
          <w:lang w:val="en-GB"/>
        </w:rPr>
        <w:t>organisational</w:t>
      </w:r>
      <w:r w:rsidRPr="005C0761">
        <w:rPr>
          <w:rFonts w:ascii="Arial" w:hAnsi="Arial"/>
          <w:lang w:val="en-GB"/>
        </w:rPr>
        <w:t xml:space="preserve"> context. </w:t>
      </w:r>
    </w:p>
    <w:p w14:paraId="447BCD18" w14:textId="77777777" w:rsidR="0037456B" w:rsidRPr="005C0761" w:rsidRDefault="0037456B" w:rsidP="00C5012C">
      <w:pPr>
        <w:spacing w:before="240" w:after="240"/>
        <w:rPr>
          <w:rFonts w:ascii="Arial" w:hAnsi="Arial"/>
          <w:b/>
          <w:bCs/>
          <w:lang w:val="en-GB"/>
        </w:rPr>
      </w:pPr>
      <w:r w:rsidRPr="005C0761">
        <w:rPr>
          <w:rFonts w:ascii="Arial" w:hAnsi="Arial"/>
          <w:b/>
          <w:bCs/>
          <w:lang w:val="en-GB"/>
        </w:rPr>
        <w:t xml:space="preserve">Strengths </w:t>
      </w:r>
    </w:p>
    <w:p w14:paraId="5C77F61F" w14:textId="77777777" w:rsidR="0037456B" w:rsidRPr="005C0761" w:rsidRDefault="0037456B" w:rsidP="00C5012C">
      <w:pPr>
        <w:spacing w:before="240" w:after="240"/>
        <w:rPr>
          <w:rFonts w:ascii="Arial" w:hAnsi="Arial"/>
          <w:lang w:val="en-GB"/>
        </w:rPr>
      </w:pPr>
      <w:r w:rsidRPr="005C0761">
        <w:rPr>
          <w:rFonts w:ascii="Arial" w:hAnsi="Arial"/>
          <w:lang w:val="en-GB"/>
        </w:rPr>
        <w:t>The technological integration and maintaining profitability can help the company to foster multiple strengths related to technological integration, competitive edge, business performance, financial stability and capital integration in the international markets (Almashhadani and Almashhadani, 2023).</w:t>
      </w:r>
    </w:p>
    <w:p w14:paraId="0129EC64" w14:textId="77777777" w:rsidR="0037456B" w:rsidRPr="005C0761" w:rsidRDefault="0037456B" w:rsidP="00C5012C">
      <w:pPr>
        <w:spacing w:before="240" w:after="240"/>
        <w:rPr>
          <w:rFonts w:ascii="Arial" w:hAnsi="Arial"/>
          <w:b/>
          <w:bCs/>
          <w:lang w:val="en-GB"/>
        </w:rPr>
      </w:pPr>
      <w:r w:rsidRPr="005C0761">
        <w:rPr>
          <w:rFonts w:ascii="Arial" w:hAnsi="Arial"/>
          <w:b/>
          <w:bCs/>
          <w:lang w:val="en-GB"/>
        </w:rPr>
        <w:t xml:space="preserve">Threats </w:t>
      </w:r>
    </w:p>
    <w:p w14:paraId="405E65BC" w14:textId="77777777" w:rsidR="0037456B" w:rsidRPr="005C0761" w:rsidRDefault="0037456B" w:rsidP="00C5012C">
      <w:pPr>
        <w:spacing w:before="240" w:after="240"/>
        <w:rPr>
          <w:rFonts w:ascii="Arial" w:hAnsi="Arial"/>
          <w:lang w:val="en-GB"/>
        </w:rPr>
      </w:pPr>
      <w:r w:rsidRPr="005C0761">
        <w:rPr>
          <w:rFonts w:ascii="Arial" w:hAnsi="Arial"/>
          <w:lang w:val="en-GB"/>
        </w:rPr>
        <w:t xml:space="preserve">The company can face multiple threats related to intensified competition, technological erosion, sustainability and efficiency issues and meet the needs of customers. </w:t>
      </w:r>
    </w:p>
    <w:p w14:paraId="74610837" w14:textId="6E902769" w:rsidR="000D48A4" w:rsidRPr="005C0761" w:rsidRDefault="006F65F1" w:rsidP="00C5012C">
      <w:pPr>
        <w:pStyle w:val="Heading1"/>
        <w:spacing w:before="240" w:after="240"/>
        <w:rPr>
          <w:rFonts w:ascii="Arial" w:hAnsi="Arial" w:cs="Arial"/>
          <w:lang w:val="en-GB"/>
        </w:rPr>
      </w:pPr>
      <w:bookmarkStart w:id="10" w:name="_Toc227950751"/>
      <w:r w:rsidRPr="005C0761">
        <w:rPr>
          <w:rFonts w:ascii="Arial" w:hAnsi="Arial" w:cs="Arial"/>
          <w:lang w:val="en-GB"/>
        </w:rPr>
        <w:t>2. Working Capital Management Analysis</w:t>
      </w:r>
      <w:bookmarkEnd w:id="10"/>
      <w:r w:rsidRPr="005C0761">
        <w:rPr>
          <w:rFonts w:ascii="Arial" w:hAnsi="Arial" w:cs="Arial"/>
          <w:lang w:val="en-GB"/>
        </w:rPr>
        <w:t xml:space="preserve"> </w:t>
      </w:r>
    </w:p>
    <w:p w14:paraId="49851AB8" w14:textId="77777777" w:rsidR="000D48A4" w:rsidRPr="005C0761" w:rsidRDefault="006F65F1" w:rsidP="00C5012C">
      <w:pPr>
        <w:spacing w:before="240" w:after="240"/>
        <w:rPr>
          <w:rFonts w:ascii="Arial" w:hAnsi="Arial"/>
          <w:b/>
          <w:bCs/>
          <w:szCs w:val="24"/>
          <w:lang w:val="en-GB"/>
        </w:rPr>
      </w:pPr>
      <w:bookmarkStart w:id="11" w:name="_xnk4yovd3q52" w:colFirst="0" w:colLast="0"/>
      <w:bookmarkEnd w:id="11"/>
      <w:r w:rsidRPr="005C0761">
        <w:rPr>
          <w:rFonts w:ascii="Arial" w:hAnsi="Arial"/>
          <w:szCs w:val="24"/>
          <w:lang w:val="en-GB"/>
        </w:rPr>
        <w:t xml:space="preserve">The analysis of working capital management helps an organisation to evaluate its profitability margin and cash flow records for a certain financial year. Working Capital Management Analysis of Hyundai indicates efficient inventory management and a strong liquidity position. This company maintains an effective liquidity ratio between 1.2 and 1.5 (Bhattacheryay, 2023). The strong liquidity ratio helps this company to pay off its liabilities and debts effectively. On the other hand, efficient inventory management ensures a steady supply of raw materials to run the business smoothly. </w:t>
      </w:r>
    </w:p>
    <w:p w14:paraId="125EDEB0" w14:textId="77777777" w:rsidR="000D48A4" w:rsidRPr="005C0761" w:rsidRDefault="00481F3D" w:rsidP="00C5012C">
      <w:pPr>
        <w:pStyle w:val="Heading2"/>
        <w:spacing w:before="240" w:after="240"/>
        <w:rPr>
          <w:rFonts w:ascii="Arial" w:hAnsi="Arial" w:cs="Arial"/>
          <w:lang w:val="en-GB"/>
        </w:rPr>
      </w:pPr>
      <w:bookmarkStart w:id="12" w:name="_531e5tqath73" w:colFirst="0" w:colLast="0"/>
      <w:bookmarkStart w:id="13" w:name="_Toc227950752"/>
      <w:bookmarkEnd w:id="12"/>
      <w:r w:rsidRPr="005C0761">
        <w:rPr>
          <w:rFonts w:ascii="Arial" w:hAnsi="Arial" w:cs="Arial"/>
          <w:lang w:val="en-GB"/>
        </w:rPr>
        <w:lastRenderedPageBreak/>
        <w:t xml:space="preserve">Analysing the </w:t>
      </w:r>
      <w:r w:rsidR="006F65F1" w:rsidRPr="005C0761">
        <w:rPr>
          <w:rFonts w:ascii="Arial" w:hAnsi="Arial" w:cs="Arial"/>
          <w:lang w:val="en-GB"/>
        </w:rPr>
        <w:t>cash operating cycle</w:t>
      </w:r>
      <w:bookmarkEnd w:id="13"/>
    </w:p>
    <w:p w14:paraId="5C91B13F" w14:textId="77777777" w:rsidR="000D48A4" w:rsidRPr="005C0761" w:rsidRDefault="006F65F1" w:rsidP="00C5012C">
      <w:pPr>
        <w:spacing w:before="240" w:after="240"/>
        <w:rPr>
          <w:rFonts w:ascii="Arial" w:eastAsia="Times New Roman" w:hAnsi="Arial"/>
          <w:szCs w:val="24"/>
          <w:lang w:val="en-GB"/>
        </w:rPr>
      </w:pPr>
      <w:r w:rsidRPr="005C0761">
        <w:rPr>
          <w:rFonts w:ascii="Arial" w:eastAsia="Times New Roman" w:hAnsi="Arial"/>
          <w:szCs w:val="24"/>
          <w:lang w:val="en-GB"/>
        </w:rPr>
        <w:t xml:space="preserve">The cash operating cycle of Hyundai calculates the time between the manufacturing of cars and the purchasing of those cars (Rahman, 2022). The maintenance of a cash operating cycle helps this company to reduce its debts and increase its profitability. </w:t>
      </w:r>
    </w:p>
    <w:p w14:paraId="5C499746" w14:textId="77777777" w:rsidR="000D48A4" w:rsidRPr="005C0761" w:rsidRDefault="006F65F1" w:rsidP="00C5012C">
      <w:pPr>
        <w:spacing w:before="240" w:after="240"/>
        <w:rPr>
          <w:rFonts w:ascii="Arial" w:eastAsia="Times New Roman" w:hAnsi="Arial"/>
          <w:b/>
          <w:bCs/>
          <w:i/>
          <w:iCs/>
          <w:szCs w:val="24"/>
          <w:lang w:val="en-GB"/>
        </w:rPr>
      </w:pPr>
      <w:r w:rsidRPr="005C0761">
        <w:rPr>
          <w:rFonts w:ascii="Arial" w:eastAsia="Times New Roman" w:hAnsi="Arial"/>
          <w:b/>
          <w:bCs/>
          <w:i/>
          <w:iCs/>
          <w:szCs w:val="24"/>
          <w:lang w:val="en-GB"/>
        </w:rPr>
        <w:t>Inventory Days</w:t>
      </w:r>
    </w:p>
    <w:p w14:paraId="0E3D4D05" w14:textId="77777777" w:rsidR="000D48A4" w:rsidRPr="005C0761" w:rsidRDefault="006F65F1" w:rsidP="00C5012C">
      <w:pPr>
        <w:spacing w:before="240" w:after="240"/>
        <w:rPr>
          <w:rFonts w:ascii="Arial" w:eastAsia="Times New Roman" w:hAnsi="Arial"/>
          <w:szCs w:val="24"/>
          <w:lang w:val="en-GB"/>
        </w:rPr>
      </w:pPr>
      <w:r w:rsidRPr="005C0761">
        <w:rPr>
          <w:rFonts w:ascii="Arial" w:eastAsia="Times New Roman" w:hAnsi="Arial"/>
          <w:szCs w:val="24"/>
          <w:lang w:val="en-GB"/>
        </w:rPr>
        <w:t xml:space="preserve">Hyundai needs to maintain a high inventory turnover to maintain a stable marketing presence in the current market dynamics. This company performs this by leveraging its local supply chains (Gakhreja and Thakur, 2024). The utilization of the local supply chain ensures proper availability of raw materials throughout the year. In addition, this company incorporates several digital tools and techniques to efficiently manage its existing stocks. In this context, this company utilises key management techniques, such as the </w:t>
      </w:r>
      <w:r w:rsidR="00481F3D" w:rsidRPr="005C0761">
        <w:rPr>
          <w:rFonts w:ascii="Arial" w:eastAsia="Times New Roman" w:hAnsi="Arial"/>
          <w:szCs w:val="24"/>
          <w:lang w:val="en-GB"/>
        </w:rPr>
        <w:t>utilization</w:t>
      </w:r>
      <w:r w:rsidRPr="005C0761">
        <w:rPr>
          <w:rFonts w:ascii="Arial" w:eastAsia="Times New Roman" w:hAnsi="Arial"/>
          <w:szCs w:val="24"/>
          <w:lang w:val="en-GB"/>
        </w:rPr>
        <w:t xml:space="preserve"> of finished goods, production flexibility, and integration of digital tools. All these measures have effectively helped this company to reduce the overall inventory days from 29.8 to 23.8 days in the year 2026. The reduction in the number of inventory days helps to reduce the overall operational expenses and reduce supply chain shortages (Srivastava and Bag, 2023). In India, Hyundai utilises a </w:t>
      </w:r>
      <w:r w:rsidR="00481F3D" w:rsidRPr="005C0761">
        <w:rPr>
          <w:rFonts w:ascii="Arial" w:eastAsia="Times New Roman" w:hAnsi="Arial"/>
          <w:szCs w:val="24"/>
          <w:lang w:val="en-GB"/>
        </w:rPr>
        <w:t>localized</w:t>
      </w:r>
      <w:r w:rsidRPr="005C0761">
        <w:rPr>
          <w:rFonts w:ascii="Arial" w:eastAsia="Times New Roman" w:hAnsi="Arial"/>
          <w:szCs w:val="24"/>
          <w:lang w:val="en-GB"/>
        </w:rPr>
        <w:t xml:space="preserve"> supply chain strategy to get its raw materials. This strategy helps the organisation to reduce problems associated with the limited availability of raw materials. </w:t>
      </w:r>
    </w:p>
    <w:p w14:paraId="60C08491" w14:textId="77777777" w:rsidR="000D48A4" w:rsidRPr="005C0761" w:rsidRDefault="006F65F1" w:rsidP="00C5012C">
      <w:pPr>
        <w:spacing w:before="240" w:after="240"/>
        <w:rPr>
          <w:rFonts w:ascii="Arial" w:eastAsia="Times New Roman" w:hAnsi="Arial"/>
          <w:b/>
          <w:bCs/>
          <w:i/>
          <w:iCs/>
          <w:szCs w:val="24"/>
          <w:lang w:val="en-GB"/>
        </w:rPr>
      </w:pPr>
      <w:r w:rsidRPr="005C0761">
        <w:rPr>
          <w:rFonts w:ascii="Arial" w:eastAsia="Times New Roman" w:hAnsi="Arial"/>
          <w:b/>
          <w:bCs/>
          <w:i/>
          <w:iCs/>
          <w:szCs w:val="24"/>
          <w:lang w:val="en-GB"/>
        </w:rPr>
        <w:t>Receivables (Credit Terms)</w:t>
      </w:r>
    </w:p>
    <w:p w14:paraId="54AAA104" w14:textId="77777777" w:rsidR="000D48A4" w:rsidRPr="005C0761" w:rsidRDefault="006F65F1" w:rsidP="00C5012C">
      <w:pPr>
        <w:spacing w:before="240" w:after="240"/>
        <w:rPr>
          <w:rFonts w:ascii="Arial" w:eastAsia="Times New Roman" w:hAnsi="Arial"/>
          <w:szCs w:val="24"/>
          <w:lang w:val="en-GB"/>
        </w:rPr>
      </w:pPr>
      <w:r w:rsidRPr="005C0761">
        <w:rPr>
          <w:rFonts w:ascii="Arial" w:eastAsia="Times New Roman" w:hAnsi="Arial"/>
          <w:szCs w:val="24"/>
          <w:lang w:val="en-GB"/>
        </w:rPr>
        <w:t xml:space="preserve">Hyundai needs to maintain a strong and healthy relationship with its dealers. This is because a strong dealership relationship helps this company to ensure the timely collection of its products (Hilmi </w:t>
      </w:r>
      <w:r w:rsidRPr="005C0761">
        <w:rPr>
          <w:rFonts w:ascii="Arial" w:eastAsia="Times New Roman" w:hAnsi="Arial"/>
          <w:i/>
          <w:iCs/>
          <w:szCs w:val="24"/>
          <w:lang w:val="en-GB"/>
        </w:rPr>
        <w:t>et al</w:t>
      </w:r>
      <w:r w:rsidRPr="005C0761">
        <w:rPr>
          <w:rFonts w:ascii="Arial" w:eastAsia="Times New Roman" w:hAnsi="Arial"/>
          <w:szCs w:val="24"/>
          <w:lang w:val="en-GB"/>
        </w:rPr>
        <w:t>., 2025). In this context, this organisation manages its receivable dealer accounts to balance its credit and cash flow. In this regard, maintaining a professional relationship with dealers helps the company to reduce monetary disputes within the organisation (Oh</w:t>
      </w:r>
      <w:r w:rsidRPr="005C0761">
        <w:rPr>
          <w:rFonts w:ascii="Arial" w:eastAsia="Times New Roman" w:hAnsi="Arial"/>
          <w:i/>
          <w:iCs/>
          <w:szCs w:val="24"/>
          <w:lang w:val="en-GB"/>
        </w:rPr>
        <w:t xml:space="preserve"> et al</w:t>
      </w:r>
      <w:r w:rsidRPr="005C0761">
        <w:rPr>
          <w:rFonts w:ascii="Arial" w:eastAsia="Times New Roman" w:hAnsi="Arial"/>
          <w:szCs w:val="24"/>
          <w:lang w:val="en-GB"/>
        </w:rPr>
        <w:t xml:space="preserve">., 2023). Clear credit terms and taxation policies can help a company to ensure consistency in its raw material supply and product marketing. It has been observed that dealers often serve as important customers for the organisation, and </w:t>
      </w:r>
      <w:r w:rsidRPr="005C0761">
        <w:rPr>
          <w:rFonts w:ascii="Arial" w:eastAsia="Times New Roman" w:hAnsi="Arial"/>
          <w:szCs w:val="24"/>
          <w:lang w:val="en-GB"/>
        </w:rPr>
        <w:lastRenderedPageBreak/>
        <w:t xml:space="preserve">hence offering discounts helps to gain profits faster (Narain, 2022). This is particularly beneficial for the company </w:t>
      </w:r>
      <w:r w:rsidR="00481F3D" w:rsidRPr="005C0761">
        <w:rPr>
          <w:rFonts w:ascii="Arial" w:eastAsia="Times New Roman" w:hAnsi="Arial"/>
          <w:szCs w:val="24"/>
          <w:lang w:val="en-GB"/>
        </w:rPr>
        <w:t>and</w:t>
      </w:r>
      <w:r w:rsidRPr="005C0761">
        <w:rPr>
          <w:rFonts w:ascii="Arial" w:eastAsia="Times New Roman" w:hAnsi="Arial"/>
          <w:szCs w:val="24"/>
          <w:lang w:val="en-GB"/>
        </w:rPr>
        <w:t xml:space="preserve"> helps to increase its profit margins. </w:t>
      </w:r>
    </w:p>
    <w:p w14:paraId="30EFF756" w14:textId="77777777" w:rsidR="000D48A4" w:rsidRPr="005C0761" w:rsidRDefault="006F65F1" w:rsidP="00C5012C">
      <w:pPr>
        <w:pStyle w:val="Heading2"/>
        <w:spacing w:before="240" w:after="240"/>
        <w:rPr>
          <w:rFonts w:ascii="Arial" w:hAnsi="Arial" w:cs="Arial"/>
          <w:lang w:val="en-GB"/>
        </w:rPr>
      </w:pPr>
      <w:bookmarkStart w:id="14" w:name="_wk00bdqschbx" w:colFirst="0" w:colLast="0"/>
      <w:bookmarkStart w:id="15" w:name="_Toc227950753"/>
      <w:bookmarkEnd w:id="14"/>
      <w:r w:rsidRPr="005C0761">
        <w:rPr>
          <w:rFonts w:ascii="Arial" w:hAnsi="Arial" w:cs="Arial"/>
          <w:lang w:val="en-GB"/>
        </w:rPr>
        <w:t>Recommendation of strategies to improve liquidity through working capital reforms</w:t>
      </w:r>
      <w:bookmarkEnd w:id="15"/>
    </w:p>
    <w:p w14:paraId="00F072C4" w14:textId="77777777" w:rsidR="000D48A4" w:rsidRPr="005C0761" w:rsidRDefault="006F65F1" w:rsidP="00C5012C">
      <w:pPr>
        <w:spacing w:before="240" w:after="240"/>
        <w:rPr>
          <w:rFonts w:ascii="Arial" w:eastAsia="Times New Roman" w:hAnsi="Arial"/>
          <w:szCs w:val="24"/>
          <w:lang w:val="en-GB"/>
        </w:rPr>
      </w:pPr>
      <w:r w:rsidRPr="005C0761">
        <w:rPr>
          <w:rFonts w:ascii="Arial" w:eastAsia="Times New Roman" w:hAnsi="Arial"/>
          <w:szCs w:val="24"/>
          <w:lang w:val="en-GB"/>
        </w:rPr>
        <w:t xml:space="preserve">Hyundai needs to adopt various strategies to improve its liquidity margins. These strategies include accelerating the receivable collections, </w:t>
      </w:r>
      <w:r w:rsidR="00481F3D" w:rsidRPr="005C0761">
        <w:rPr>
          <w:rFonts w:ascii="Arial" w:eastAsia="Times New Roman" w:hAnsi="Arial"/>
          <w:szCs w:val="24"/>
          <w:lang w:val="en-GB"/>
        </w:rPr>
        <w:t>optimizing</w:t>
      </w:r>
      <w:r w:rsidRPr="005C0761">
        <w:rPr>
          <w:rFonts w:ascii="Arial" w:eastAsia="Times New Roman" w:hAnsi="Arial"/>
          <w:szCs w:val="24"/>
          <w:lang w:val="en-GB"/>
        </w:rPr>
        <w:t xml:space="preserve"> the payable accounts, and reducing the inventory days. In addition, Hyundai needs to constantly monitor its credit scores to effectively reduce debts and liabilities. </w:t>
      </w:r>
    </w:p>
    <w:p w14:paraId="236F787C" w14:textId="77777777" w:rsidR="000D48A4" w:rsidRPr="005C0761" w:rsidRDefault="006F65F1" w:rsidP="00C5012C">
      <w:pPr>
        <w:spacing w:before="240" w:after="240"/>
        <w:rPr>
          <w:rFonts w:ascii="Arial" w:eastAsia="Times New Roman" w:hAnsi="Arial"/>
          <w:b/>
          <w:bCs/>
          <w:i/>
          <w:iCs/>
          <w:szCs w:val="24"/>
          <w:lang w:val="en-GB"/>
        </w:rPr>
      </w:pPr>
      <w:r w:rsidRPr="005C0761">
        <w:rPr>
          <w:rFonts w:ascii="Arial" w:eastAsia="Times New Roman" w:hAnsi="Arial"/>
          <w:b/>
          <w:bCs/>
          <w:i/>
          <w:iCs/>
          <w:szCs w:val="24"/>
          <w:lang w:val="en-GB"/>
        </w:rPr>
        <w:t xml:space="preserve">Credit Check and Management </w:t>
      </w:r>
    </w:p>
    <w:p w14:paraId="066DF821" w14:textId="77777777" w:rsidR="000D48A4" w:rsidRPr="005C0761" w:rsidRDefault="006F65F1" w:rsidP="00C5012C">
      <w:pPr>
        <w:spacing w:before="240" w:after="240"/>
        <w:rPr>
          <w:rFonts w:ascii="Arial" w:eastAsia="Times New Roman" w:hAnsi="Arial"/>
          <w:szCs w:val="24"/>
          <w:lang w:val="en-GB"/>
        </w:rPr>
      </w:pPr>
      <w:r w:rsidRPr="005C0761">
        <w:rPr>
          <w:rFonts w:ascii="Arial" w:eastAsia="Times New Roman" w:hAnsi="Arial"/>
          <w:szCs w:val="24"/>
          <w:lang w:val="en-GB"/>
        </w:rPr>
        <w:t xml:space="preserve">This organisation needs to effectively monitor and manage the credit scores to reduce the chances of potential debts. In this context, this company rigorously checks for accurate invoices and bills from dealers to avoid monetary disputes. This company strictly monitors the financial records of its new dealers to identify their efficacy in increasing the cash flow of this company (Banerjee, 2025). New dealers are assessed by company officials to analyse their efficacy in maintaining a stable economic growth for this company. The organisation has observed a significant reduction in the rate of receivable accounts, which further enhances the liquidity margins (Crisp </w:t>
      </w:r>
      <w:r w:rsidRPr="005C0761">
        <w:rPr>
          <w:rFonts w:ascii="Arial" w:eastAsia="Times New Roman" w:hAnsi="Arial"/>
          <w:i/>
          <w:iCs/>
          <w:szCs w:val="24"/>
          <w:lang w:val="en-GB"/>
        </w:rPr>
        <w:t>et al.</w:t>
      </w:r>
      <w:r w:rsidRPr="005C0761">
        <w:rPr>
          <w:rFonts w:ascii="Arial" w:eastAsia="Times New Roman" w:hAnsi="Arial"/>
          <w:szCs w:val="24"/>
          <w:lang w:val="en-GB"/>
        </w:rPr>
        <w:t xml:space="preserve">, 2024). This has happened because of constantly monitoring the credit scores of the company and dealer relationships. </w:t>
      </w:r>
    </w:p>
    <w:p w14:paraId="43D4C91E" w14:textId="77777777" w:rsidR="000D48A4" w:rsidRPr="005C0761" w:rsidRDefault="006F65F1" w:rsidP="00C5012C">
      <w:pPr>
        <w:spacing w:before="240" w:after="240"/>
        <w:rPr>
          <w:rFonts w:ascii="Arial" w:eastAsia="Times New Roman" w:hAnsi="Arial"/>
          <w:b/>
          <w:bCs/>
          <w:i/>
          <w:iCs/>
          <w:szCs w:val="24"/>
          <w:lang w:val="en-GB"/>
        </w:rPr>
      </w:pPr>
      <w:r w:rsidRPr="005C0761">
        <w:rPr>
          <w:rFonts w:ascii="Arial" w:eastAsia="Times New Roman" w:hAnsi="Arial"/>
          <w:b/>
          <w:bCs/>
          <w:i/>
          <w:iCs/>
          <w:szCs w:val="24"/>
          <w:lang w:val="en-GB"/>
        </w:rPr>
        <w:t>Accelerate Receivables Collection</w:t>
      </w:r>
    </w:p>
    <w:p w14:paraId="55344BCB" w14:textId="71BF0DE4" w:rsidR="000D48A4" w:rsidRPr="005C0761" w:rsidRDefault="006F65F1" w:rsidP="00C5012C">
      <w:pPr>
        <w:spacing w:before="240" w:after="240"/>
        <w:rPr>
          <w:rFonts w:ascii="Arial" w:eastAsia="Times New Roman" w:hAnsi="Arial"/>
          <w:szCs w:val="24"/>
          <w:lang w:val="en-GB"/>
        </w:rPr>
      </w:pPr>
      <w:r w:rsidRPr="005C0761">
        <w:rPr>
          <w:rFonts w:ascii="Arial" w:eastAsia="Times New Roman" w:hAnsi="Arial"/>
          <w:szCs w:val="24"/>
          <w:lang w:val="en-GB"/>
        </w:rPr>
        <w:t xml:space="preserve">Hyundai needs to offer discounts to those dealers, those who efficiently settle deals faster. This strategy helps to motivate the dealers to bring in more economic benefits to this company. On the other hand, Hyundai needs to introduce automated invoicing strategies to speed up the cycle and market its products faster (Quan, 2022). In addition, the generation of automated invoices helps to reduce the rate of manual </w:t>
      </w:r>
      <w:r w:rsidR="000948CF" w:rsidRPr="005C0761">
        <w:rPr>
          <w:rFonts w:ascii="Arial" w:eastAsia="Times New Roman" w:hAnsi="Arial"/>
          <w:szCs w:val="24"/>
          <w:lang w:val="en-GB"/>
        </w:rPr>
        <w:t>labour</w:t>
      </w:r>
      <w:r w:rsidRPr="005C0761">
        <w:rPr>
          <w:rFonts w:ascii="Arial" w:eastAsia="Times New Roman" w:hAnsi="Arial"/>
          <w:szCs w:val="24"/>
          <w:lang w:val="en-GB"/>
        </w:rPr>
        <w:t xml:space="preserve"> and saves time. It has also been observed that automatic invoicing helps to reduce the occurrence of errors in calculation (Milosheski and Karadimce, 2025). This, in turn, helps to manage the accounts faster and enhances visibility of the brand. </w:t>
      </w:r>
    </w:p>
    <w:p w14:paraId="524C7C44" w14:textId="77777777" w:rsidR="000D48A4" w:rsidRPr="005C0761" w:rsidRDefault="006F65F1" w:rsidP="00C5012C">
      <w:pPr>
        <w:spacing w:before="240" w:after="240"/>
        <w:rPr>
          <w:rFonts w:ascii="Arial" w:eastAsia="Times New Roman" w:hAnsi="Arial"/>
          <w:b/>
          <w:bCs/>
          <w:i/>
          <w:iCs/>
          <w:szCs w:val="24"/>
          <w:lang w:val="en-GB"/>
        </w:rPr>
      </w:pPr>
      <w:r w:rsidRPr="005C0761">
        <w:rPr>
          <w:rFonts w:ascii="Arial" w:eastAsia="Times New Roman" w:hAnsi="Arial"/>
          <w:b/>
          <w:bCs/>
          <w:i/>
          <w:iCs/>
          <w:szCs w:val="24"/>
          <w:lang w:val="en-GB"/>
        </w:rPr>
        <w:lastRenderedPageBreak/>
        <w:t>Optimize Accounts Payable</w:t>
      </w:r>
    </w:p>
    <w:p w14:paraId="5B482E85" w14:textId="77777777" w:rsidR="000D48A4" w:rsidRPr="005C0761" w:rsidRDefault="006F65F1" w:rsidP="00C5012C">
      <w:pPr>
        <w:spacing w:before="240" w:after="240"/>
        <w:rPr>
          <w:rFonts w:ascii="Arial" w:hAnsi="Arial"/>
          <w:lang w:val="en-GB"/>
        </w:rPr>
      </w:pPr>
      <w:r w:rsidRPr="005C0761">
        <w:rPr>
          <w:rFonts w:ascii="Arial" w:eastAsia="Times New Roman" w:hAnsi="Arial"/>
          <w:szCs w:val="24"/>
          <w:lang w:val="en-GB"/>
        </w:rPr>
        <w:t xml:space="preserve">There are times when suppliers impose high interest rates on raw materials due to large distances. This, in turn, highly constrains the relationships with its supplier and causes a disruptive supply chain. In this scenario, Hyundai needs to negotiate effectively with suppliers to extend the payment period (Meyer </w:t>
      </w:r>
      <w:r w:rsidRPr="005C0761">
        <w:rPr>
          <w:rFonts w:ascii="Arial" w:eastAsia="Times New Roman" w:hAnsi="Arial"/>
          <w:i/>
          <w:iCs/>
          <w:szCs w:val="24"/>
          <w:lang w:val="en-GB"/>
        </w:rPr>
        <w:t>et al</w:t>
      </w:r>
      <w:r w:rsidRPr="005C0761">
        <w:rPr>
          <w:rFonts w:ascii="Arial" w:eastAsia="Times New Roman" w:hAnsi="Arial"/>
          <w:szCs w:val="24"/>
          <w:lang w:val="en-GB"/>
        </w:rPr>
        <w:t xml:space="preserve">., 2023). This extension helps this company to avoid monetary disputes and delays in production and marketing.   </w:t>
      </w:r>
    </w:p>
    <w:p w14:paraId="7B2D7AC8" w14:textId="77777777" w:rsidR="000D48A4" w:rsidRPr="005C0761" w:rsidRDefault="006F65F1" w:rsidP="00C5012C">
      <w:pPr>
        <w:pStyle w:val="Heading2"/>
        <w:spacing w:before="240" w:after="240"/>
        <w:rPr>
          <w:rFonts w:ascii="Arial" w:hAnsi="Arial" w:cs="Arial"/>
          <w:lang w:val="en-GB"/>
        </w:rPr>
      </w:pPr>
      <w:bookmarkStart w:id="16" w:name="_1grt2gf3c3rn" w:colFirst="0" w:colLast="0"/>
      <w:bookmarkStart w:id="17" w:name="_Toc227950754"/>
      <w:bookmarkEnd w:id="16"/>
      <w:r w:rsidRPr="005C0761">
        <w:rPr>
          <w:rFonts w:ascii="Arial" w:hAnsi="Arial" w:cs="Arial"/>
          <w:lang w:val="en-GB"/>
        </w:rPr>
        <w:t xml:space="preserve">Comparison </w:t>
      </w:r>
      <w:r w:rsidR="00481F3D" w:rsidRPr="005C0761">
        <w:rPr>
          <w:rFonts w:ascii="Arial" w:hAnsi="Arial" w:cs="Arial"/>
          <w:lang w:val="en-GB"/>
        </w:rPr>
        <w:t>of short</w:t>
      </w:r>
      <w:r w:rsidRPr="005C0761">
        <w:rPr>
          <w:rFonts w:ascii="Arial" w:hAnsi="Arial" w:cs="Arial"/>
          <w:lang w:val="en-GB"/>
        </w:rPr>
        <w:t>-term and long-term financing options</w:t>
      </w:r>
      <w:bookmarkEnd w:id="17"/>
    </w:p>
    <w:tbl>
      <w:tblPr>
        <w:tblStyle w:val="a"/>
        <w:tblW w:w="9360" w:type="dxa"/>
        <w:tblInd w:w="-1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0D48A4" w:rsidRPr="005C0761" w14:paraId="5B3AF3A3" w14:textId="77777777">
        <w:tc>
          <w:tcPr>
            <w:tcW w:w="3120" w:type="dxa"/>
            <w:tcMar>
              <w:top w:w="100" w:type="dxa"/>
              <w:left w:w="100" w:type="dxa"/>
              <w:bottom w:w="100" w:type="dxa"/>
              <w:right w:w="100" w:type="dxa"/>
            </w:tcMar>
          </w:tcPr>
          <w:p w14:paraId="1ACC3C06" w14:textId="77777777" w:rsidR="000D48A4" w:rsidRPr="005C0761" w:rsidRDefault="006F65F1" w:rsidP="0005173B">
            <w:pPr>
              <w:widowControl w:val="0"/>
              <w:pBdr>
                <w:top w:val="nil"/>
                <w:left w:val="nil"/>
                <w:bottom w:val="nil"/>
                <w:right w:val="nil"/>
                <w:between w:val="nil"/>
              </w:pBdr>
              <w:jc w:val="center"/>
              <w:rPr>
                <w:rFonts w:ascii="Arial" w:eastAsia="Times New Roman" w:hAnsi="Arial"/>
                <w:b/>
                <w:bCs/>
                <w:szCs w:val="24"/>
                <w:lang w:val="en-GB"/>
              </w:rPr>
            </w:pPr>
            <w:r w:rsidRPr="005C0761">
              <w:rPr>
                <w:rFonts w:ascii="Arial" w:eastAsia="Times New Roman" w:hAnsi="Arial"/>
                <w:b/>
                <w:bCs/>
                <w:szCs w:val="24"/>
                <w:lang w:val="en-GB"/>
              </w:rPr>
              <w:t>Components</w:t>
            </w:r>
          </w:p>
        </w:tc>
        <w:tc>
          <w:tcPr>
            <w:tcW w:w="3120" w:type="dxa"/>
            <w:tcMar>
              <w:top w:w="100" w:type="dxa"/>
              <w:left w:w="100" w:type="dxa"/>
              <w:bottom w:w="100" w:type="dxa"/>
              <w:right w:w="100" w:type="dxa"/>
            </w:tcMar>
          </w:tcPr>
          <w:p w14:paraId="28278547" w14:textId="77777777" w:rsidR="000D48A4" w:rsidRPr="005C0761" w:rsidRDefault="006F65F1" w:rsidP="0005173B">
            <w:pPr>
              <w:widowControl w:val="0"/>
              <w:pBdr>
                <w:top w:val="nil"/>
                <w:left w:val="nil"/>
                <w:bottom w:val="nil"/>
                <w:right w:val="nil"/>
                <w:between w:val="nil"/>
              </w:pBdr>
              <w:jc w:val="center"/>
              <w:rPr>
                <w:rFonts w:ascii="Arial" w:eastAsia="Times New Roman" w:hAnsi="Arial"/>
                <w:b/>
                <w:bCs/>
                <w:szCs w:val="24"/>
                <w:lang w:val="en-GB"/>
              </w:rPr>
            </w:pPr>
            <w:r w:rsidRPr="005C0761">
              <w:rPr>
                <w:rFonts w:ascii="Arial" w:eastAsia="Times New Roman" w:hAnsi="Arial"/>
                <w:b/>
                <w:bCs/>
                <w:szCs w:val="24"/>
                <w:lang w:val="en-GB"/>
              </w:rPr>
              <w:t>Short-term Financing</w:t>
            </w:r>
          </w:p>
        </w:tc>
        <w:tc>
          <w:tcPr>
            <w:tcW w:w="3120" w:type="dxa"/>
            <w:tcMar>
              <w:top w:w="100" w:type="dxa"/>
              <w:left w:w="100" w:type="dxa"/>
              <w:bottom w:w="100" w:type="dxa"/>
              <w:right w:w="100" w:type="dxa"/>
            </w:tcMar>
          </w:tcPr>
          <w:p w14:paraId="0F30B922" w14:textId="77777777" w:rsidR="000D48A4" w:rsidRPr="005C0761" w:rsidRDefault="006F65F1" w:rsidP="0005173B">
            <w:pPr>
              <w:widowControl w:val="0"/>
              <w:pBdr>
                <w:top w:val="nil"/>
                <w:left w:val="nil"/>
                <w:bottom w:val="nil"/>
                <w:right w:val="nil"/>
                <w:between w:val="nil"/>
              </w:pBdr>
              <w:jc w:val="center"/>
              <w:rPr>
                <w:rFonts w:ascii="Arial" w:eastAsia="Times New Roman" w:hAnsi="Arial"/>
                <w:b/>
                <w:bCs/>
                <w:szCs w:val="24"/>
                <w:lang w:val="en-GB"/>
              </w:rPr>
            </w:pPr>
            <w:r w:rsidRPr="005C0761">
              <w:rPr>
                <w:rFonts w:ascii="Arial" w:eastAsia="Times New Roman" w:hAnsi="Arial"/>
                <w:b/>
                <w:bCs/>
                <w:szCs w:val="24"/>
                <w:lang w:val="en-GB"/>
              </w:rPr>
              <w:t>Long-term Financing</w:t>
            </w:r>
          </w:p>
        </w:tc>
      </w:tr>
      <w:tr w:rsidR="000D48A4" w:rsidRPr="005C0761" w14:paraId="2EC416C8" w14:textId="77777777">
        <w:tc>
          <w:tcPr>
            <w:tcW w:w="3120" w:type="dxa"/>
            <w:tcMar>
              <w:top w:w="100" w:type="dxa"/>
              <w:left w:w="100" w:type="dxa"/>
              <w:bottom w:w="100" w:type="dxa"/>
              <w:right w:w="100" w:type="dxa"/>
            </w:tcMar>
          </w:tcPr>
          <w:p w14:paraId="7FA1AD72" w14:textId="77777777" w:rsidR="000D48A4" w:rsidRPr="005C0761" w:rsidRDefault="006F65F1" w:rsidP="0005173B">
            <w:pPr>
              <w:widowControl w:val="0"/>
              <w:pBdr>
                <w:top w:val="nil"/>
                <w:left w:val="nil"/>
                <w:bottom w:val="nil"/>
                <w:right w:val="nil"/>
                <w:between w:val="nil"/>
              </w:pBdr>
              <w:rPr>
                <w:rFonts w:ascii="Arial" w:eastAsia="Times New Roman" w:hAnsi="Arial"/>
                <w:b/>
                <w:bCs/>
                <w:szCs w:val="24"/>
                <w:lang w:val="en-GB"/>
              </w:rPr>
            </w:pPr>
            <w:r w:rsidRPr="005C0761">
              <w:rPr>
                <w:rFonts w:ascii="Arial" w:eastAsia="Times New Roman" w:hAnsi="Arial"/>
                <w:b/>
                <w:bCs/>
                <w:szCs w:val="24"/>
                <w:lang w:val="en-GB"/>
              </w:rPr>
              <w:t>1. Product</w:t>
            </w:r>
          </w:p>
        </w:tc>
        <w:tc>
          <w:tcPr>
            <w:tcW w:w="3120" w:type="dxa"/>
            <w:tcMar>
              <w:top w:w="100" w:type="dxa"/>
              <w:left w:w="100" w:type="dxa"/>
              <w:bottom w:w="100" w:type="dxa"/>
              <w:right w:w="100" w:type="dxa"/>
            </w:tcMar>
          </w:tcPr>
          <w:p w14:paraId="7887EA91" w14:textId="77777777" w:rsidR="000D48A4" w:rsidRPr="005C0761" w:rsidRDefault="006F65F1" w:rsidP="0005173B">
            <w:pPr>
              <w:widowControl w:val="0"/>
              <w:pBdr>
                <w:top w:val="nil"/>
                <w:left w:val="nil"/>
                <w:bottom w:val="nil"/>
                <w:right w:val="nil"/>
                <w:between w:val="nil"/>
              </w:pBdr>
              <w:rPr>
                <w:rFonts w:ascii="Arial" w:eastAsia="Times New Roman" w:hAnsi="Arial"/>
                <w:szCs w:val="24"/>
                <w:lang w:val="en-GB"/>
              </w:rPr>
            </w:pPr>
            <w:r w:rsidRPr="005C0761">
              <w:rPr>
                <w:rFonts w:ascii="Arial" w:eastAsia="Times New Roman" w:hAnsi="Arial"/>
                <w:szCs w:val="24"/>
                <w:lang w:val="en-GB"/>
              </w:rPr>
              <w:t>The short-term financing options include funding daily operations, such as inventory and credit management.</w:t>
            </w:r>
          </w:p>
        </w:tc>
        <w:tc>
          <w:tcPr>
            <w:tcW w:w="3120" w:type="dxa"/>
            <w:tcMar>
              <w:top w:w="100" w:type="dxa"/>
              <w:left w:w="100" w:type="dxa"/>
              <w:bottom w:w="100" w:type="dxa"/>
              <w:right w:w="100" w:type="dxa"/>
            </w:tcMar>
          </w:tcPr>
          <w:p w14:paraId="113EBC22" w14:textId="77777777" w:rsidR="000D48A4" w:rsidRPr="005C0761" w:rsidRDefault="006F65F1" w:rsidP="0005173B">
            <w:pPr>
              <w:widowControl w:val="0"/>
              <w:pBdr>
                <w:top w:val="nil"/>
                <w:left w:val="nil"/>
                <w:bottom w:val="nil"/>
                <w:right w:val="nil"/>
                <w:between w:val="nil"/>
              </w:pBdr>
              <w:rPr>
                <w:rFonts w:ascii="Arial" w:eastAsia="Times New Roman" w:hAnsi="Arial"/>
                <w:szCs w:val="24"/>
                <w:lang w:val="en-GB"/>
              </w:rPr>
            </w:pPr>
            <w:r w:rsidRPr="005C0761">
              <w:rPr>
                <w:rFonts w:ascii="Arial" w:eastAsia="Times New Roman" w:hAnsi="Arial"/>
                <w:szCs w:val="24"/>
                <w:lang w:val="en-GB"/>
              </w:rPr>
              <w:t xml:space="preserve">The long-term financing options include the purchase of fixed assets, such as new tools or machinery. </w:t>
            </w:r>
          </w:p>
        </w:tc>
      </w:tr>
      <w:tr w:rsidR="000D48A4" w:rsidRPr="005C0761" w14:paraId="1BB6479D" w14:textId="77777777">
        <w:tc>
          <w:tcPr>
            <w:tcW w:w="3120" w:type="dxa"/>
            <w:tcMar>
              <w:top w:w="100" w:type="dxa"/>
              <w:left w:w="100" w:type="dxa"/>
              <w:bottom w:w="100" w:type="dxa"/>
              <w:right w:w="100" w:type="dxa"/>
            </w:tcMar>
          </w:tcPr>
          <w:p w14:paraId="33AAB380" w14:textId="77777777" w:rsidR="000D48A4" w:rsidRPr="005C0761" w:rsidRDefault="006F65F1" w:rsidP="0005173B">
            <w:pPr>
              <w:widowControl w:val="0"/>
              <w:pBdr>
                <w:top w:val="nil"/>
                <w:left w:val="nil"/>
                <w:bottom w:val="nil"/>
                <w:right w:val="nil"/>
                <w:between w:val="nil"/>
              </w:pBdr>
              <w:rPr>
                <w:rFonts w:ascii="Arial" w:eastAsia="Times New Roman" w:hAnsi="Arial"/>
                <w:b/>
                <w:bCs/>
                <w:szCs w:val="24"/>
                <w:lang w:val="en-GB"/>
              </w:rPr>
            </w:pPr>
            <w:r w:rsidRPr="005C0761">
              <w:rPr>
                <w:rFonts w:ascii="Arial" w:eastAsia="Times New Roman" w:hAnsi="Arial"/>
                <w:b/>
                <w:bCs/>
                <w:szCs w:val="24"/>
                <w:lang w:val="en-GB"/>
              </w:rPr>
              <w:t>2. Duration</w:t>
            </w:r>
          </w:p>
        </w:tc>
        <w:tc>
          <w:tcPr>
            <w:tcW w:w="3120" w:type="dxa"/>
            <w:tcMar>
              <w:top w:w="100" w:type="dxa"/>
              <w:left w:w="100" w:type="dxa"/>
              <w:bottom w:w="100" w:type="dxa"/>
              <w:right w:w="100" w:type="dxa"/>
            </w:tcMar>
          </w:tcPr>
          <w:p w14:paraId="36B4FBDC" w14:textId="77777777" w:rsidR="000D48A4" w:rsidRPr="005C0761" w:rsidRDefault="006F65F1" w:rsidP="0005173B">
            <w:pPr>
              <w:widowControl w:val="0"/>
              <w:pBdr>
                <w:top w:val="nil"/>
                <w:left w:val="nil"/>
                <w:bottom w:val="nil"/>
                <w:right w:val="nil"/>
                <w:between w:val="nil"/>
              </w:pBdr>
              <w:rPr>
                <w:rFonts w:ascii="Arial" w:eastAsia="Times New Roman" w:hAnsi="Arial"/>
                <w:szCs w:val="24"/>
                <w:lang w:val="en-GB"/>
              </w:rPr>
            </w:pPr>
            <w:r w:rsidRPr="005C0761">
              <w:rPr>
                <w:rFonts w:ascii="Arial" w:eastAsia="Times New Roman" w:hAnsi="Arial"/>
                <w:szCs w:val="24"/>
                <w:lang w:val="en-GB"/>
              </w:rPr>
              <w:t xml:space="preserve">The duration for short-term financing lasts less than a year. This might include trade credit and bank overdrafts. </w:t>
            </w:r>
          </w:p>
        </w:tc>
        <w:tc>
          <w:tcPr>
            <w:tcW w:w="3120" w:type="dxa"/>
            <w:tcMar>
              <w:top w:w="100" w:type="dxa"/>
              <w:left w:w="100" w:type="dxa"/>
              <w:bottom w:w="100" w:type="dxa"/>
              <w:right w:w="100" w:type="dxa"/>
            </w:tcMar>
          </w:tcPr>
          <w:p w14:paraId="582EEFE7" w14:textId="77777777" w:rsidR="000D48A4" w:rsidRPr="005C0761" w:rsidRDefault="006F65F1" w:rsidP="0005173B">
            <w:pPr>
              <w:widowControl w:val="0"/>
              <w:pBdr>
                <w:top w:val="nil"/>
                <w:left w:val="nil"/>
                <w:bottom w:val="nil"/>
                <w:right w:val="nil"/>
                <w:between w:val="nil"/>
              </w:pBdr>
              <w:rPr>
                <w:rFonts w:ascii="Arial" w:eastAsia="Times New Roman" w:hAnsi="Arial"/>
                <w:szCs w:val="24"/>
                <w:lang w:val="en-GB"/>
              </w:rPr>
            </w:pPr>
            <w:r w:rsidRPr="005C0761">
              <w:rPr>
                <w:rFonts w:ascii="Arial" w:eastAsia="Times New Roman" w:hAnsi="Arial"/>
                <w:szCs w:val="24"/>
                <w:lang w:val="en-GB"/>
              </w:rPr>
              <w:t xml:space="preserve">The duration for long-term financing usually lasts more than a year. This might include term loans and equity plans. </w:t>
            </w:r>
          </w:p>
        </w:tc>
      </w:tr>
      <w:tr w:rsidR="000D48A4" w:rsidRPr="005C0761" w14:paraId="6B180F95" w14:textId="77777777">
        <w:tc>
          <w:tcPr>
            <w:tcW w:w="3120" w:type="dxa"/>
            <w:tcMar>
              <w:top w:w="100" w:type="dxa"/>
              <w:left w:w="100" w:type="dxa"/>
              <w:bottom w:w="100" w:type="dxa"/>
              <w:right w:w="100" w:type="dxa"/>
            </w:tcMar>
          </w:tcPr>
          <w:p w14:paraId="3AE60B95" w14:textId="77777777" w:rsidR="000D48A4" w:rsidRPr="005C0761" w:rsidRDefault="006F65F1" w:rsidP="0005173B">
            <w:pPr>
              <w:widowControl w:val="0"/>
              <w:pBdr>
                <w:top w:val="nil"/>
                <w:left w:val="nil"/>
                <w:bottom w:val="nil"/>
                <w:right w:val="nil"/>
                <w:between w:val="nil"/>
              </w:pBdr>
              <w:rPr>
                <w:rFonts w:ascii="Arial" w:eastAsia="Times New Roman" w:hAnsi="Arial"/>
                <w:b/>
                <w:bCs/>
                <w:szCs w:val="24"/>
                <w:lang w:val="en-GB"/>
              </w:rPr>
            </w:pPr>
            <w:r w:rsidRPr="005C0761">
              <w:rPr>
                <w:rFonts w:ascii="Arial" w:eastAsia="Times New Roman" w:hAnsi="Arial"/>
                <w:b/>
                <w:bCs/>
                <w:szCs w:val="24"/>
                <w:lang w:val="en-GB"/>
              </w:rPr>
              <w:t>3. Cost</w:t>
            </w:r>
          </w:p>
        </w:tc>
        <w:tc>
          <w:tcPr>
            <w:tcW w:w="3120" w:type="dxa"/>
            <w:tcMar>
              <w:top w:w="100" w:type="dxa"/>
              <w:left w:w="100" w:type="dxa"/>
              <w:bottom w:w="100" w:type="dxa"/>
              <w:right w:w="100" w:type="dxa"/>
            </w:tcMar>
          </w:tcPr>
          <w:p w14:paraId="265719CA" w14:textId="77777777" w:rsidR="000D48A4" w:rsidRPr="005C0761" w:rsidRDefault="006F65F1" w:rsidP="0005173B">
            <w:pPr>
              <w:widowControl w:val="0"/>
              <w:pBdr>
                <w:top w:val="nil"/>
                <w:left w:val="nil"/>
                <w:bottom w:val="nil"/>
                <w:right w:val="nil"/>
                <w:between w:val="nil"/>
              </w:pBdr>
              <w:rPr>
                <w:rFonts w:ascii="Arial" w:eastAsia="Times New Roman" w:hAnsi="Arial"/>
                <w:szCs w:val="24"/>
                <w:lang w:val="en-GB"/>
              </w:rPr>
            </w:pPr>
            <w:r w:rsidRPr="005C0761">
              <w:rPr>
                <w:rFonts w:ascii="Arial" w:eastAsia="Times New Roman" w:hAnsi="Arial"/>
                <w:szCs w:val="24"/>
                <w:lang w:val="en-GB"/>
              </w:rPr>
              <w:t>Short-term financing options usually lead to low interest rates. As a result, the cost of a project remains low.</w:t>
            </w:r>
          </w:p>
        </w:tc>
        <w:tc>
          <w:tcPr>
            <w:tcW w:w="3120" w:type="dxa"/>
            <w:tcMar>
              <w:top w:w="100" w:type="dxa"/>
              <w:left w:w="100" w:type="dxa"/>
              <w:bottom w:w="100" w:type="dxa"/>
              <w:right w:w="100" w:type="dxa"/>
            </w:tcMar>
          </w:tcPr>
          <w:p w14:paraId="768518DF" w14:textId="67748302" w:rsidR="000D48A4" w:rsidRPr="005C0761" w:rsidRDefault="006F65F1" w:rsidP="0005173B">
            <w:pPr>
              <w:widowControl w:val="0"/>
              <w:pBdr>
                <w:top w:val="nil"/>
                <w:left w:val="nil"/>
                <w:bottom w:val="nil"/>
                <w:right w:val="nil"/>
                <w:between w:val="nil"/>
              </w:pBdr>
              <w:rPr>
                <w:rFonts w:ascii="Arial" w:eastAsia="Times New Roman" w:hAnsi="Arial"/>
                <w:szCs w:val="24"/>
                <w:lang w:val="en-GB"/>
              </w:rPr>
            </w:pPr>
            <w:r w:rsidRPr="005C0761">
              <w:rPr>
                <w:rFonts w:ascii="Arial" w:eastAsia="Times New Roman" w:hAnsi="Arial"/>
                <w:szCs w:val="24"/>
                <w:lang w:val="en-GB"/>
              </w:rPr>
              <w:t xml:space="preserve">Long-term financing options </w:t>
            </w:r>
            <w:r w:rsidR="000948CF" w:rsidRPr="005C0761">
              <w:rPr>
                <w:rFonts w:ascii="Arial" w:eastAsia="Times New Roman" w:hAnsi="Arial"/>
                <w:szCs w:val="24"/>
                <w:lang w:val="en-GB"/>
              </w:rPr>
              <w:t>led</w:t>
            </w:r>
            <w:r w:rsidRPr="005C0761">
              <w:rPr>
                <w:rFonts w:ascii="Arial" w:eastAsia="Times New Roman" w:hAnsi="Arial"/>
                <w:szCs w:val="24"/>
                <w:lang w:val="en-GB"/>
              </w:rPr>
              <w:t xml:space="preserve"> to high interest rates. This happens because long-term financing covers risk management strategies, which often increase the initial budget of a product.</w:t>
            </w:r>
          </w:p>
        </w:tc>
      </w:tr>
      <w:tr w:rsidR="000D48A4" w:rsidRPr="005C0761" w14:paraId="188A7F05" w14:textId="77777777">
        <w:tc>
          <w:tcPr>
            <w:tcW w:w="3120" w:type="dxa"/>
            <w:tcMar>
              <w:top w:w="100" w:type="dxa"/>
              <w:left w:w="100" w:type="dxa"/>
              <w:bottom w:w="100" w:type="dxa"/>
              <w:right w:w="100" w:type="dxa"/>
            </w:tcMar>
          </w:tcPr>
          <w:p w14:paraId="151AA89D" w14:textId="77777777" w:rsidR="000D48A4" w:rsidRPr="005C0761" w:rsidRDefault="006F65F1" w:rsidP="0005173B">
            <w:pPr>
              <w:widowControl w:val="0"/>
              <w:pBdr>
                <w:top w:val="nil"/>
                <w:left w:val="nil"/>
                <w:bottom w:val="nil"/>
                <w:right w:val="nil"/>
                <w:between w:val="nil"/>
              </w:pBdr>
              <w:rPr>
                <w:rFonts w:ascii="Arial" w:eastAsia="Times New Roman" w:hAnsi="Arial"/>
                <w:b/>
                <w:bCs/>
                <w:szCs w:val="24"/>
                <w:lang w:val="en-GB"/>
              </w:rPr>
            </w:pPr>
            <w:r w:rsidRPr="005C0761">
              <w:rPr>
                <w:rFonts w:ascii="Arial" w:eastAsia="Times New Roman" w:hAnsi="Arial"/>
                <w:b/>
                <w:bCs/>
                <w:szCs w:val="24"/>
                <w:lang w:val="en-GB"/>
              </w:rPr>
              <w:lastRenderedPageBreak/>
              <w:t>4. Risk</w:t>
            </w:r>
          </w:p>
        </w:tc>
        <w:tc>
          <w:tcPr>
            <w:tcW w:w="3120" w:type="dxa"/>
            <w:tcMar>
              <w:top w:w="100" w:type="dxa"/>
              <w:left w:w="100" w:type="dxa"/>
              <w:bottom w:w="100" w:type="dxa"/>
              <w:right w:w="100" w:type="dxa"/>
            </w:tcMar>
          </w:tcPr>
          <w:p w14:paraId="3AC34EA6" w14:textId="77777777" w:rsidR="000D48A4" w:rsidRPr="005C0761" w:rsidRDefault="006F65F1" w:rsidP="0005173B">
            <w:pPr>
              <w:widowControl w:val="0"/>
              <w:pBdr>
                <w:top w:val="nil"/>
                <w:left w:val="nil"/>
                <w:bottom w:val="nil"/>
                <w:right w:val="nil"/>
                <w:between w:val="nil"/>
              </w:pBdr>
              <w:rPr>
                <w:rFonts w:ascii="Arial" w:eastAsia="Times New Roman" w:hAnsi="Arial"/>
                <w:szCs w:val="24"/>
                <w:lang w:val="en-GB"/>
              </w:rPr>
            </w:pPr>
            <w:r w:rsidRPr="005C0761">
              <w:rPr>
                <w:rFonts w:ascii="Arial" w:eastAsia="Times New Roman" w:hAnsi="Arial"/>
                <w:szCs w:val="24"/>
                <w:lang w:val="en-GB"/>
              </w:rPr>
              <w:t>Short-term financing options often depend on market fluctuations in product demands, and hence, the financing risks are terribly high.</w:t>
            </w:r>
          </w:p>
        </w:tc>
        <w:tc>
          <w:tcPr>
            <w:tcW w:w="3120" w:type="dxa"/>
            <w:tcMar>
              <w:top w:w="100" w:type="dxa"/>
              <w:left w:w="100" w:type="dxa"/>
              <w:bottom w:w="100" w:type="dxa"/>
              <w:right w:w="100" w:type="dxa"/>
            </w:tcMar>
          </w:tcPr>
          <w:p w14:paraId="71AD184F" w14:textId="77777777" w:rsidR="000D48A4" w:rsidRPr="005C0761" w:rsidRDefault="006F65F1" w:rsidP="0005173B">
            <w:pPr>
              <w:widowControl w:val="0"/>
              <w:pBdr>
                <w:top w:val="nil"/>
                <w:left w:val="nil"/>
                <w:bottom w:val="nil"/>
                <w:right w:val="nil"/>
                <w:between w:val="nil"/>
              </w:pBdr>
              <w:rPr>
                <w:rFonts w:ascii="Arial" w:eastAsia="Times New Roman" w:hAnsi="Arial"/>
                <w:szCs w:val="24"/>
                <w:lang w:val="en-GB"/>
              </w:rPr>
            </w:pPr>
            <w:r w:rsidRPr="005C0761">
              <w:rPr>
                <w:rFonts w:ascii="Arial" w:eastAsia="Times New Roman" w:hAnsi="Arial"/>
                <w:szCs w:val="24"/>
                <w:lang w:val="en-GB"/>
              </w:rPr>
              <w:t>Long-term financing options usually have lower risks associated with financing.</w:t>
            </w:r>
          </w:p>
        </w:tc>
      </w:tr>
      <w:tr w:rsidR="000D48A4" w:rsidRPr="005C0761" w14:paraId="676BE043" w14:textId="77777777">
        <w:tc>
          <w:tcPr>
            <w:tcW w:w="3120" w:type="dxa"/>
            <w:tcMar>
              <w:top w:w="100" w:type="dxa"/>
              <w:left w:w="100" w:type="dxa"/>
              <w:bottom w:w="100" w:type="dxa"/>
              <w:right w:w="100" w:type="dxa"/>
            </w:tcMar>
          </w:tcPr>
          <w:p w14:paraId="1437A116" w14:textId="77777777" w:rsidR="000D48A4" w:rsidRPr="005C0761" w:rsidRDefault="006F65F1" w:rsidP="0005173B">
            <w:pPr>
              <w:widowControl w:val="0"/>
              <w:pBdr>
                <w:top w:val="nil"/>
                <w:left w:val="nil"/>
                <w:bottom w:val="nil"/>
                <w:right w:val="nil"/>
                <w:between w:val="nil"/>
              </w:pBdr>
              <w:rPr>
                <w:rFonts w:ascii="Arial" w:eastAsia="Times New Roman" w:hAnsi="Arial"/>
                <w:b/>
                <w:bCs/>
                <w:szCs w:val="24"/>
                <w:lang w:val="en-GB"/>
              </w:rPr>
            </w:pPr>
            <w:r w:rsidRPr="005C0761">
              <w:rPr>
                <w:rFonts w:ascii="Arial" w:eastAsia="Times New Roman" w:hAnsi="Arial"/>
                <w:b/>
                <w:bCs/>
                <w:szCs w:val="24"/>
                <w:lang w:val="en-GB"/>
              </w:rPr>
              <w:t>5. Examples</w:t>
            </w:r>
          </w:p>
        </w:tc>
        <w:tc>
          <w:tcPr>
            <w:tcW w:w="3120" w:type="dxa"/>
            <w:tcMar>
              <w:top w:w="100" w:type="dxa"/>
              <w:left w:w="100" w:type="dxa"/>
              <w:bottom w:w="100" w:type="dxa"/>
              <w:right w:w="100" w:type="dxa"/>
            </w:tcMar>
          </w:tcPr>
          <w:p w14:paraId="352B7A4C" w14:textId="77777777" w:rsidR="000D48A4" w:rsidRPr="005C0761" w:rsidRDefault="006F65F1" w:rsidP="0005173B">
            <w:pPr>
              <w:widowControl w:val="0"/>
              <w:pBdr>
                <w:top w:val="nil"/>
                <w:left w:val="nil"/>
                <w:bottom w:val="nil"/>
                <w:right w:val="nil"/>
                <w:between w:val="nil"/>
              </w:pBdr>
              <w:rPr>
                <w:rFonts w:ascii="Arial" w:eastAsia="Times New Roman" w:hAnsi="Arial"/>
                <w:szCs w:val="24"/>
                <w:lang w:val="en-GB"/>
              </w:rPr>
            </w:pPr>
            <w:r w:rsidRPr="005C0761">
              <w:rPr>
                <w:rFonts w:ascii="Arial" w:eastAsia="Times New Roman" w:hAnsi="Arial"/>
                <w:szCs w:val="24"/>
                <w:lang w:val="en-GB"/>
              </w:rPr>
              <w:t>Hyundai usually utilises supplier credit amounts to purchase the raw materials required for car manufacturing.</w:t>
            </w:r>
          </w:p>
        </w:tc>
        <w:tc>
          <w:tcPr>
            <w:tcW w:w="3120" w:type="dxa"/>
            <w:tcMar>
              <w:top w:w="100" w:type="dxa"/>
              <w:left w:w="100" w:type="dxa"/>
              <w:bottom w:w="100" w:type="dxa"/>
              <w:right w:w="100" w:type="dxa"/>
            </w:tcMar>
          </w:tcPr>
          <w:p w14:paraId="5FFF7D04" w14:textId="77777777" w:rsidR="000D48A4" w:rsidRPr="005C0761" w:rsidRDefault="006F65F1" w:rsidP="0005173B">
            <w:pPr>
              <w:widowControl w:val="0"/>
              <w:pBdr>
                <w:top w:val="nil"/>
                <w:left w:val="nil"/>
                <w:bottom w:val="nil"/>
                <w:right w:val="nil"/>
                <w:between w:val="nil"/>
              </w:pBdr>
              <w:rPr>
                <w:rFonts w:ascii="Arial" w:eastAsia="Times New Roman" w:hAnsi="Arial"/>
                <w:szCs w:val="24"/>
                <w:lang w:val="en-GB"/>
              </w:rPr>
            </w:pPr>
            <w:r w:rsidRPr="005C0761">
              <w:rPr>
                <w:rFonts w:ascii="Arial" w:eastAsia="Times New Roman" w:hAnsi="Arial"/>
                <w:szCs w:val="24"/>
                <w:lang w:val="en-GB"/>
              </w:rPr>
              <w:t>In this scenario, Hyundai borrows money from banks to buy a new electric Vehicle (EV) factory.</w:t>
            </w:r>
          </w:p>
        </w:tc>
      </w:tr>
    </w:tbl>
    <w:p w14:paraId="30875411" w14:textId="77777777" w:rsidR="000D48A4" w:rsidRPr="005C0761" w:rsidRDefault="006F65F1" w:rsidP="00C5012C">
      <w:pPr>
        <w:spacing w:before="240" w:after="240"/>
        <w:jc w:val="center"/>
        <w:rPr>
          <w:rFonts w:ascii="Arial" w:eastAsia="Times New Roman" w:hAnsi="Arial"/>
          <w:b/>
          <w:bCs/>
          <w:szCs w:val="24"/>
          <w:lang w:val="en-GB"/>
        </w:rPr>
      </w:pPr>
      <w:r w:rsidRPr="005C0761">
        <w:rPr>
          <w:rFonts w:ascii="Arial" w:eastAsia="Times New Roman" w:hAnsi="Arial"/>
          <w:b/>
          <w:bCs/>
          <w:szCs w:val="24"/>
          <w:lang w:val="en-GB"/>
        </w:rPr>
        <w:t>Table 1: Short-term and Long-term Financing Options</w:t>
      </w:r>
    </w:p>
    <w:p w14:paraId="52B0CEF7" w14:textId="77777777" w:rsidR="000D48A4" w:rsidRPr="005C0761" w:rsidRDefault="006F65F1" w:rsidP="00C5012C">
      <w:pPr>
        <w:spacing w:before="240" w:after="240"/>
        <w:jc w:val="center"/>
        <w:rPr>
          <w:rFonts w:ascii="Arial" w:eastAsia="Times New Roman" w:hAnsi="Arial"/>
          <w:szCs w:val="24"/>
          <w:lang w:val="en-GB"/>
        </w:rPr>
      </w:pPr>
      <w:r w:rsidRPr="005C0761">
        <w:rPr>
          <w:rFonts w:ascii="Arial" w:eastAsia="Times New Roman" w:hAnsi="Arial"/>
          <w:szCs w:val="24"/>
          <w:lang w:val="en-GB"/>
        </w:rPr>
        <w:t>(Source: Self-created)</w:t>
      </w:r>
    </w:p>
    <w:p w14:paraId="6400BBCF" w14:textId="77777777" w:rsidR="000D48A4" w:rsidRPr="005C0761" w:rsidRDefault="006F65F1" w:rsidP="00C5012C">
      <w:pPr>
        <w:spacing w:before="240" w:after="240"/>
        <w:rPr>
          <w:rFonts w:ascii="Arial" w:eastAsia="Times New Roman" w:hAnsi="Arial"/>
          <w:szCs w:val="24"/>
          <w:lang w:val="en-GB"/>
        </w:rPr>
      </w:pPr>
      <w:r w:rsidRPr="005C0761">
        <w:rPr>
          <w:rFonts w:ascii="Arial" w:eastAsia="Times New Roman" w:hAnsi="Arial"/>
          <w:szCs w:val="24"/>
          <w:lang w:val="en-GB"/>
        </w:rPr>
        <w:t xml:space="preserve">The above table compares short-term and long-term financing options using 4 different features of a company. In the end, the table explains through examples the utilization of financing by Hyundai. </w:t>
      </w:r>
    </w:p>
    <w:p w14:paraId="0B31EB7D" w14:textId="77777777" w:rsidR="000D48A4" w:rsidRPr="005C0761" w:rsidRDefault="006F65F1" w:rsidP="00C5012C">
      <w:pPr>
        <w:pStyle w:val="Heading1"/>
        <w:spacing w:before="240" w:after="240"/>
        <w:rPr>
          <w:rFonts w:ascii="Arial" w:hAnsi="Arial" w:cs="Arial"/>
          <w:lang w:val="en-GB"/>
        </w:rPr>
      </w:pPr>
      <w:bookmarkStart w:id="18" w:name="_q30wp3pekf5k" w:colFirst="0" w:colLast="0"/>
      <w:bookmarkStart w:id="19" w:name="_Toc227950755"/>
      <w:bookmarkEnd w:id="18"/>
      <w:r w:rsidRPr="005C0761">
        <w:rPr>
          <w:rFonts w:ascii="Arial" w:hAnsi="Arial" w:cs="Arial"/>
          <w:lang w:val="en-GB"/>
        </w:rPr>
        <w:t>3. Strategic Financial Restructuring Plan</w:t>
      </w:r>
      <w:bookmarkEnd w:id="19"/>
    </w:p>
    <w:p w14:paraId="1523D47C" w14:textId="77777777" w:rsidR="000D48A4" w:rsidRPr="005C0761" w:rsidRDefault="006F65F1" w:rsidP="00C5012C">
      <w:pPr>
        <w:spacing w:before="240" w:after="240"/>
        <w:rPr>
          <w:rFonts w:ascii="Arial" w:eastAsia="Times New Roman" w:hAnsi="Arial"/>
          <w:szCs w:val="24"/>
          <w:lang w:val="en-GB"/>
        </w:rPr>
      </w:pPr>
      <w:r w:rsidRPr="005C0761">
        <w:rPr>
          <w:rFonts w:ascii="Arial" w:eastAsia="Times New Roman" w:hAnsi="Arial"/>
          <w:szCs w:val="24"/>
          <w:lang w:val="en-GB"/>
        </w:rPr>
        <w:t xml:space="preserve">Hyundai stands as a leading car manufacturer within the Indian market. In addition, this company is also the largest supplier of electric vehicles (EVs). Thai company effectively dominates the </w:t>
      </w:r>
      <w:r w:rsidR="00481F3D" w:rsidRPr="005C0761">
        <w:rPr>
          <w:rFonts w:ascii="Arial" w:eastAsia="Times New Roman" w:hAnsi="Arial"/>
          <w:szCs w:val="24"/>
          <w:lang w:val="en-GB"/>
        </w:rPr>
        <w:t>Indian</w:t>
      </w:r>
      <w:r w:rsidRPr="005C0761">
        <w:rPr>
          <w:rFonts w:ascii="Arial" w:eastAsia="Times New Roman" w:hAnsi="Arial"/>
          <w:szCs w:val="24"/>
          <w:lang w:val="en-GB"/>
        </w:rPr>
        <w:t xml:space="preserve"> market and holds a market share of almost 15-16% (Choudhury </w:t>
      </w:r>
      <w:r w:rsidRPr="005C0761">
        <w:rPr>
          <w:rFonts w:ascii="Arial" w:eastAsia="Times New Roman" w:hAnsi="Arial"/>
          <w:i/>
          <w:iCs/>
          <w:szCs w:val="24"/>
          <w:lang w:val="en-GB"/>
        </w:rPr>
        <w:t>et al</w:t>
      </w:r>
      <w:r w:rsidRPr="005C0761">
        <w:rPr>
          <w:rFonts w:ascii="Arial" w:eastAsia="Times New Roman" w:hAnsi="Arial"/>
          <w:szCs w:val="24"/>
          <w:lang w:val="en-GB"/>
        </w:rPr>
        <w:t xml:space="preserve">., 2024). In 2025, this company launched 26-27 new models of electronic vehicles through its Talegaon Plant (Mishra </w:t>
      </w:r>
      <w:r w:rsidRPr="005C0761">
        <w:rPr>
          <w:rFonts w:ascii="Arial" w:eastAsia="Times New Roman" w:hAnsi="Arial"/>
          <w:i/>
          <w:iCs/>
          <w:szCs w:val="24"/>
          <w:lang w:val="en-GB"/>
        </w:rPr>
        <w:t>et al.</w:t>
      </w:r>
      <w:r w:rsidRPr="005C0761">
        <w:rPr>
          <w:rFonts w:ascii="Arial" w:eastAsia="Times New Roman" w:hAnsi="Arial"/>
          <w:szCs w:val="24"/>
          <w:lang w:val="en-GB"/>
        </w:rPr>
        <w:t>, 2024). However, this company still faces intense competition from other companies. In this context, the organisation requires a restructuring plan that helps the company to increase its profit margins. The financial restructuring plan primarily focuses on increasing the operational efficiency of this company. In addition, the plan aims to increase its strategic partnerships with leading investors in the future.</w:t>
      </w:r>
    </w:p>
    <w:p w14:paraId="1A9B43C2" w14:textId="77777777" w:rsidR="000D48A4" w:rsidRPr="005C0761" w:rsidRDefault="006F65F1" w:rsidP="00C5012C">
      <w:pPr>
        <w:pStyle w:val="Heading2"/>
        <w:spacing w:before="240" w:after="240"/>
        <w:rPr>
          <w:rFonts w:ascii="Arial" w:hAnsi="Arial" w:cs="Arial"/>
          <w:lang w:val="en-GB"/>
        </w:rPr>
      </w:pPr>
      <w:bookmarkStart w:id="20" w:name="_o18s0yag06yt" w:colFirst="0" w:colLast="0"/>
      <w:bookmarkStart w:id="21" w:name="_Toc227950756"/>
      <w:bookmarkEnd w:id="20"/>
      <w:r w:rsidRPr="005C0761">
        <w:rPr>
          <w:rFonts w:ascii="Arial" w:hAnsi="Arial" w:cs="Arial"/>
          <w:lang w:val="en-GB"/>
        </w:rPr>
        <w:lastRenderedPageBreak/>
        <w:t>Recommendation of financial restructuring plan</w:t>
      </w:r>
      <w:bookmarkEnd w:id="21"/>
    </w:p>
    <w:p w14:paraId="5183317B" w14:textId="77777777" w:rsidR="000D48A4" w:rsidRPr="005C0761" w:rsidRDefault="006F65F1" w:rsidP="00C5012C">
      <w:pPr>
        <w:spacing w:before="240" w:after="240"/>
        <w:rPr>
          <w:rFonts w:ascii="Arial" w:eastAsia="Times New Roman" w:hAnsi="Arial"/>
          <w:b/>
          <w:bCs/>
          <w:i/>
          <w:iCs/>
          <w:szCs w:val="24"/>
          <w:lang w:val="en-GB"/>
        </w:rPr>
      </w:pPr>
      <w:r w:rsidRPr="005C0761">
        <w:rPr>
          <w:rFonts w:ascii="Arial" w:eastAsia="Times New Roman" w:hAnsi="Arial"/>
          <w:b/>
          <w:bCs/>
          <w:i/>
          <w:iCs/>
          <w:szCs w:val="24"/>
          <w:lang w:val="en-GB"/>
        </w:rPr>
        <w:t>Internal Restructuring</w:t>
      </w:r>
    </w:p>
    <w:p w14:paraId="310E2AE1" w14:textId="77777777" w:rsidR="000D48A4" w:rsidRPr="005C0761" w:rsidRDefault="006F65F1" w:rsidP="00C5012C">
      <w:pPr>
        <w:spacing w:before="240" w:after="240"/>
        <w:rPr>
          <w:rFonts w:ascii="Arial" w:eastAsia="Times New Roman" w:hAnsi="Arial"/>
          <w:szCs w:val="24"/>
          <w:lang w:val="en-GB"/>
        </w:rPr>
      </w:pPr>
      <w:r w:rsidRPr="005C0761">
        <w:rPr>
          <w:rFonts w:ascii="Arial" w:eastAsia="Times New Roman" w:hAnsi="Arial"/>
          <w:szCs w:val="24"/>
          <w:lang w:val="en-GB"/>
        </w:rPr>
        <w:t xml:space="preserve">Recently, Hyundai has announced that the company is going to start offering retail loans to small-scale car manufacturers. This company is set to start this project in the latter quarter of 2026 (Ansari </w:t>
      </w:r>
      <w:r w:rsidRPr="005C0761">
        <w:rPr>
          <w:rFonts w:ascii="Arial" w:eastAsia="Times New Roman" w:hAnsi="Arial"/>
          <w:i/>
          <w:iCs/>
          <w:szCs w:val="24"/>
          <w:lang w:val="en-GB"/>
        </w:rPr>
        <w:t>et al</w:t>
      </w:r>
      <w:r w:rsidRPr="005C0761">
        <w:rPr>
          <w:rFonts w:ascii="Arial" w:eastAsia="Times New Roman" w:hAnsi="Arial"/>
          <w:szCs w:val="24"/>
          <w:lang w:val="en-GB"/>
        </w:rPr>
        <w:t xml:space="preserve">., 2025). In this scenario, this company needs to restructure its distribution strategy to incorporate manufacturing and financing operations simultaneously. This strategy is going to help this company effectively expand its market and reach new customers daily (Jain and Kulkarni, 2023). On the other hand, Hyundai needs to follow a full-stack ownership system to have complete control over its sales operations (Luu and Salikon, 2025). This, in turn, helps the company to enhance dealer profitability margins and boost customer loyalty.  </w:t>
      </w:r>
    </w:p>
    <w:p w14:paraId="078FC27F" w14:textId="77777777" w:rsidR="000D48A4" w:rsidRPr="005C0761" w:rsidRDefault="006F65F1" w:rsidP="00C5012C">
      <w:pPr>
        <w:spacing w:before="240" w:after="240"/>
        <w:rPr>
          <w:rFonts w:ascii="Arial" w:eastAsia="Times New Roman" w:hAnsi="Arial"/>
          <w:b/>
          <w:bCs/>
          <w:i/>
          <w:iCs/>
          <w:szCs w:val="24"/>
          <w:lang w:val="en-GB"/>
        </w:rPr>
      </w:pPr>
      <w:r w:rsidRPr="005C0761">
        <w:rPr>
          <w:rFonts w:ascii="Arial" w:eastAsia="Times New Roman" w:hAnsi="Arial"/>
          <w:b/>
          <w:bCs/>
          <w:i/>
          <w:iCs/>
          <w:szCs w:val="24"/>
          <w:lang w:val="en-GB"/>
        </w:rPr>
        <w:t>Strategic Partnerships</w:t>
      </w:r>
    </w:p>
    <w:p w14:paraId="312543ED" w14:textId="77777777" w:rsidR="000D48A4" w:rsidRPr="005C0761" w:rsidRDefault="006F65F1" w:rsidP="00C5012C">
      <w:pPr>
        <w:spacing w:before="240" w:after="240"/>
        <w:rPr>
          <w:rFonts w:ascii="Arial" w:eastAsia="Times New Roman" w:hAnsi="Arial"/>
          <w:szCs w:val="24"/>
          <w:lang w:val="en-GB"/>
        </w:rPr>
      </w:pPr>
      <w:r w:rsidRPr="005C0761">
        <w:rPr>
          <w:rFonts w:ascii="Arial" w:eastAsia="Times New Roman" w:hAnsi="Arial"/>
          <w:szCs w:val="24"/>
          <w:lang w:val="en-GB"/>
        </w:rPr>
        <w:t xml:space="preserve">Hyundai needs to focus on building strategic partnerships with other leading car manufacturers. This, in turn, helps this company to create a joint venture and effectively increase its market reach. In addition, this company can also successfully collaborate with various tech firms, particularly working on projects to enhance battery technology for vehicles. This helps Hyundai to offer customer-centric modifications in its car models (Jo </w:t>
      </w:r>
      <w:r w:rsidRPr="005C0761">
        <w:rPr>
          <w:rFonts w:ascii="Arial" w:eastAsia="Times New Roman" w:hAnsi="Arial"/>
          <w:i/>
          <w:iCs/>
          <w:szCs w:val="24"/>
          <w:lang w:val="en-GB"/>
        </w:rPr>
        <w:t>et al</w:t>
      </w:r>
      <w:r w:rsidRPr="005C0761">
        <w:rPr>
          <w:rFonts w:ascii="Arial" w:eastAsia="Times New Roman" w:hAnsi="Arial"/>
          <w:szCs w:val="24"/>
          <w:lang w:val="en-GB"/>
        </w:rPr>
        <w:t>., 2023). In this context, the company is highly benefited because the customers' demands are met while maintaining a fixed cost structure. On the other hand, the joint ventures help Hyundai to offer curated and enhanced services without increasing the operational cost of the firm. The primary benefit of creating a joint venture is to distribute the expenses of developing advanced infrastructures among two parties. This, in turn, reduces the total budget of the project.</w:t>
      </w:r>
    </w:p>
    <w:p w14:paraId="7DABA101" w14:textId="77777777" w:rsidR="000D48A4" w:rsidRPr="005C0761" w:rsidRDefault="006F65F1" w:rsidP="00C5012C">
      <w:pPr>
        <w:spacing w:before="240" w:after="240"/>
        <w:rPr>
          <w:rFonts w:ascii="Arial" w:eastAsia="Times New Roman" w:hAnsi="Arial"/>
          <w:b/>
          <w:bCs/>
          <w:i/>
          <w:iCs/>
          <w:szCs w:val="24"/>
          <w:lang w:val="en-GB"/>
        </w:rPr>
      </w:pPr>
      <w:r w:rsidRPr="005C0761">
        <w:rPr>
          <w:rFonts w:ascii="Arial" w:eastAsia="Times New Roman" w:hAnsi="Arial"/>
          <w:b/>
          <w:bCs/>
          <w:i/>
          <w:iCs/>
          <w:szCs w:val="24"/>
          <w:lang w:val="en-GB"/>
        </w:rPr>
        <w:t>Rationalization of Assets</w:t>
      </w:r>
    </w:p>
    <w:p w14:paraId="3C4C8F43" w14:textId="77777777" w:rsidR="000D48A4" w:rsidRPr="005C0761" w:rsidRDefault="006F65F1" w:rsidP="00C5012C">
      <w:pPr>
        <w:spacing w:before="240" w:after="240"/>
        <w:rPr>
          <w:rFonts w:ascii="Arial" w:hAnsi="Arial"/>
          <w:lang w:val="en-GB"/>
        </w:rPr>
      </w:pPr>
      <w:r w:rsidRPr="005C0761">
        <w:rPr>
          <w:rFonts w:ascii="Arial" w:eastAsia="Times New Roman" w:hAnsi="Arial"/>
          <w:szCs w:val="24"/>
          <w:lang w:val="en-GB"/>
        </w:rPr>
        <w:t xml:space="preserve">Hyundai needs to focus on the development of the latest assembly lines required to manufacture advanced Electric SUVs. The assembly lines are a crucial element </w:t>
      </w:r>
      <w:r w:rsidR="00481F3D" w:rsidRPr="005C0761">
        <w:rPr>
          <w:rFonts w:ascii="Arial" w:eastAsia="Times New Roman" w:hAnsi="Arial"/>
          <w:szCs w:val="24"/>
          <w:lang w:val="en-GB"/>
        </w:rPr>
        <w:t>for Electric</w:t>
      </w:r>
      <w:r w:rsidRPr="005C0761">
        <w:rPr>
          <w:rFonts w:ascii="Arial" w:eastAsia="Times New Roman" w:hAnsi="Arial"/>
          <w:szCs w:val="24"/>
          <w:lang w:val="en-GB"/>
        </w:rPr>
        <w:t xml:space="preserve"> SUVs. Assembly lines serve as an enhanced combustion engine that protects the environment and also prevents damage to the car (Jeong </w:t>
      </w:r>
      <w:r w:rsidRPr="005C0761">
        <w:rPr>
          <w:rFonts w:ascii="Arial" w:eastAsia="Times New Roman" w:hAnsi="Arial"/>
          <w:i/>
          <w:iCs/>
          <w:szCs w:val="24"/>
          <w:lang w:val="en-GB"/>
        </w:rPr>
        <w:t>et al.</w:t>
      </w:r>
      <w:r w:rsidRPr="005C0761">
        <w:rPr>
          <w:rFonts w:ascii="Arial" w:eastAsia="Times New Roman" w:hAnsi="Arial"/>
          <w:szCs w:val="24"/>
          <w:lang w:val="en-GB"/>
        </w:rPr>
        <w:t xml:space="preserve">, 2024). In addition, the </w:t>
      </w:r>
      <w:r w:rsidRPr="005C0761">
        <w:rPr>
          <w:rFonts w:ascii="Arial" w:eastAsia="Times New Roman" w:hAnsi="Arial"/>
          <w:szCs w:val="24"/>
          <w:lang w:val="en-GB"/>
        </w:rPr>
        <w:lastRenderedPageBreak/>
        <w:t xml:space="preserve">use of assembly lines can effectively reduce the heavy dependency on imported car parts. This, in turn, helps this company to reduce its extra operational costs. In addition, assembly lines help car manufacturers to incorporate efficient and modern battery technology in the cars (Pavlinek, 2023). The development of the latest assembly lines is going to help Hyundai increase its production efficiency and market reach. </w:t>
      </w:r>
    </w:p>
    <w:p w14:paraId="6020C665" w14:textId="77777777" w:rsidR="000D48A4" w:rsidRPr="005C0761" w:rsidRDefault="006F65F1" w:rsidP="00C5012C">
      <w:pPr>
        <w:pStyle w:val="Heading2"/>
        <w:spacing w:before="240" w:after="240"/>
        <w:rPr>
          <w:rFonts w:ascii="Arial" w:hAnsi="Arial" w:cs="Arial"/>
          <w:lang w:val="en-GB"/>
        </w:rPr>
      </w:pPr>
      <w:bookmarkStart w:id="22" w:name="_5aho32vdhhgp" w:colFirst="0" w:colLast="0"/>
      <w:bookmarkStart w:id="23" w:name="_Toc227950757"/>
      <w:bookmarkEnd w:id="22"/>
      <w:r w:rsidRPr="005C0761">
        <w:rPr>
          <w:rFonts w:ascii="Arial" w:hAnsi="Arial" w:cs="Arial"/>
          <w:lang w:val="en-GB"/>
        </w:rPr>
        <w:t>Evaluation of the impact on shareholder value, debt structure, and operational flexibility</w:t>
      </w:r>
      <w:bookmarkEnd w:id="23"/>
      <w:r w:rsidRPr="005C0761">
        <w:rPr>
          <w:rFonts w:ascii="Arial" w:hAnsi="Arial" w:cs="Arial"/>
          <w:lang w:val="en-GB"/>
        </w:rPr>
        <w:t xml:space="preserve"> </w:t>
      </w:r>
    </w:p>
    <w:p w14:paraId="6467EE5A" w14:textId="77777777" w:rsidR="000D48A4" w:rsidRPr="005C0761" w:rsidRDefault="006F65F1" w:rsidP="00C5012C">
      <w:pPr>
        <w:spacing w:before="240" w:after="240"/>
        <w:rPr>
          <w:rFonts w:ascii="Arial" w:eastAsia="Times New Roman" w:hAnsi="Arial"/>
          <w:b/>
          <w:bCs/>
          <w:i/>
          <w:iCs/>
          <w:szCs w:val="24"/>
          <w:lang w:val="en-GB"/>
        </w:rPr>
      </w:pPr>
      <w:r w:rsidRPr="005C0761">
        <w:rPr>
          <w:rFonts w:ascii="Arial" w:eastAsia="Times New Roman" w:hAnsi="Arial"/>
          <w:b/>
          <w:bCs/>
          <w:i/>
          <w:iCs/>
          <w:szCs w:val="24"/>
          <w:lang w:val="en-GB"/>
        </w:rPr>
        <w:t>Impact on Shareholder Value</w:t>
      </w:r>
    </w:p>
    <w:p w14:paraId="022FCE7D" w14:textId="77777777" w:rsidR="000D48A4" w:rsidRPr="005C0761" w:rsidRDefault="006F65F1" w:rsidP="00C5012C">
      <w:pPr>
        <w:spacing w:before="240" w:after="240"/>
        <w:rPr>
          <w:rFonts w:ascii="Arial" w:eastAsia="Times New Roman" w:hAnsi="Arial"/>
          <w:szCs w:val="24"/>
          <w:lang w:val="en-GB"/>
        </w:rPr>
      </w:pPr>
      <w:r w:rsidRPr="005C0761">
        <w:rPr>
          <w:rFonts w:ascii="Arial" w:eastAsia="Times New Roman" w:hAnsi="Arial"/>
          <w:szCs w:val="24"/>
          <w:lang w:val="en-GB"/>
        </w:rPr>
        <w:t xml:space="preserve">Hyundai is planning to launch its two new models in 2027, namely Creta and Genesis. This, in turn, is going to help the company increase its profitability margins, which further benefits the shareholders (Bampaou and Panopoulos, 2024). This is because shareholders can now receive higher cash returns and investment potential. In addition, this company adopted a distribution dividend strategy to maintain a balance between retaining profits. This, in turn, is going to help this company maintain a stable cash return flow. </w:t>
      </w:r>
    </w:p>
    <w:p w14:paraId="7F113213" w14:textId="77777777" w:rsidR="000D48A4" w:rsidRPr="005C0761" w:rsidRDefault="006F65F1" w:rsidP="00C5012C">
      <w:pPr>
        <w:spacing w:before="240" w:after="240"/>
        <w:rPr>
          <w:rFonts w:ascii="Arial" w:eastAsia="Times New Roman" w:hAnsi="Arial"/>
          <w:b/>
          <w:bCs/>
          <w:i/>
          <w:iCs/>
          <w:szCs w:val="24"/>
          <w:lang w:val="en-GB"/>
        </w:rPr>
      </w:pPr>
      <w:r w:rsidRPr="005C0761">
        <w:rPr>
          <w:rFonts w:ascii="Arial" w:eastAsia="Times New Roman" w:hAnsi="Arial"/>
          <w:b/>
          <w:bCs/>
          <w:i/>
          <w:iCs/>
          <w:szCs w:val="24"/>
          <w:lang w:val="en-GB"/>
        </w:rPr>
        <w:t>Impact on debt structure</w:t>
      </w:r>
    </w:p>
    <w:p w14:paraId="51BB0A99" w14:textId="77777777" w:rsidR="000D48A4" w:rsidRPr="005C0761" w:rsidRDefault="006F65F1" w:rsidP="00C5012C">
      <w:pPr>
        <w:spacing w:before="240" w:after="240"/>
        <w:rPr>
          <w:rFonts w:ascii="Arial" w:eastAsia="Times New Roman" w:hAnsi="Arial"/>
          <w:szCs w:val="24"/>
          <w:lang w:val="en-GB"/>
        </w:rPr>
      </w:pPr>
      <w:r w:rsidRPr="005C0761">
        <w:rPr>
          <w:rFonts w:ascii="Arial" w:eastAsia="Times New Roman" w:hAnsi="Arial"/>
          <w:szCs w:val="24"/>
          <w:lang w:val="en-GB"/>
        </w:rPr>
        <w:t xml:space="preserve">Hyundai is planning to develop its own financing sector, in which this company is going to offer loans to small-scale car manufacturers. In this way, the company has effectively developed a strategy to generate more money. In addition, the financing sector of Hyundai is going to help this company pay off its debts and liabilities faster (Kim and Jin, 2022). On the other hand, this company has started its self-financing resources. Initially, this company has planned to invest an amount of 45,000 crore to develop enhanced infrastructure for electric SUVs. This invested amount is going to be funded through a mix of internal IPOs. Self-financing helps Hyundai to leverage its cash flow and effectively fund its capital expenditure (Ladha </w:t>
      </w:r>
      <w:r w:rsidRPr="005C0761">
        <w:rPr>
          <w:rFonts w:ascii="Arial" w:eastAsia="Times New Roman" w:hAnsi="Arial"/>
          <w:i/>
          <w:iCs/>
          <w:szCs w:val="24"/>
          <w:lang w:val="en-GB"/>
        </w:rPr>
        <w:t>et al.</w:t>
      </w:r>
      <w:r w:rsidRPr="005C0761">
        <w:rPr>
          <w:rFonts w:ascii="Arial" w:eastAsia="Times New Roman" w:hAnsi="Arial"/>
          <w:szCs w:val="24"/>
          <w:lang w:val="en-GB"/>
        </w:rPr>
        <w:t xml:space="preserve">, 2025). In addition, this strategy reduces dependency on external debts for funding purposes. </w:t>
      </w:r>
    </w:p>
    <w:p w14:paraId="62C81B5A" w14:textId="77777777" w:rsidR="000754AD" w:rsidRDefault="000754AD">
      <w:pPr>
        <w:spacing w:line="276" w:lineRule="auto"/>
        <w:jc w:val="left"/>
        <w:rPr>
          <w:rFonts w:ascii="Arial" w:eastAsia="Times New Roman" w:hAnsi="Arial"/>
          <w:b/>
          <w:bCs/>
          <w:i/>
          <w:iCs/>
          <w:szCs w:val="24"/>
          <w:lang w:val="en-GB"/>
        </w:rPr>
      </w:pPr>
      <w:r>
        <w:rPr>
          <w:rFonts w:ascii="Arial" w:eastAsia="Times New Roman" w:hAnsi="Arial"/>
          <w:b/>
          <w:bCs/>
          <w:i/>
          <w:iCs/>
          <w:szCs w:val="24"/>
          <w:lang w:val="en-GB"/>
        </w:rPr>
        <w:br w:type="page"/>
      </w:r>
    </w:p>
    <w:p w14:paraId="0F927E8E" w14:textId="454AD487" w:rsidR="000D48A4" w:rsidRPr="005C0761" w:rsidRDefault="006F65F1" w:rsidP="00C5012C">
      <w:pPr>
        <w:spacing w:before="240" w:after="240"/>
        <w:rPr>
          <w:rFonts w:ascii="Arial" w:eastAsia="Times New Roman" w:hAnsi="Arial"/>
          <w:b/>
          <w:bCs/>
          <w:i/>
          <w:iCs/>
          <w:szCs w:val="24"/>
          <w:lang w:val="en-GB"/>
        </w:rPr>
      </w:pPr>
      <w:r w:rsidRPr="005C0761">
        <w:rPr>
          <w:rFonts w:ascii="Arial" w:eastAsia="Times New Roman" w:hAnsi="Arial"/>
          <w:b/>
          <w:bCs/>
          <w:i/>
          <w:iCs/>
          <w:szCs w:val="24"/>
          <w:lang w:val="en-GB"/>
        </w:rPr>
        <w:lastRenderedPageBreak/>
        <w:t>Impact on operational flexibility</w:t>
      </w:r>
    </w:p>
    <w:p w14:paraId="020DC171" w14:textId="77777777" w:rsidR="000D48A4" w:rsidRPr="005C0761" w:rsidRDefault="006F65F1" w:rsidP="00C5012C">
      <w:pPr>
        <w:spacing w:before="240" w:after="240"/>
        <w:rPr>
          <w:rFonts w:ascii="Arial" w:eastAsia="Times New Roman" w:hAnsi="Arial"/>
          <w:szCs w:val="24"/>
          <w:lang w:val="en-GB"/>
        </w:rPr>
      </w:pPr>
      <w:r w:rsidRPr="005C0761">
        <w:rPr>
          <w:rFonts w:ascii="Arial" w:eastAsia="Times New Roman" w:hAnsi="Arial"/>
          <w:szCs w:val="24"/>
          <w:lang w:val="en-GB"/>
        </w:rPr>
        <w:t xml:space="preserve">The restructuring of the existing assembly line by Hyundai helps to meet the changing consumer preferences and increase overall productivity. In addition, the development of electric SUVs with superior battery technology further enables this company to leverage governmental grants. These grants help this company to finance its supply chain operations and other manufacturing processes. </w:t>
      </w:r>
    </w:p>
    <w:p w14:paraId="64C2B3D6" w14:textId="77777777" w:rsidR="000D48A4" w:rsidRPr="005C0761" w:rsidRDefault="006F65F1" w:rsidP="00C5012C">
      <w:pPr>
        <w:pStyle w:val="Heading2"/>
        <w:spacing w:before="240" w:after="240"/>
        <w:rPr>
          <w:rFonts w:ascii="Arial" w:hAnsi="Arial" w:cs="Arial"/>
          <w:lang w:val="en-GB"/>
        </w:rPr>
      </w:pPr>
      <w:bookmarkStart w:id="24" w:name="_81fm28dmpq18" w:colFirst="0" w:colLast="0"/>
      <w:bookmarkStart w:id="25" w:name="_Toc227950758"/>
      <w:bookmarkEnd w:id="24"/>
      <w:r w:rsidRPr="005C0761">
        <w:rPr>
          <w:rFonts w:ascii="Arial" w:hAnsi="Arial" w:cs="Arial"/>
          <w:lang w:val="en-GB"/>
        </w:rPr>
        <w:t>International and Ethical Considerations</w:t>
      </w:r>
      <w:bookmarkEnd w:id="25"/>
    </w:p>
    <w:p w14:paraId="1C7A03E5" w14:textId="77777777" w:rsidR="000D48A4" w:rsidRPr="005C0761" w:rsidRDefault="006F65F1" w:rsidP="00C5012C">
      <w:pPr>
        <w:spacing w:before="240" w:after="240"/>
        <w:rPr>
          <w:rFonts w:ascii="Arial" w:eastAsia="Times New Roman" w:hAnsi="Arial"/>
          <w:b/>
          <w:bCs/>
          <w:i/>
          <w:iCs/>
          <w:szCs w:val="24"/>
          <w:lang w:val="en-GB"/>
        </w:rPr>
      </w:pPr>
      <w:r w:rsidRPr="005C0761">
        <w:rPr>
          <w:rFonts w:ascii="Arial" w:eastAsia="Times New Roman" w:hAnsi="Arial"/>
          <w:b/>
          <w:bCs/>
          <w:i/>
          <w:iCs/>
          <w:szCs w:val="24"/>
          <w:lang w:val="en-GB"/>
        </w:rPr>
        <w:t>Taxation and regulatory Compliances</w:t>
      </w:r>
    </w:p>
    <w:p w14:paraId="0FF428EF" w14:textId="77777777" w:rsidR="000D48A4" w:rsidRPr="005C0761" w:rsidRDefault="006F65F1" w:rsidP="00C5012C">
      <w:pPr>
        <w:spacing w:before="240" w:after="240"/>
        <w:rPr>
          <w:rFonts w:ascii="Arial" w:eastAsia="Times New Roman" w:hAnsi="Arial"/>
          <w:szCs w:val="24"/>
          <w:lang w:val="en-GB"/>
        </w:rPr>
      </w:pPr>
      <w:r w:rsidRPr="005C0761">
        <w:rPr>
          <w:rFonts w:ascii="Arial" w:eastAsia="Times New Roman" w:hAnsi="Arial"/>
          <w:szCs w:val="24"/>
          <w:lang w:val="en-GB"/>
        </w:rPr>
        <w:t xml:space="preserve">Hyundai strictly monitors its taxation policy and strictly monitors it with the “Make in India” initiative (Choudhury, 2022). This alignment benefits this company to maintain a fixed cost structure and effectively regulate the car prices. In addition, the close monitoring of taxation policies helps to manage the transfer pricing strategy between its subsidiaries (Elumilade </w:t>
      </w:r>
      <w:r w:rsidRPr="005C0761">
        <w:rPr>
          <w:rFonts w:ascii="Arial" w:eastAsia="Times New Roman" w:hAnsi="Arial"/>
          <w:i/>
          <w:iCs/>
          <w:szCs w:val="24"/>
          <w:lang w:val="en-GB"/>
        </w:rPr>
        <w:t>et al</w:t>
      </w:r>
      <w:r w:rsidRPr="005C0761">
        <w:rPr>
          <w:rFonts w:ascii="Arial" w:eastAsia="Times New Roman" w:hAnsi="Arial"/>
          <w:szCs w:val="24"/>
          <w:lang w:val="en-GB"/>
        </w:rPr>
        <w:t>., 2022).</w:t>
      </w:r>
    </w:p>
    <w:p w14:paraId="24D309E7" w14:textId="77777777" w:rsidR="000D48A4" w:rsidRPr="005C0761" w:rsidRDefault="006F65F1" w:rsidP="00C5012C">
      <w:pPr>
        <w:spacing w:before="240" w:after="240"/>
        <w:rPr>
          <w:rFonts w:ascii="Arial" w:eastAsia="Times New Roman" w:hAnsi="Arial"/>
          <w:b/>
          <w:bCs/>
          <w:i/>
          <w:iCs/>
          <w:szCs w:val="24"/>
          <w:lang w:val="en-GB"/>
        </w:rPr>
      </w:pPr>
      <w:r w:rsidRPr="005C0761">
        <w:rPr>
          <w:rFonts w:ascii="Arial" w:eastAsia="Times New Roman" w:hAnsi="Arial"/>
          <w:b/>
          <w:bCs/>
          <w:i/>
          <w:iCs/>
          <w:szCs w:val="24"/>
          <w:lang w:val="en-GB"/>
        </w:rPr>
        <w:t>Currency Risk and Inflation</w:t>
      </w:r>
    </w:p>
    <w:p w14:paraId="4F2FBBC8" w14:textId="77777777" w:rsidR="000D48A4" w:rsidRPr="005C0761" w:rsidRDefault="006F65F1" w:rsidP="00C5012C">
      <w:pPr>
        <w:spacing w:before="240" w:after="240"/>
        <w:rPr>
          <w:rFonts w:ascii="Arial" w:eastAsia="Times New Roman" w:hAnsi="Arial"/>
          <w:szCs w:val="24"/>
          <w:lang w:val="en-GB"/>
        </w:rPr>
      </w:pPr>
      <w:r w:rsidRPr="005C0761">
        <w:rPr>
          <w:rFonts w:ascii="Arial" w:eastAsia="Times New Roman" w:hAnsi="Arial"/>
          <w:szCs w:val="24"/>
          <w:lang w:val="en-GB"/>
        </w:rPr>
        <w:t xml:space="preserve">Hyundai has recently been facing foreign currency fluctuations. The problems are basically associated with the export destinations, such as Africa and the Middle East. In this scenario, </w:t>
      </w:r>
      <w:r w:rsidRPr="005C0761">
        <w:rPr>
          <w:rFonts w:ascii="Arial" w:eastAsia="Times New Roman" w:hAnsi="Arial"/>
          <w:color w:val="0A0A0A"/>
          <w:szCs w:val="24"/>
          <w:highlight w:val="white"/>
          <w:lang w:val="en-GB"/>
        </w:rPr>
        <w:t>the company uses currency derivatives to hedge against exchange rate volatility (Patel, 2025).</w:t>
      </w:r>
      <w:r w:rsidRPr="005C0761">
        <w:rPr>
          <w:rFonts w:ascii="Arial" w:eastAsia="Times New Roman" w:hAnsi="Arial"/>
          <w:szCs w:val="24"/>
          <w:lang w:val="en-GB"/>
        </w:rPr>
        <w:t xml:space="preserve"> Foreign currency fluctuations lead to a reduction in the overall profit margins of this company. As a result, these fluctuations need to be tackled to maintain a stable profit margin in all the export destinations of this company. In addition, this company is planning to increase the cost of cars by 1% from May 2026. This is because Hyundai is trying to meet the changing market dynamics by maintaining a stable cost structure (Sankhwar, 2024).</w:t>
      </w:r>
    </w:p>
    <w:p w14:paraId="7543D1D4" w14:textId="77777777" w:rsidR="000D48A4" w:rsidRPr="005C0761" w:rsidRDefault="006F65F1" w:rsidP="00C5012C">
      <w:pPr>
        <w:spacing w:before="240" w:after="240"/>
        <w:rPr>
          <w:rFonts w:ascii="Arial" w:eastAsia="Times New Roman" w:hAnsi="Arial"/>
          <w:b/>
          <w:bCs/>
          <w:i/>
          <w:iCs/>
          <w:szCs w:val="24"/>
          <w:lang w:val="en-GB"/>
        </w:rPr>
      </w:pPr>
      <w:r w:rsidRPr="005C0761">
        <w:rPr>
          <w:rFonts w:ascii="Arial" w:eastAsia="Times New Roman" w:hAnsi="Arial"/>
          <w:b/>
          <w:bCs/>
          <w:i/>
          <w:iCs/>
          <w:szCs w:val="24"/>
          <w:lang w:val="en-GB"/>
        </w:rPr>
        <w:t>CSR and Ethical Governance</w:t>
      </w:r>
    </w:p>
    <w:p w14:paraId="45D59A9E" w14:textId="77777777" w:rsidR="000D48A4" w:rsidRPr="005C0761" w:rsidRDefault="006F65F1" w:rsidP="00C5012C">
      <w:pPr>
        <w:spacing w:before="240" w:after="240"/>
        <w:rPr>
          <w:rFonts w:ascii="Arial" w:eastAsia="Times New Roman" w:hAnsi="Arial"/>
          <w:szCs w:val="24"/>
          <w:lang w:val="en-GB"/>
        </w:rPr>
      </w:pPr>
      <w:r w:rsidRPr="005C0761">
        <w:rPr>
          <w:rFonts w:ascii="Arial" w:eastAsia="Times New Roman" w:hAnsi="Arial"/>
          <w:szCs w:val="24"/>
          <w:lang w:val="en-GB"/>
        </w:rPr>
        <w:t xml:space="preserve">The restructuring of the existing assembly lines by Hyundai perfectly aligns with the Environmental Protection Act. In addition, the development of electric SUVs helps to increase the efficiency of manufacturing processes. Also, it helps this company to expand </w:t>
      </w:r>
      <w:r w:rsidRPr="005C0761">
        <w:rPr>
          <w:rFonts w:ascii="Arial" w:eastAsia="Times New Roman" w:hAnsi="Arial"/>
          <w:szCs w:val="24"/>
          <w:lang w:val="en-GB"/>
        </w:rPr>
        <w:lastRenderedPageBreak/>
        <w:t xml:space="preserve">its market reach and successfully meet changing market dynamics. </w:t>
      </w:r>
      <w:r w:rsidRPr="005C0761">
        <w:rPr>
          <w:rFonts w:ascii="Arial" w:eastAsia="Times New Roman" w:hAnsi="Arial"/>
          <w:color w:val="0A0A0A"/>
          <w:szCs w:val="24"/>
          <w:highlight w:val="white"/>
          <w:lang w:val="en-GB"/>
        </w:rPr>
        <w:t xml:space="preserve">The Management Board of Hyundai is currently focusing on "Progress for Humanity," initiative with a robust Dividend Distribution Policy and a commitment to transparent reporting under the new leadership (Kim </w:t>
      </w:r>
      <w:r w:rsidRPr="005C0761">
        <w:rPr>
          <w:rFonts w:ascii="Arial" w:eastAsia="Times New Roman" w:hAnsi="Arial"/>
          <w:i/>
          <w:iCs/>
          <w:color w:val="0A0A0A"/>
          <w:szCs w:val="24"/>
          <w:highlight w:val="white"/>
          <w:lang w:val="en-GB"/>
        </w:rPr>
        <w:t>et al</w:t>
      </w:r>
      <w:r w:rsidRPr="005C0761">
        <w:rPr>
          <w:rFonts w:ascii="Arial" w:eastAsia="Times New Roman" w:hAnsi="Arial"/>
          <w:color w:val="0A0A0A"/>
          <w:szCs w:val="24"/>
          <w:highlight w:val="white"/>
          <w:lang w:val="en-GB"/>
        </w:rPr>
        <w:t>., 2025).</w:t>
      </w:r>
      <w:r w:rsidRPr="005C0761">
        <w:rPr>
          <w:rFonts w:ascii="Arial" w:eastAsia="Times New Roman" w:hAnsi="Arial"/>
          <w:szCs w:val="24"/>
          <w:lang w:val="en-GB"/>
        </w:rPr>
        <w:t xml:space="preserve"> </w:t>
      </w:r>
    </w:p>
    <w:p w14:paraId="52C0316F" w14:textId="77777777" w:rsidR="0037456B" w:rsidRPr="005C0761" w:rsidRDefault="0037456B" w:rsidP="00C5012C">
      <w:pPr>
        <w:pStyle w:val="Heading1"/>
        <w:spacing w:before="240" w:after="240"/>
        <w:rPr>
          <w:rFonts w:ascii="Arial" w:hAnsi="Arial" w:cs="Arial"/>
          <w:lang w:val="en-GB"/>
        </w:rPr>
      </w:pPr>
      <w:bookmarkStart w:id="26" w:name="_Toc227950759"/>
      <w:r w:rsidRPr="005C0761">
        <w:rPr>
          <w:rFonts w:ascii="Arial" w:hAnsi="Arial" w:cs="Arial"/>
          <w:lang w:val="en-GB"/>
        </w:rPr>
        <w:t>4.  Evaluate the Investment Appraisal and Capital Budgeting system of the company</w:t>
      </w:r>
      <w:bookmarkEnd w:id="26"/>
      <w:r w:rsidRPr="005C0761">
        <w:rPr>
          <w:rFonts w:ascii="Arial" w:hAnsi="Arial" w:cs="Arial"/>
          <w:lang w:val="en-GB"/>
        </w:rPr>
        <w:t xml:space="preserve"> </w:t>
      </w:r>
    </w:p>
    <w:p w14:paraId="323549FD" w14:textId="5FF5A761" w:rsidR="0037456B" w:rsidRPr="005C0761" w:rsidRDefault="0037456B" w:rsidP="00C5012C">
      <w:pPr>
        <w:pStyle w:val="Heading2"/>
        <w:spacing w:before="240" w:after="240"/>
        <w:rPr>
          <w:rFonts w:ascii="Arial" w:hAnsi="Arial" w:cs="Arial"/>
          <w:lang w:val="en-GB"/>
        </w:rPr>
      </w:pPr>
      <w:bookmarkStart w:id="27" w:name="_zfgblvy22v2s" w:colFirst="0" w:colLast="0"/>
      <w:bookmarkEnd w:id="27"/>
      <w:r w:rsidRPr="005C0761">
        <w:rPr>
          <w:rFonts w:ascii="Arial" w:hAnsi="Arial" w:cs="Arial"/>
          <w:lang w:val="en-GB"/>
        </w:rPr>
        <w:t xml:space="preserve"> </w:t>
      </w:r>
      <w:bookmarkStart w:id="28" w:name="_Toc227950760"/>
      <w:r w:rsidRPr="005C0761">
        <w:rPr>
          <w:rFonts w:ascii="Arial" w:hAnsi="Arial" w:cs="Arial"/>
          <w:lang w:val="en-GB"/>
        </w:rPr>
        <w:t xml:space="preserve">Capital </w:t>
      </w:r>
      <w:bookmarkEnd w:id="28"/>
      <w:r w:rsidR="000948CF" w:rsidRPr="005C0761">
        <w:rPr>
          <w:rFonts w:ascii="Arial" w:hAnsi="Arial" w:cs="Arial"/>
          <w:lang w:val="en-GB"/>
        </w:rPr>
        <w:t>Budgeting management</w:t>
      </w:r>
      <w:r w:rsidRPr="005C0761">
        <w:rPr>
          <w:rFonts w:ascii="Arial" w:hAnsi="Arial" w:cs="Arial"/>
          <w:lang w:val="en-GB"/>
        </w:rPr>
        <w:t xml:space="preserve"> </w:t>
      </w:r>
    </w:p>
    <w:p w14:paraId="41644082" w14:textId="541ECD12"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t xml:space="preserve">Importances of capital </w:t>
      </w:r>
      <w:r w:rsidR="000948CF" w:rsidRPr="005C0761">
        <w:rPr>
          <w:rFonts w:ascii="Arial" w:eastAsia="Times New Roman" w:hAnsi="Arial"/>
          <w:b/>
          <w:bCs/>
          <w:szCs w:val="24"/>
          <w:lang w:val="en-GB"/>
        </w:rPr>
        <w:t>budgeting management</w:t>
      </w:r>
      <w:r w:rsidRPr="005C0761">
        <w:rPr>
          <w:rFonts w:ascii="Arial" w:eastAsia="Times New Roman" w:hAnsi="Arial"/>
          <w:b/>
          <w:bCs/>
          <w:szCs w:val="24"/>
          <w:lang w:val="en-GB"/>
        </w:rPr>
        <w:t xml:space="preserve"> </w:t>
      </w:r>
    </w:p>
    <w:p w14:paraId="3E0B8DA6" w14:textId="77777777"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Capital budgeting management system is crucial for organizations to create an optimisation for their cash flow and liquidity management sector to reduce the level of debts (Barnabas and Oloyede, 2024). Managing the capital budgeting system effectively can help the company to enhance its liquidity level and improv</w:t>
      </w:r>
      <w:r w:rsidRPr="005C0761">
        <w:rPr>
          <w:rFonts w:ascii="Arial" w:hAnsi="Arial"/>
          <w:lang w:val="en-GB"/>
        </w:rPr>
        <w:t xml:space="preserve">e </w:t>
      </w:r>
      <w:r w:rsidRPr="005C0761">
        <w:rPr>
          <w:rFonts w:ascii="Arial" w:eastAsia="Times New Roman" w:hAnsi="Arial"/>
          <w:szCs w:val="24"/>
          <w:lang w:val="en-GB"/>
        </w:rPr>
        <w:t xml:space="preserve">their profitability level in a systematic way. </w:t>
      </w:r>
    </w:p>
    <w:p w14:paraId="5C45EBA6" w14:textId="77777777"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t xml:space="preserve">Importances of project identification </w:t>
      </w:r>
    </w:p>
    <w:p w14:paraId="016E310D" w14:textId="77777777"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 xml:space="preserve">Identifying an efficient and clear project management system is a crucial step to develop suitable and effective projects in </w:t>
      </w:r>
      <w:r w:rsidRPr="005C0761">
        <w:rPr>
          <w:rFonts w:ascii="Arial" w:hAnsi="Arial"/>
          <w:lang w:val="en-GB"/>
        </w:rPr>
        <w:t>an organisational</w:t>
      </w:r>
      <w:r w:rsidRPr="005C0761">
        <w:rPr>
          <w:rFonts w:ascii="Arial" w:eastAsia="Times New Roman" w:hAnsi="Arial"/>
          <w:szCs w:val="24"/>
          <w:lang w:val="en-GB"/>
        </w:rPr>
        <w:t xml:space="preserve"> context (Hindarto, 2023). It can help to foster clarification, risk mitigation, careful planning, direction, and create an alignment with the strategic goals of companies.</w:t>
      </w:r>
    </w:p>
    <w:p w14:paraId="7B5C68DB" w14:textId="77777777"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t xml:space="preserve">Cash flow estimation </w:t>
      </w:r>
    </w:p>
    <w:p w14:paraId="232F8F0D" w14:textId="7DFC8A48"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 xml:space="preserve">Evaluating cash flow estimation helps to examine the increase of its assets, its obligations, business investment, and its profitability level in an effective way (Zatrochova and </w:t>
      </w:r>
      <w:r w:rsidR="000948CF" w:rsidRPr="005C0761">
        <w:rPr>
          <w:rFonts w:ascii="Arial" w:eastAsia="Times New Roman" w:hAnsi="Arial"/>
          <w:szCs w:val="24"/>
          <w:lang w:val="en-GB"/>
        </w:rPr>
        <w:t>Katrencik, 2023</w:t>
      </w:r>
      <w:r w:rsidRPr="005C0761">
        <w:rPr>
          <w:rFonts w:ascii="Arial" w:eastAsia="Times New Roman" w:hAnsi="Arial"/>
          <w:szCs w:val="24"/>
          <w:lang w:val="en-GB"/>
        </w:rPr>
        <w:t xml:space="preserve">). Utilising cash flow estimation can help the company to optimise its operating activities, investing and financing activities in a proper way. </w:t>
      </w:r>
    </w:p>
    <w:p w14:paraId="18C02A53" w14:textId="77777777" w:rsidR="002B20CD" w:rsidRDefault="002B20CD">
      <w:pPr>
        <w:spacing w:line="276" w:lineRule="auto"/>
        <w:jc w:val="left"/>
        <w:rPr>
          <w:rFonts w:ascii="Arial" w:eastAsia="Times New Roman" w:hAnsi="Arial"/>
          <w:b/>
          <w:bCs/>
          <w:szCs w:val="24"/>
          <w:lang w:val="en-GB"/>
        </w:rPr>
      </w:pPr>
      <w:r>
        <w:rPr>
          <w:rFonts w:ascii="Arial" w:eastAsia="Times New Roman" w:hAnsi="Arial"/>
          <w:b/>
          <w:bCs/>
          <w:szCs w:val="24"/>
          <w:lang w:val="en-GB"/>
        </w:rPr>
        <w:br w:type="page"/>
      </w:r>
    </w:p>
    <w:p w14:paraId="728F9D8B" w14:textId="155FD6CD"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lastRenderedPageBreak/>
        <w:t xml:space="preserve">Risk analysis  </w:t>
      </w:r>
    </w:p>
    <w:p w14:paraId="0A9BC3B4" w14:textId="77777777"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Evaluating the capital budgeting system can help the company to foster risk analysis to assess its resource allocation, operational activities, and branding performances in an efficient way (Isibor</w:t>
      </w:r>
      <w:r w:rsidRPr="005C0761">
        <w:rPr>
          <w:rFonts w:ascii="Arial" w:hAnsi="Arial"/>
          <w:lang w:val="en-GB"/>
        </w:rPr>
        <w:t xml:space="preserve"> </w:t>
      </w:r>
      <w:r w:rsidRPr="005C0761">
        <w:rPr>
          <w:rFonts w:ascii="Arial" w:hAnsi="Arial"/>
          <w:i/>
          <w:iCs/>
          <w:lang w:val="en-GB"/>
        </w:rPr>
        <w:t xml:space="preserve">et al., </w:t>
      </w:r>
      <w:r w:rsidRPr="005C0761">
        <w:rPr>
          <w:rFonts w:ascii="Arial" w:hAnsi="Arial"/>
          <w:lang w:val="en-GB"/>
        </w:rPr>
        <w:t>2022</w:t>
      </w:r>
      <w:r w:rsidRPr="005C0761">
        <w:rPr>
          <w:rFonts w:ascii="Arial" w:eastAsia="Times New Roman" w:hAnsi="Arial"/>
          <w:szCs w:val="24"/>
          <w:lang w:val="en-GB"/>
        </w:rPr>
        <w:t xml:space="preserve">). </w:t>
      </w:r>
      <w:r w:rsidRPr="005C0761">
        <w:rPr>
          <w:rFonts w:ascii="Arial" w:eastAsia="Times New Roman" w:hAnsi="Arial"/>
          <w:b/>
          <w:bCs/>
          <w:szCs w:val="24"/>
          <w:lang w:val="en-GB"/>
        </w:rPr>
        <w:t xml:space="preserve"> </w:t>
      </w:r>
    </w:p>
    <w:p w14:paraId="14AF7A94" w14:textId="77777777" w:rsidR="0037456B" w:rsidRPr="005C0761" w:rsidRDefault="0037456B" w:rsidP="00C5012C">
      <w:pPr>
        <w:pStyle w:val="Heading2"/>
        <w:spacing w:before="240" w:after="240"/>
        <w:rPr>
          <w:rFonts w:ascii="Arial" w:hAnsi="Arial" w:cs="Arial"/>
          <w:lang w:val="en-GB"/>
        </w:rPr>
      </w:pPr>
      <w:bookmarkStart w:id="29" w:name="_uul2sxeozx09" w:colFirst="0" w:colLast="0"/>
      <w:bookmarkStart w:id="30" w:name="_Toc227950761"/>
      <w:bookmarkEnd w:id="29"/>
      <w:r w:rsidRPr="005C0761">
        <w:rPr>
          <w:rFonts w:ascii="Arial" w:hAnsi="Arial" w:cs="Arial"/>
          <w:lang w:val="en-GB"/>
        </w:rPr>
        <w:t>Analysis of the PBP, ARR, NPV, PI, and IRR</w:t>
      </w:r>
      <w:bookmarkEnd w:id="30"/>
    </w:p>
    <w:p w14:paraId="2AFE3D5C" w14:textId="5E8E55B2"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t>Project A</w:t>
      </w:r>
      <w:r w:rsidRPr="005C0761">
        <w:rPr>
          <w:rFonts w:ascii="Arial" w:eastAsia="Times New Roman" w:hAnsi="Arial"/>
          <w:b/>
          <w:bCs/>
          <w:szCs w:val="24"/>
          <w:lang w:val="en-GB"/>
        </w:rPr>
        <w:br/>
      </w:r>
      <w:r w:rsidR="000948CF" w:rsidRPr="005C0761">
        <w:rPr>
          <w:rFonts w:ascii="Arial" w:eastAsia="Times New Roman" w:hAnsi="Arial"/>
          <w:b/>
          <w:bCs/>
          <w:szCs w:val="24"/>
          <w:lang w:val="en-GB"/>
        </w:rPr>
        <w:t>NPV (</w:t>
      </w:r>
      <w:r w:rsidRPr="005C0761">
        <w:rPr>
          <w:rFonts w:ascii="Arial" w:eastAsia="Times New Roman" w:hAnsi="Arial"/>
          <w:b/>
          <w:bCs/>
          <w:szCs w:val="24"/>
          <w:lang w:val="en-GB"/>
        </w:rPr>
        <w:t>Net Present Value) and PI (Profitability index)</w:t>
      </w:r>
    </w:p>
    <w:p w14:paraId="7684B1BC"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361A98C7" wp14:editId="3563CD21">
            <wp:extent cx="5943600" cy="1485900"/>
            <wp:effectExtent l="0" t="0" r="0" b="0"/>
            <wp:docPr id="21"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2"/>
                    <a:srcRect/>
                    <a:stretch>
                      <a:fillRect/>
                    </a:stretch>
                  </pic:blipFill>
                  <pic:spPr>
                    <a:xfrm>
                      <a:off x="0" y="0"/>
                      <a:ext cx="5943600" cy="1485900"/>
                    </a:xfrm>
                    <a:prstGeom prst="rect">
                      <a:avLst/>
                    </a:prstGeom>
                    <a:ln/>
                  </pic:spPr>
                </pic:pic>
              </a:graphicData>
            </a:graphic>
          </wp:inline>
        </w:drawing>
      </w:r>
    </w:p>
    <w:p w14:paraId="5BA365CB" w14:textId="77777777" w:rsidR="0037456B" w:rsidRPr="005C0761" w:rsidRDefault="0037456B" w:rsidP="00C5012C">
      <w:pPr>
        <w:spacing w:before="240" w:after="240"/>
        <w:jc w:val="center"/>
        <w:rPr>
          <w:rFonts w:ascii="Arial" w:hAnsi="Arial"/>
          <w:b/>
          <w:bCs/>
          <w:lang w:val="en-GB"/>
        </w:rPr>
      </w:pPr>
      <w:r w:rsidRPr="005C0761">
        <w:rPr>
          <w:rFonts w:ascii="Arial" w:eastAsia="Times New Roman" w:hAnsi="Arial"/>
          <w:b/>
          <w:bCs/>
          <w:szCs w:val="24"/>
          <w:lang w:val="en-GB"/>
        </w:rPr>
        <w:t xml:space="preserve">Figure 11: Analysis of NPV and PI </w:t>
      </w:r>
    </w:p>
    <w:p w14:paraId="2684F730" w14:textId="328991A7" w:rsidR="0037456B" w:rsidRPr="005C0761" w:rsidRDefault="0037456B" w:rsidP="00C5012C">
      <w:pPr>
        <w:spacing w:before="240" w:after="240"/>
        <w:jc w:val="center"/>
        <w:rPr>
          <w:rFonts w:ascii="Arial" w:hAnsi="Arial"/>
          <w:lang w:val="en-GB"/>
        </w:rPr>
      </w:pPr>
      <w:r w:rsidRPr="005C0761">
        <w:rPr>
          <w:rFonts w:ascii="Arial" w:eastAsia="Times New Roman" w:hAnsi="Arial"/>
          <w:szCs w:val="24"/>
          <w:lang w:val="en-GB"/>
        </w:rPr>
        <w:t>(Source: MS</w:t>
      </w:r>
      <w:r w:rsidRPr="005C0761">
        <w:rPr>
          <w:rFonts w:ascii="Arial" w:hAnsi="Arial"/>
          <w:lang w:val="en-GB"/>
        </w:rPr>
        <w:t xml:space="preserve"> </w:t>
      </w:r>
      <w:r w:rsidR="000948CF" w:rsidRPr="005C0761">
        <w:rPr>
          <w:rFonts w:ascii="Arial" w:hAnsi="Arial"/>
          <w:lang w:val="en-GB"/>
        </w:rPr>
        <w:t>Excel)</w:t>
      </w:r>
    </w:p>
    <w:p w14:paraId="560BA921" w14:textId="77777777" w:rsidR="0037456B" w:rsidRPr="005C0761" w:rsidRDefault="0037456B" w:rsidP="00C5012C">
      <w:pPr>
        <w:spacing w:before="240" w:after="240"/>
        <w:rPr>
          <w:rFonts w:ascii="Arial" w:hAnsi="Arial"/>
          <w:lang w:val="en-GB"/>
        </w:rPr>
      </w:pPr>
      <w:r w:rsidRPr="005C0761">
        <w:rPr>
          <w:rFonts w:ascii="Arial" w:hAnsi="Arial"/>
          <w:lang w:val="en-GB"/>
        </w:rPr>
        <w:t xml:space="preserve">The result of NPV shows a negative value, which clearly defines that the project is unable to earn enough to cover the investment and the cost of capital budgeting management. The project can also be rejected due to its negative value, and it shows that the internal rate of return is lower than the used discount rate.  </w:t>
      </w:r>
    </w:p>
    <w:p w14:paraId="186435C6" w14:textId="77777777" w:rsidR="0037456B" w:rsidRPr="005C0761" w:rsidRDefault="0037456B" w:rsidP="00C5012C">
      <w:pPr>
        <w:spacing w:before="240" w:after="240"/>
        <w:rPr>
          <w:rFonts w:ascii="Arial" w:hAnsi="Arial"/>
          <w:lang w:val="en-GB"/>
        </w:rPr>
      </w:pPr>
      <w:r w:rsidRPr="005C0761">
        <w:rPr>
          <w:rFonts w:ascii="Arial" w:hAnsi="Arial"/>
          <w:lang w:val="en-GB"/>
        </w:rPr>
        <w:t xml:space="preserve">The value of PI shows a negative value and indicates that the project can generate a negative net present value and can become rejected in the near future. It reflects that the developing project is unable to meet a positive and future cash flow in the industrial sector of the company. </w:t>
      </w:r>
    </w:p>
    <w:p w14:paraId="47FEC274" w14:textId="77777777" w:rsidR="007C45A5" w:rsidRDefault="007C45A5">
      <w:pPr>
        <w:spacing w:line="276" w:lineRule="auto"/>
        <w:jc w:val="left"/>
        <w:rPr>
          <w:rFonts w:ascii="Arial" w:eastAsia="Times New Roman" w:hAnsi="Arial"/>
          <w:b/>
          <w:bCs/>
          <w:szCs w:val="24"/>
          <w:lang w:val="en-GB"/>
        </w:rPr>
      </w:pPr>
      <w:r>
        <w:rPr>
          <w:rFonts w:ascii="Arial" w:eastAsia="Times New Roman" w:hAnsi="Arial"/>
          <w:b/>
          <w:bCs/>
          <w:szCs w:val="24"/>
          <w:lang w:val="en-GB"/>
        </w:rPr>
        <w:br w:type="page"/>
      </w:r>
    </w:p>
    <w:p w14:paraId="576FBE27" w14:textId="16048F6B"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lastRenderedPageBreak/>
        <w:t>IRR (Internal Rate of Return)</w:t>
      </w:r>
    </w:p>
    <w:p w14:paraId="74DEB41C"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50C145BA" wp14:editId="219CC923">
            <wp:extent cx="5943600" cy="1905000"/>
            <wp:effectExtent l="0" t="0" r="0" b="0"/>
            <wp:docPr id="20"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3"/>
                    <a:srcRect/>
                    <a:stretch>
                      <a:fillRect/>
                    </a:stretch>
                  </pic:blipFill>
                  <pic:spPr>
                    <a:xfrm>
                      <a:off x="0" y="0"/>
                      <a:ext cx="5943600" cy="1905000"/>
                    </a:xfrm>
                    <a:prstGeom prst="rect">
                      <a:avLst/>
                    </a:prstGeom>
                    <a:ln/>
                  </pic:spPr>
                </pic:pic>
              </a:graphicData>
            </a:graphic>
          </wp:inline>
        </w:drawing>
      </w:r>
    </w:p>
    <w:p w14:paraId="1EB07D20" w14:textId="77777777" w:rsidR="0037456B" w:rsidRPr="005C0761" w:rsidRDefault="0037456B" w:rsidP="00C5012C">
      <w:pPr>
        <w:spacing w:before="240" w:after="240"/>
        <w:jc w:val="center"/>
        <w:rPr>
          <w:rFonts w:ascii="Arial" w:hAnsi="Arial"/>
          <w:b/>
          <w:bCs/>
          <w:lang w:val="en-GB"/>
        </w:rPr>
      </w:pPr>
      <w:r w:rsidRPr="005C0761">
        <w:rPr>
          <w:rFonts w:ascii="Arial" w:eastAsia="Times New Roman" w:hAnsi="Arial"/>
          <w:b/>
          <w:bCs/>
          <w:szCs w:val="24"/>
          <w:lang w:val="en-GB"/>
        </w:rPr>
        <w:t>Figure 12: Analysis of IRR</w:t>
      </w:r>
    </w:p>
    <w:p w14:paraId="73BCFE47" w14:textId="107EA4C6" w:rsidR="0037456B" w:rsidRPr="005C0761" w:rsidRDefault="0037456B" w:rsidP="00C5012C">
      <w:pPr>
        <w:spacing w:before="240" w:after="240"/>
        <w:jc w:val="center"/>
        <w:rPr>
          <w:rFonts w:ascii="Arial" w:hAnsi="Arial"/>
          <w:lang w:val="en-GB"/>
        </w:rPr>
      </w:pPr>
      <w:r w:rsidRPr="005C0761">
        <w:rPr>
          <w:rFonts w:ascii="Arial" w:eastAsia="Times New Roman" w:hAnsi="Arial"/>
          <w:szCs w:val="24"/>
          <w:lang w:val="en-GB"/>
        </w:rPr>
        <w:t xml:space="preserve">(Source: </w:t>
      </w:r>
      <w:r w:rsidRPr="005C0761">
        <w:rPr>
          <w:rFonts w:ascii="Arial" w:hAnsi="Arial"/>
          <w:lang w:val="en-GB"/>
        </w:rPr>
        <w:t xml:space="preserve">MS </w:t>
      </w:r>
      <w:r w:rsidR="000948CF" w:rsidRPr="005C0761">
        <w:rPr>
          <w:rFonts w:ascii="Arial" w:hAnsi="Arial"/>
          <w:lang w:val="en-GB"/>
        </w:rPr>
        <w:t>Excel)</w:t>
      </w:r>
    </w:p>
    <w:p w14:paraId="3473D8D6" w14:textId="77777777" w:rsidR="0037456B" w:rsidRPr="005C0761" w:rsidRDefault="0037456B" w:rsidP="00C5012C">
      <w:pPr>
        <w:spacing w:before="240" w:after="240"/>
        <w:rPr>
          <w:rFonts w:ascii="Arial" w:hAnsi="Arial"/>
          <w:lang w:val="en-GB"/>
        </w:rPr>
      </w:pPr>
      <w:r w:rsidRPr="005C0761">
        <w:rPr>
          <w:rFonts w:ascii="Arial" w:hAnsi="Arial"/>
          <w:lang w:val="en-GB"/>
        </w:rPr>
        <w:t xml:space="preserve">The result of the IRR shows a low return and estimated opportunity costs in its investment and project development sector. It reflects that the project and investment can generate a compound rate of 3% in its duration of development of the particular project. The result of 3% shows a low investment rate, and it is safe to create investment with a government bonds. It also shows slow growth and a low risk profile in its investment and project management sector. </w:t>
      </w:r>
    </w:p>
    <w:p w14:paraId="5B526B13" w14:textId="77777777"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t>PBP (Payback period)</w:t>
      </w:r>
    </w:p>
    <w:p w14:paraId="03E28FDF"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16DD1205" wp14:editId="3A08F62D">
            <wp:extent cx="5943600" cy="1143000"/>
            <wp:effectExtent l="0" t="0" r="0" b="0"/>
            <wp:docPr id="8"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4"/>
                    <a:srcRect/>
                    <a:stretch>
                      <a:fillRect/>
                    </a:stretch>
                  </pic:blipFill>
                  <pic:spPr>
                    <a:xfrm>
                      <a:off x="0" y="0"/>
                      <a:ext cx="5943600" cy="1143000"/>
                    </a:xfrm>
                    <a:prstGeom prst="rect">
                      <a:avLst/>
                    </a:prstGeom>
                    <a:ln/>
                  </pic:spPr>
                </pic:pic>
              </a:graphicData>
            </a:graphic>
          </wp:inline>
        </w:drawing>
      </w:r>
    </w:p>
    <w:p w14:paraId="25B61AEE" w14:textId="5418CB3B" w:rsidR="0037456B" w:rsidRPr="005C0761" w:rsidRDefault="000948CF" w:rsidP="00C5012C">
      <w:pPr>
        <w:spacing w:before="240" w:after="240"/>
        <w:jc w:val="center"/>
        <w:rPr>
          <w:rFonts w:ascii="Arial" w:hAnsi="Arial"/>
          <w:b/>
          <w:bCs/>
          <w:lang w:val="en-GB"/>
        </w:rPr>
      </w:pPr>
      <w:r w:rsidRPr="005C0761">
        <w:rPr>
          <w:rFonts w:ascii="Arial" w:eastAsia="Times New Roman" w:hAnsi="Arial"/>
          <w:b/>
          <w:bCs/>
          <w:szCs w:val="24"/>
          <w:lang w:val="en-GB"/>
        </w:rPr>
        <w:t>Figure</w:t>
      </w:r>
      <w:r w:rsidRPr="005C0761">
        <w:rPr>
          <w:rFonts w:ascii="Arial" w:hAnsi="Arial"/>
          <w:b/>
          <w:bCs/>
          <w:lang w:val="en-GB"/>
        </w:rPr>
        <w:t xml:space="preserve"> </w:t>
      </w:r>
      <w:r w:rsidRPr="005C0761">
        <w:rPr>
          <w:rFonts w:ascii="Arial" w:eastAsia="Times New Roman" w:hAnsi="Arial"/>
          <w:b/>
          <w:bCs/>
          <w:szCs w:val="24"/>
          <w:lang w:val="en-GB"/>
        </w:rPr>
        <w:t>13</w:t>
      </w:r>
      <w:r w:rsidR="0037456B" w:rsidRPr="005C0761">
        <w:rPr>
          <w:rFonts w:ascii="Arial" w:eastAsia="Times New Roman" w:hAnsi="Arial"/>
          <w:b/>
          <w:bCs/>
          <w:szCs w:val="24"/>
          <w:lang w:val="en-GB"/>
        </w:rPr>
        <w:t>: Analysis of PBP</w:t>
      </w:r>
    </w:p>
    <w:p w14:paraId="5633E9C9" w14:textId="74B77D8C" w:rsidR="0037456B" w:rsidRPr="005C0761" w:rsidRDefault="0037456B" w:rsidP="00C5012C">
      <w:pPr>
        <w:spacing w:before="240" w:after="240"/>
        <w:jc w:val="center"/>
        <w:rPr>
          <w:rFonts w:ascii="Arial" w:hAnsi="Arial"/>
          <w:lang w:val="en-GB"/>
        </w:rPr>
      </w:pPr>
      <w:r w:rsidRPr="005C0761">
        <w:rPr>
          <w:rFonts w:ascii="Arial" w:eastAsia="Times New Roman" w:hAnsi="Arial"/>
          <w:szCs w:val="24"/>
          <w:lang w:val="en-GB"/>
        </w:rPr>
        <w:t xml:space="preserve">(Source: </w:t>
      </w:r>
      <w:r w:rsidRPr="005C0761">
        <w:rPr>
          <w:rFonts w:ascii="Arial" w:hAnsi="Arial"/>
          <w:lang w:val="en-GB"/>
        </w:rPr>
        <w:t xml:space="preserve">MS </w:t>
      </w:r>
      <w:r w:rsidR="000948CF" w:rsidRPr="005C0761">
        <w:rPr>
          <w:rFonts w:ascii="Arial" w:hAnsi="Arial"/>
          <w:lang w:val="en-GB"/>
        </w:rPr>
        <w:t>Excel)</w:t>
      </w:r>
    </w:p>
    <w:p w14:paraId="209CAF3F" w14:textId="77777777" w:rsidR="0037456B" w:rsidRPr="005C0761" w:rsidRDefault="0037456B" w:rsidP="00C5012C">
      <w:pPr>
        <w:spacing w:before="240" w:after="240"/>
        <w:rPr>
          <w:rFonts w:ascii="Arial" w:hAnsi="Arial"/>
          <w:lang w:val="en-GB"/>
        </w:rPr>
      </w:pPr>
      <w:r w:rsidRPr="005C0761">
        <w:rPr>
          <w:rFonts w:ascii="Arial" w:hAnsi="Arial"/>
          <w:lang w:val="en-GB"/>
        </w:rPr>
        <w:t xml:space="preserve">The result of PBP shows the three-and-a-half-year time period to meet the high level of net cash flows, which can create an equality with the initial cash outflow. It analyses that </w:t>
      </w:r>
      <w:r w:rsidRPr="005C0761">
        <w:rPr>
          <w:rFonts w:ascii="Arial" w:hAnsi="Arial"/>
          <w:lang w:val="en-GB"/>
        </w:rPr>
        <w:lastRenderedPageBreak/>
        <w:t xml:space="preserve">the developing project can earn the initial costs in a timeframe of 3 years and 6 months. In this time period, the rate of cash flow can turn from negative to positive in an effective way. </w:t>
      </w:r>
    </w:p>
    <w:p w14:paraId="35FBB497" w14:textId="77777777"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t>ARR (Annual Recurring Revenue)</w:t>
      </w:r>
    </w:p>
    <w:p w14:paraId="144BE13F"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04D8E435" wp14:editId="0FB78027">
            <wp:extent cx="5943600" cy="2133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5"/>
                    <a:srcRect/>
                    <a:stretch>
                      <a:fillRect/>
                    </a:stretch>
                  </pic:blipFill>
                  <pic:spPr>
                    <a:xfrm>
                      <a:off x="0" y="0"/>
                      <a:ext cx="5943600" cy="2133600"/>
                    </a:xfrm>
                    <a:prstGeom prst="rect">
                      <a:avLst/>
                    </a:prstGeom>
                    <a:ln/>
                  </pic:spPr>
                </pic:pic>
              </a:graphicData>
            </a:graphic>
          </wp:inline>
        </w:drawing>
      </w:r>
    </w:p>
    <w:p w14:paraId="3E0CDFF0" w14:textId="77777777" w:rsidR="0037456B" w:rsidRPr="005C0761" w:rsidRDefault="0037456B" w:rsidP="00C5012C">
      <w:pPr>
        <w:spacing w:before="240" w:after="240"/>
        <w:jc w:val="center"/>
        <w:rPr>
          <w:rFonts w:ascii="Arial" w:hAnsi="Arial"/>
          <w:b/>
          <w:bCs/>
          <w:lang w:val="en-GB"/>
        </w:rPr>
      </w:pPr>
      <w:r w:rsidRPr="005C0761">
        <w:rPr>
          <w:rFonts w:ascii="Arial" w:eastAsia="Times New Roman" w:hAnsi="Arial"/>
          <w:b/>
          <w:bCs/>
          <w:szCs w:val="24"/>
          <w:lang w:val="en-GB"/>
        </w:rPr>
        <w:t xml:space="preserve">Figure 14: Analysis of ARR </w:t>
      </w:r>
    </w:p>
    <w:p w14:paraId="0EF7E0EB" w14:textId="5E48DF79" w:rsidR="0037456B" w:rsidRPr="005C0761" w:rsidRDefault="0037456B" w:rsidP="00C5012C">
      <w:pPr>
        <w:spacing w:before="240" w:after="240"/>
        <w:jc w:val="center"/>
        <w:rPr>
          <w:rFonts w:ascii="Arial" w:hAnsi="Arial"/>
          <w:lang w:val="en-GB"/>
        </w:rPr>
      </w:pPr>
      <w:r w:rsidRPr="005C0761">
        <w:rPr>
          <w:rFonts w:ascii="Arial" w:eastAsia="Times New Roman" w:hAnsi="Arial"/>
          <w:szCs w:val="24"/>
          <w:lang w:val="en-GB"/>
        </w:rPr>
        <w:t xml:space="preserve">(Source: </w:t>
      </w:r>
      <w:r w:rsidRPr="005C0761">
        <w:rPr>
          <w:rFonts w:ascii="Arial" w:hAnsi="Arial"/>
          <w:lang w:val="en-GB"/>
        </w:rPr>
        <w:t xml:space="preserve">MS </w:t>
      </w:r>
      <w:r w:rsidR="000948CF" w:rsidRPr="005C0761">
        <w:rPr>
          <w:rFonts w:ascii="Arial" w:hAnsi="Arial"/>
          <w:lang w:val="en-GB"/>
        </w:rPr>
        <w:t>Excel)</w:t>
      </w:r>
      <w:r w:rsidRPr="005C0761">
        <w:rPr>
          <w:rFonts w:ascii="Arial" w:eastAsia="Times New Roman" w:hAnsi="Arial"/>
          <w:szCs w:val="24"/>
          <w:lang w:val="en-GB"/>
        </w:rPr>
        <w:t xml:space="preserve">  </w:t>
      </w:r>
    </w:p>
    <w:p w14:paraId="567C4BF8" w14:textId="47A1DA94"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 xml:space="preserve">The result of this calculation shows the rate of current </w:t>
      </w:r>
      <w:r w:rsidR="000948CF" w:rsidRPr="005C0761">
        <w:rPr>
          <w:rFonts w:ascii="Arial" w:eastAsia="Times New Roman" w:hAnsi="Arial"/>
          <w:szCs w:val="24"/>
          <w:lang w:val="en-GB"/>
        </w:rPr>
        <w:t>subscription,</w:t>
      </w:r>
      <w:r w:rsidRPr="005C0761">
        <w:rPr>
          <w:rFonts w:ascii="Arial" w:eastAsia="Times New Roman" w:hAnsi="Arial"/>
          <w:szCs w:val="24"/>
          <w:lang w:val="en-GB"/>
        </w:rPr>
        <w:t xml:space="preserve"> revenue generation and the prediction of revenue after the next 12 months. It shows that, the company can earn 21.6 million predictable subscription revenue over the coming year and provides a clarity of its revenue stability. </w:t>
      </w:r>
    </w:p>
    <w:p w14:paraId="304C2446" w14:textId="77777777" w:rsidR="00574082" w:rsidRDefault="00574082">
      <w:pPr>
        <w:spacing w:line="276" w:lineRule="auto"/>
        <w:jc w:val="left"/>
        <w:rPr>
          <w:rFonts w:ascii="Arial" w:eastAsia="Times New Roman" w:hAnsi="Arial"/>
          <w:b/>
          <w:bCs/>
          <w:szCs w:val="24"/>
          <w:lang w:val="en-GB"/>
        </w:rPr>
      </w:pPr>
      <w:r>
        <w:rPr>
          <w:rFonts w:ascii="Arial" w:eastAsia="Times New Roman" w:hAnsi="Arial"/>
          <w:b/>
          <w:bCs/>
          <w:szCs w:val="24"/>
          <w:lang w:val="en-GB"/>
        </w:rPr>
        <w:br w:type="page"/>
      </w:r>
    </w:p>
    <w:p w14:paraId="797B5690" w14:textId="7EF24BA0"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lastRenderedPageBreak/>
        <w:t>Project B</w:t>
      </w:r>
    </w:p>
    <w:p w14:paraId="0BB4BA9E" w14:textId="77777777"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t>NPV and PI</w:t>
      </w:r>
    </w:p>
    <w:p w14:paraId="2F67ECE2"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0DBC02CE" wp14:editId="00C459E1">
            <wp:extent cx="5943600" cy="2057400"/>
            <wp:effectExtent l="0" t="0" r="0" b="0"/>
            <wp:docPr id="1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6"/>
                    <a:srcRect/>
                    <a:stretch>
                      <a:fillRect/>
                    </a:stretch>
                  </pic:blipFill>
                  <pic:spPr>
                    <a:xfrm>
                      <a:off x="0" y="0"/>
                      <a:ext cx="5943600" cy="2057400"/>
                    </a:xfrm>
                    <a:prstGeom prst="rect">
                      <a:avLst/>
                    </a:prstGeom>
                    <a:ln/>
                  </pic:spPr>
                </pic:pic>
              </a:graphicData>
            </a:graphic>
          </wp:inline>
        </w:drawing>
      </w:r>
    </w:p>
    <w:p w14:paraId="40F75765" w14:textId="77777777" w:rsidR="0037456B" w:rsidRPr="005C0761" w:rsidRDefault="0037456B" w:rsidP="00C5012C">
      <w:pPr>
        <w:spacing w:before="240" w:after="240"/>
        <w:jc w:val="center"/>
        <w:rPr>
          <w:rFonts w:ascii="Arial" w:hAnsi="Arial"/>
          <w:b/>
          <w:bCs/>
          <w:lang w:val="en-GB"/>
        </w:rPr>
      </w:pPr>
      <w:r w:rsidRPr="005C0761">
        <w:rPr>
          <w:rFonts w:ascii="Arial" w:eastAsia="Times New Roman" w:hAnsi="Arial"/>
          <w:b/>
          <w:bCs/>
          <w:szCs w:val="24"/>
          <w:lang w:val="en-GB"/>
        </w:rPr>
        <w:t xml:space="preserve">Figure 15: Analysis of NPV and PI </w:t>
      </w:r>
    </w:p>
    <w:p w14:paraId="6BE0877E" w14:textId="0AA8EF99" w:rsidR="0037456B" w:rsidRPr="005C0761" w:rsidRDefault="0037456B" w:rsidP="00C5012C">
      <w:pPr>
        <w:spacing w:before="240" w:after="240"/>
        <w:jc w:val="center"/>
        <w:rPr>
          <w:rFonts w:ascii="Arial" w:hAnsi="Arial"/>
          <w:lang w:val="en-GB"/>
        </w:rPr>
      </w:pPr>
      <w:r w:rsidRPr="005C0761">
        <w:rPr>
          <w:rFonts w:ascii="Arial" w:eastAsia="Times New Roman" w:hAnsi="Arial"/>
          <w:szCs w:val="24"/>
          <w:lang w:val="en-GB"/>
        </w:rPr>
        <w:t xml:space="preserve">(Source: </w:t>
      </w:r>
      <w:r w:rsidRPr="005C0761">
        <w:rPr>
          <w:rFonts w:ascii="Arial" w:hAnsi="Arial"/>
          <w:lang w:val="en-GB"/>
        </w:rPr>
        <w:t xml:space="preserve">MS </w:t>
      </w:r>
      <w:r w:rsidR="000948CF" w:rsidRPr="005C0761">
        <w:rPr>
          <w:rFonts w:ascii="Arial" w:hAnsi="Arial"/>
          <w:lang w:val="en-GB"/>
        </w:rPr>
        <w:t>Excel)</w:t>
      </w:r>
    </w:p>
    <w:p w14:paraId="1FBAE9C2" w14:textId="5F9622D1"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 xml:space="preserve">The result of NPV shows a negative result and reflects that the developing project can </w:t>
      </w:r>
      <w:r w:rsidR="00735753" w:rsidRPr="005C0761">
        <w:rPr>
          <w:rFonts w:ascii="Arial" w:eastAsia="Times New Roman" w:hAnsi="Arial"/>
          <w:szCs w:val="24"/>
          <w:lang w:val="en-GB"/>
        </w:rPr>
        <w:t>destroy</w:t>
      </w:r>
      <w:r w:rsidRPr="005C0761">
        <w:rPr>
          <w:rFonts w:ascii="Arial" w:eastAsia="Times New Roman" w:hAnsi="Arial"/>
          <w:szCs w:val="24"/>
          <w:lang w:val="en-GB"/>
        </w:rPr>
        <w:t xml:space="preserve"> </w:t>
      </w:r>
      <w:r w:rsidR="000948CF" w:rsidRPr="005C0761">
        <w:rPr>
          <w:rFonts w:ascii="Arial" w:eastAsia="Times New Roman" w:hAnsi="Arial"/>
          <w:szCs w:val="24"/>
          <w:lang w:val="en-GB"/>
        </w:rPr>
        <w:t>the</w:t>
      </w:r>
      <w:r w:rsidRPr="005C0761">
        <w:rPr>
          <w:rFonts w:ascii="Arial" w:eastAsia="Times New Roman" w:hAnsi="Arial"/>
          <w:szCs w:val="24"/>
          <w:lang w:val="en-GB"/>
        </w:rPr>
        <w:t xml:space="preserve"> current earning of the company. The rate of return cost can also be negative and investing another place can help to generate new and positive revenue. It shows the project dose nor able </w:t>
      </w:r>
      <w:r w:rsidR="00735753" w:rsidRPr="005C0761">
        <w:rPr>
          <w:rFonts w:ascii="Arial" w:eastAsia="Times New Roman" w:hAnsi="Arial"/>
          <w:szCs w:val="24"/>
          <w:lang w:val="en-GB"/>
        </w:rPr>
        <w:t>to</w:t>
      </w:r>
      <w:r w:rsidRPr="005C0761">
        <w:rPr>
          <w:rFonts w:ascii="Arial" w:eastAsia="Times New Roman" w:hAnsi="Arial"/>
          <w:szCs w:val="24"/>
          <w:lang w:val="en-GB"/>
        </w:rPr>
        <w:t xml:space="preserve"> earn enough costs in its developing sector </w:t>
      </w:r>
      <w:r w:rsidR="00735753" w:rsidRPr="005C0761">
        <w:rPr>
          <w:rFonts w:ascii="Arial" w:eastAsia="Times New Roman" w:hAnsi="Arial"/>
          <w:szCs w:val="24"/>
          <w:lang w:val="en-GB"/>
        </w:rPr>
        <w:t>to</w:t>
      </w:r>
      <w:r w:rsidRPr="005C0761">
        <w:rPr>
          <w:rFonts w:ascii="Arial" w:eastAsia="Times New Roman" w:hAnsi="Arial"/>
          <w:szCs w:val="24"/>
          <w:lang w:val="en-GB"/>
        </w:rPr>
        <w:t xml:space="preserve"> cover its profits. </w:t>
      </w:r>
    </w:p>
    <w:p w14:paraId="60A66A0D" w14:textId="40653B0E"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 xml:space="preserve">The value of PI shows </w:t>
      </w:r>
      <w:r w:rsidR="000948CF" w:rsidRPr="005C0761">
        <w:rPr>
          <w:rFonts w:ascii="Arial" w:eastAsia="Times New Roman" w:hAnsi="Arial"/>
          <w:szCs w:val="24"/>
          <w:lang w:val="en-GB"/>
        </w:rPr>
        <w:t>that,</w:t>
      </w:r>
      <w:r w:rsidRPr="005C0761">
        <w:rPr>
          <w:rFonts w:ascii="Arial" w:eastAsia="Times New Roman" w:hAnsi="Arial"/>
          <w:szCs w:val="24"/>
          <w:lang w:val="en-GB"/>
        </w:rPr>
        <w:t xml:space="preserve"> the developing project is not financially stable and can create negative value in its NVP sector. It shows an effective net loss in the </w:t>
      </w:r>
      <w:r w:rsidR="00735753" w:rsidRPr="005C0761">
        <w:rPr>
          <w:rFonts w:ascii="Arial" w:eastAsia="Times New Roman" w:hAnsi="Arial"/>
          <w:szCs w:val="24"/>
          <w:lang w:val="en-GB"/>
        </w:rPr>
        <w:t>organisational</w:t>
      </w:r>
      <w:r w:rsidRPr="005C0761">
        <w:rPr>
          <w:rFonts w:ascii="Arial" w:eastAsia="Times New Roman" w:hAnsi="Arial"/>
          <w:szCs w:val="24"/>
          <w:lang w:val="en-GB"/>
        </w:rPr>
        <w:t xml:space="preserve"> sector to mitigate its financial structure and improvement. </w:t>
      </w:r>
    </w:p>
    <w:p w14:paraId="2B7FF1F5" w14:textId="77777777" w:rsidR="003172D4" w:rsidRDefault="003172D4">
      <w:pPr>
        <w:spacing w:line="276" w:lineRule="auto"/>
        <w:jc w:val="left"/>
        <w:rPr>
          <w:rFonts w:ascii="Arial" w:eastAsia="Times New Roman" w:hAnsi="Arial"/>
          <w:b/>
          <w:bCs/>
          <w:szCs w:val="24"/>
          <w:lang w:val="en-GB"/>
        </w:rPr>
      </w:pPr>
      <w:r>
        <w:rPr>
          <w:rFonts w:ascii="Arial" w:eastAsia="Times New Roman" w:hAnsi="Arial"/>
          <w:b/>
          <w:bCs/>
          <w:szCs w:val="24"/>
          <w:lang w:val="en-GB"/>
        </w:rPr>
        <w:br w:type="page"/>
      </w:r>
    </w:p>
    <w:p w14:paraId="6B3F65DD" w14:textId="6FEB288F"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lastRenderedPageBreak/>
        <w:t>IRR</w:t>
      </w:r>
    </w:p>
    <w:p w14:paraId="7A33B3C3"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07B8B355" wp14:editId="53C465E6">
            <wp:extent cx="5943600" cy="2247900"/>
            <wp:effectExtent l="0" t="0" r="0" b="0"/>
            <wp:docPr id="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7"/>
                    <a:srcRect/>
                    <a:stretch>
                      <a:fillRect/>
                    </a:stretch>
                  </pic:blipFill>
                  <pic:spPr>
                    <a:xfrm>
                      <a:off x="0" y="0"/>
                      <a:ext cx="5943600" cy="2247900"/>
                    </a:xfrm>
                    <a:prstGeom prst="rect">
                      <a:avLst/>
                    </a:prstGeom>
                    <a:ln/>
                  </pic:spPr>
                </pic:pic>
              </a:graphicData>
            </a:graphic>
          </wp:inline>
        </w:drawing>
      </w:r>
    </w:p>
    <w:p w14:paraId="2C843002" w14:textId="77777777" w:rsidR="0037456B" w:rsidRPr="005C0761" w:rsidRDefault="0037456B" w:rsidP="00C5012C">
      <w:pPr>
        <w:spacing w:before="240" w:after="240"/>
        <w:jc w:val="center"/>
        <w:rPr>
          <w:rFonts w:ascii="Arial" w:hAnsi="Arial"/>
          <w:b/>
          <w:bCs/>
          <w:lang w:val="en-GB"/>
        </w:rPr>
      </w:pPr>
      <w:r w:rsidRPr="005C0761">
        <w:rPr>
          <w:rFonts w:ascii="Arial" w:eastAsia="Times New Roman" w:hAnsi="Arial"/>
          <w:b/>
          <w:bCs/>
          <w:szCs w:val="24"/>
          <w:lang w:val="en-GB"/>
        </w:rPr>
        <w:t>Figure 16: Analysis of IRR</w:t>
      </w:r>
    </w:p>
    <w:p w14:paraId="6632936B" w14:textId="487767CF" w:rsidR="0037456B" w:rsidRPr="005C0761" w:rsidRDefault="0037456B" w:rsidP="00C5012C">
      <w:pPr>
        <w:spacing w:before="240" w:after="240"/>
        <w:jc w:val="center"/>
        <w:rPr>
          <w:rFonts w:ascii="Arial" w:hAnsi="Arial"/>
          <w:lang w:val="en-GB"/>
        </w:rPr>
      </w:pPr>
      <w:r w:rsidRPr="005C0761">
        <w:rPr>
          <w:rFonts w:ascii="Arial" w:eastAsia="Times New Roman" w:hAnsi="Arial"/>
          <w:szCs w:val="24"/>
          <w:lang w:val="en-GB"/>
        </w:rPr>
        <w:t xml:space="preserve">(Source: </w:t>
      </w:r>
      <w:r w:rsidRPr="005C0761">
        <w:rPr>
          <w:rFonts w:ascii="Arial" w:hAnsi="Arial"/>
          <w:lang w:val="en-GB"/>
        </w:rPr>
        <w:t xml:space="preserve">MS </w:t>
      </w:r>
      <w:r w:rsidR="000948CF" w:rsidRPr="005C0761">
        <w:rPr>
          <w:rFonts w:ascii="Arial" w:hAnsi="Arial"/>
          <w:lang w:val="en-GB"/>
        </w:rPr>
        <w:t>Excel)</w:t>
      </w:r>
    </w:p>
    <w:p w14:paraId="3D4E4FC8" w14:textId="4911F05B"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 xml:space="preserve">The result of IRR shows </w:t>
      </w:r>
      <w:r w:rsidR="001777FD" w:rsidRPr="005C0761">
        <w:rPr>
          <w:rFonts w:ascii="Arial" w:eastAsia="Times New Roman" w:hAnsi="Arial"/>
          <w:szCs w:val="24"/>
          <w:lang w:val="en-GB"/>
        </w:rPr>
        <w:t>that;</w:t>
      </w:r>
      <w:r w:rsidRPr="005C0761">
        <w:rPr>
          <w:rFonts w:ascii="Arial" w:eastAsia="Times New Roman" w:hAnsi="Arial"/>
          <w:szCs w:val="24"/>
          <w:lang w:val="en-GB"/>
        </w:rPr>
        <w:t xml:space="preserve"> the cash flow </w:t>
      </w:r>
      <w:r w:rsidRPr="005C0761">
        <w:rPr>
          <w:rFonts w:ascii="Arial" w:hAnsi="Arial"/>
          <w:lang w:val="en-GB"/>
        </w:rPr>
        <w:t>performance</w:t>
      </w:r>
      <w:r w:rsidRPr="005C0761">
        <w:rPr>
          <w:rFonts w:ascii="Arial" w:eastAsia="Times New Roman" w:hAnsi="Arial"/>
          <w:szCs w:val="24"/>
          <w:lang w:val="en-GB"/>
        </w:rPr>
        <w:t xml:space="preserve"> of the company </w:t>
      </w:r>
      <w:r w:rsidR="000948CF" w:rsidRPr="005C0761">
        <w:rPr>
          <w:rFonts w:ascii="Arial" w:eastAsia="Times New Roman" w:hAnsi="Arial"/>
          <w:szCs w:val="24"/>
          <w:lang w:val="en-GB"/>
        </w:rPr>
        <w:t>grows</w:t>
      </w:r>
      <w:r w:rsidRPr="005C0761">
        <w:rPr>
          <w:rFonts w:ascii="Arial" w:eastAsia="Times New Roman" w:hAnsi="Arial"/>
          <w:szCs w:val="24"/>
          <w:lang w:val="en-GB"/>
        </w:rPr>
        <w:t xml:space="preserve"> slowly over the time. It shows that, the cash flow rate of the company generally low and it is crucial for the company to create a comparison against its inflation and alternative investment. </w:t>
      </w:r>
    </w:p>
    <w:p w14:paraId="00577251" w14:textId="77777777"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t>PBP (Playback Period)</w:t>
      </w:r>
    </w:p>
    <w:p w14:paraId="35C94BEB"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3085F95E" wp14:editId="1EBC4DFD">
            <wp:extent cx="5943600" cy="1358900"/>
            <wp:effectExtent l="0" t="0" r="0" b="0"/>
            <wp:docPr id="18"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8"/>
                    <a:srcRect/>
                    <a:stretch>
                      <a:fillRect/>
                    </a:stretch>
                  </pic:blipFill>
                  <pic:spPr>
                    <a:xfrm>
                      <a:off x="0" y="0"/>
                      <a:ext cx="5943600" cy="1358900"/>
                    </a:xfrm>
                    <a:prstGeom prst="rect">
                      <a:avLst/>
                    </a:prstGeom>
                    <a:ln/>
                  </pic:spPr>
                </pic:pic>
              </a:graphicData>
            </a:graphic>
          </wp:inline>
        </w:drawing>
      </w:r>
    </w:p>
    <w:p w14:paraId="06723C96" w14:textId="77777777" w:rsidR="0037456B" w:rsidRPr="005C0761" w:rsidRDefault="0037456B" w:rsidP="00C5012C">
      <w:pPr>
        <w:spacing w:before="240" w:after="240"/>
        <w:jc w:val="center"/>
        <w:rPr>
          <w:rFonts w:ascii="Arial" w:hAnsi="Arial"/>
          <w:b/>
          <w:bCs/>
          <w:lang w:val="en-GB"/>
        </w:rPr>
      </w:pPr>
      <w:r w:rsidRPr="005C0761">
        <w:rPr>
          <w:rFonts w:ascii="Arial" w:eastAsia="Times New Roman" w:hAnsi="Arial"/>
          <w:b/>
          <w:bCs/>
          <w:szCs w:val="24"/>
          <w:lang w:val="en-GB"/>
        </w:rPr>
        <w:t xml:space="preserve">Figure 17: Analysis of PBP </w:t>
      </w:r>
    </w:p>
    <w:p w14:paraId="678AE98E" w14:textId="16EFBF7E" w:rsidR="0037456B" w:rsidRPr="005C0761" w:rsidRDefault="0037456B" w:rsidP="00C5012C">
      <w:pPr>
        <w:spacing w:before="240" w:after="240"/>
        <w:jc w:val="center"/>
        <w:rPr>
          <w:rFonts w:ascii="Arial" w:hAnsi="Arial"/>
          <w:lang w:val="en-GB"/>
        </w:rPr>
      </w:pPr>
      <w:r w:rsidRPr="005C0761">
        <w:rPr>
          <w:rFonts w:ascii="Arial" w:eastAsia="Times New Roman" w:hAnsi="Arial"/>
          <w:szCs w:val="24"/>
          <w:lang w:val="en-GB"/>
        </w:rPr>
        <w:t xml:space="preserve">(Source: </w:t>
      </w:r>
      <w:r w:rsidRPr="005C0761">
        <w:rPr>
          <w:rFonts w:ascii="Arial" w:hAnsi="Arial"/>
          <w:lang w:val="en-GB"/>
        </w:rPr>
        <w:t xml:space="preserve">MS </w:t>
      </w:r>
      <w:r w:rsidR="000948CF" w:rsidRPr="005C0761">
        <w:rPr>
          <w:rFonts w:ascii="Arial" w:hAnsi="Arial"/>
          <w:lang w:val="en-GB"/>
        </w:rPr>
        <w:t>Excel)</w:t>
      </w:r>
    </w:p>
    <w:p w14:paraId="572EED16" w14:textId="6524029D"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lastRenderedPageBreak/>
        <w:t xml:space="preserve">The result of this calculation shows that the investment rate of this project can be fully recovered in 3 and a half years. Also, it reflects that the project development process and investment </w:t>
      </w:r>
      <w:r w:rsidR="000948CF" w:rsidRPr="005C0761">
        <w:rPr>
          <w:rFonts w:ascii="Arial" w:eastAsia="Times New Roman" w:hAnsi="Arial"/>
          <w:szCs w:val="24"/>
          <w:lang w:val="en-GB"/>
        </w:rPr>
        <w:t>procedures can</w:t>
      </w:r>
      <w:r w:rsidRPr="005C0761">
        <w:rPr>
          <w:rFonts w:ascii="Arial" w:eastAsia="Times New Roman" w:hAnsi="Arial"/>
          <w:szCs w:val="24"/>
          <w:lang w:val="en-GB"/>
        </w:rPr>
        <w:t xml:space="preserve"> be fully recover </w:t>
      </w:r>
      <w:r w:rsidR="000948CF" w:rsidRPr="005C0761">
        <w:rPr>
          <w:rFonts w:ascii="Arial" w:eastAsia="Times New Roman" w:hAnsi="Arial"/>
          <w:szCs w:val="24"/>
          <w:lang w:val="en-GB"/>
        </w:rPr>
        <w:t>its revenue</w:t>
      </w:r>
      <w:r w:rsidRPr="005C0761">
        <w:rPr>
          <w:rFonts w:ascii="Arial" w:eastAsia="Times New Roman" w:hAnsi="Arial"/>
          <w:szCs w:val="24"/>
          <w:lang w:val="en-GB"/>
        </w:rPr>
        <w:t xml:space="preserve"> </w:t>
      </w:r>
      <w:r w:rsidR="000948CF" w:rsidRPr="005C0761">
        <w:rPr>
          <w:rFonts w:ascii="Arial" w:eastAsia="Times New Roman" w:hAnsi="Arial"/>
          <w:szCs w:val="24"/>
          <w:lang w:val="en-GB"/>
        </w:rPr>
        <w:t>growth in</w:t>
      </w:r>
      <w:r w:rsidRPr="005C0761">
        <w:rPr>
          <w:rFonts w:ascii="Arial" w:eastAsia="Times New Roman" w:hAnsi="Arial"/>
          <w:szCs w:val="24"/>
          <w:lang w:val="en-GB"/>
        </w:rPr>
        <w:t xml:space="preserve"> three to four years. </w:t>
      </w:r>
    </w:p>
    <w:p w14:paraId="39114897" w14:textId="31853BFE"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t>ARR</w:t>
      </w:r>
    </w:p>
    <w:p w14:paraId="671AA3AB" w14:textId="77777777" w:rsidR="0037456B" w:rsidRPr="005C0761" w:rsidRDefault="0037456B" w:rsidP="00C5012C">
      <w:pPr>
        <w:spacing w:before="240" w:after="240"/>
        <w:rPr>
          <w:rFonts w:ascii="Arial" w:hAnsi="Arial"/>
          <w:lang w:val="en-GB"/>
        </w:rPr>
      </w:pPr>
    </w:p>
    <w:p w14:paraId="0405B6A9"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39089749" wp14:editId="19A0A416">
            <wp:extent cx="5491163" cy="215265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9"/>
                    <a:srcRect/>
                    <a:stretch>
                      <a:fillRect/>
                    </a:stretch>
                  </pic:blipFill>
                  <pic:spPr>
                    <a:xfrm>
                      <a:off x="0" y="0"/>
                      <a:ext cx="5491163" cy="2152650"/>
                    </a:xfrm>
                    <a:prstGeom prst="rect">
                      <a:avLst/>
                    </a:prstGeom>
                    <a:ln/>
                  </pic:spPr>
                </pic:pic>
              </a:graphicData>
            </a:graphic>
          </wp:inline>
        </w:drawing>
      </w:r>
    </w:p>
    <w:p w14:paraId="6A3D1535" w14:textId="77777777" w:rsidR="0037456B" w:rsidRPr="005C0761" w:rsidRDefault="0037456B" w:rsidP="00C5012C">
      <w:pPr>
        <w:spacing w:before="240" w:after="240"/>
        <w:jc w:val="center"/>
        <w:rPr>
          <w:rFonts w:ascii="Arial" w:hAnsi="Arial"/>
          <w:b/>
          <w:bCs/>
          <w:lang w:val="en-GB"/>
        </w:rPr>
      </w:pPr>
      <w:r w:rsidRPr="005C0761">
        <w:rPr>
          <w:rFonts w:ascii="Arial" w:eastAsia="Times New Roman" w:hAnsi="Arial"/>
          <w:b/>
          <w:bCs/>
          <w:szCs w:val="24"/>
          <w:lang w:val="en-GB"/>
        </w:rPr>
        <w:t>Figure 18: Analysis of ARR</w:t>
      </w:r>
    </w:p>
    <w:p w14:paraId="44638BB6" w14:textId="4EE0DA6C" w:rsidR="0037456B" w:rsidRPr="005C0761" w:rsidRDefault="0037456B" w:rsidP="00C5012C">
      <w:pPr>
        <w:spacing w:before="240" w:after="240"/>
        <w:jc w:val="center"/>
        <w:rPr>
          <w:rFonts w:ascii="Arial" w:hAnsi="Arial"/>
          <w:lang w:val="en-GB"/>
        </w:rPr>
      </w:pPr>
      <w:r w:rsidRPr="005C0761">
        <w:rPr>
          <w:rFonts w:ascii="Arial" w:eastAsia="Times New Roman" w:hAnsi="Arial"/>
          <w:szCs w:val="24"/>
          <w:lang w:val="en-GB"/>
        </w:rPr>
        <w:t xml:space="preserve">(Source: </w:t>
      </w:r>
      <w:r w:rsidRPr="005C0761">
        <w:rPr>
          <w:rFonts w:ascii="Arial" w:hAnsi="Arial"/>
          <w:lang w:val="en-GB"/>
        </w:rPr>
        <w:t xml:space="preserve">MS </w:t>
      </w:r>
      <w:r w:rsidR="000948CF" w:rsidRPr="005C0761">
        <w:rPr>
          <w:rFonts w:ascii="Arial" w:hAnsi="Arial"/>
          <w:lang w:val="en-GB"/>
        </w:rPr>
        <w:t>Excel)</w:t>
      </w:r>
    </w:p>
    <w:p w14:paraId="39F3AFD1" w14:textId="32BCAD46"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 xml:space="preserve">The above calculation result </w:t>
      </w:r>
      <w:r w:rsidR="001777FD" w:rsidRPr="005C0761">
        <w:rPr>
          <w:rFonts w:ascii="Arial" w:eastAsia="Times New Roman" w:hAnsi="Arial"/>
          <w:szCs w:val="24"/>
          <w:lang w:val="en-GB"/>
        </w:rPr>
        <w:t>shows</w:t>
      </w:r>
      <w:r w:rsidRPr="005C0761">
        <w:rPr>
          <w:rFonts w:ascii="Arial" w:eastAsia="Times New Roman" w:hAnsi="Arial"/>
          <w:szCs w:val="24"/>
          <w:lang w:val="en-GB"/>
        </w:rPr>
        <w:t xml:space="preserve"> a predictable and normalised revenue generation of the chosen company. It shows </w:t>
      </w:r>
      <w:r w:rsidR="000948CF" w:rsidRPr="005C0761">
        <w:rPr>
          <w:rFonts w:ascii="Arial" w:eastAsia="Times New Roman" w:hAnsi="Arial"/>
          <w:szCs w:val="24"/>
          <w:lang w:val="en-GB"/>
        </w:rPr>
        <w:t>that,</w:t>
      </w:r>
      <w:r w:rsidRPr="005C0761">
        <w:rPr>
          <w:rFonts w:ascii="Arial" w:eastAsia="Times New Roman" w:hAnsi="Arial"/>
          <w:szCs w:val="24"/>
          <w:lang w:val="en-GB"/>
        </w:rPr>
        <w:t xml:space="preserve"> the company can generate 22 million in every year by evaluating its </w:t>
      </w:r>
      <w:r w:rsidR="001777FD" w:rsidRPr="005C0761">
        <w:rPr>
          <w:rFonts w:ascii="Arial" w:eastAsia="Times New Roman" w:hAnsi="Arial"/>
          <w:szCs w:val="24"/>
          <w:lang w:val="en-GB"/>
        </w:rPr>
        <w:t>subscription</w:t>
      </w:r>
      <w:r w:rsidRPr="005C0761">
        <w:rPr>
          <w:rFonts w:ascii="Arial" w:eastAsia="Times New Roman" w:hAnsi="Arial"/>
          <w:szCs w:val="24"/>
          <w:lang w:val="en-GB"/>
        </w:rPr>
        <w:t xml:space="preserve"> process. </w:t>
      </w:r>
    </w:p>
    <w:p w14:paraId="1DD84FF5" w14:textId="77777777" w:rsidR="00E753DC" w:rsidRDefault="00E753DC">
      <w:pPr>
        <w:spacing w:line="276" w:lineRule="auto"/>
        <w:jc w:val="left"/>
        <w:rPr>
          <w:rFonts w:ascii="Arial" w:eastAsia="Times New Roman" w:hAnsi="Arial"/>
          <w:b/>
          <w:bCs/>
          <w:szCs w:val="24"/>
          <w:lang w:val="en-GB"/>
        </w:rPr>
      </w:pPr>
      <w:r>
        <w:rPr>
          <w:rFonts w:ascii="Arial" w:eastAsia="Times New Roman" w:hAnsi="Arial"/>
          <w:b/>
          <w:bCs/>
          <w:szCs w:val="24"/>
          <w:lang w:val="en-GB"/>
        </w:rPr>
        <w:br w:type="page"/>
      </w:r>
    </w:p>
    <w:p w14:paraId="54ACB194" w14:textId="7870E399"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lastRenderedPageBreak/>
        <w:t>Project C</w:t>
      </w:r>
    </w:p>
    <w:p w14:paraId="00254DA4" w14:textId="1FDC6C65" w:rsidR="0037456B" w:rsidRPr="005C0761" w:rsidRDefault="000948CF" w:rsidP="00C5012C">
      <w:pPr>
        <w:spacing w:before="240" w:after="240"/>
        <w:rPr>
          <w:rFonts w:ascii="Arial" w:hAnsi="Arial"/>
          <w:b/>
          <w:bCs/>
          <w:lang w:val="en-GB"/>
        </w:rPr>
      </w:pPr>
      <w:r w:rsidRPr="005C0761">
        <w:rPr>
          <w:rFonts w:ascii="Arial" w:eastAsia="Times New Roman" w:hAnsi="Arial"/>
          <w:b/>
          <w:bCs/>
          <w:szCs w:val="24"/>
          <w:lang w:val="en-GB"/>
        </w:rPr>
        <w:t>NPV and</w:t>
      </w:r>
      <w:r w:rsidR="0037456B" w:rsidRPr="005C0761">
        <w:rPr>
          <w:rFonts w:ascii="Arial" w:eastAsia="Times New Roman" w:hAnsi="Arial"/>
          <w:b/>
          <w:bCs/>
          <w:szCs w:val="24"/>
          <w:lang w:val="en-GB"/>
        </w:rPr>
        <w:t xml:space="preserve"> PI</w:t>
      </w:r>
    </w:p>
    <w:p w14:paraId="32203C02"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42C3AE4B" wp14:editId="680245F7">
            <wp:extent cx="5943600" cy="1955800"/>
            <wp:effectExtent l="0" t="0" r="0" b="0"/>
            <wp:docPr id="2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30"/>
                    <a:srcRect/>
                    <a:stretch>
                      <a:fillRect/>
                    </a:stretch>
                  </pic:blipFill>
                  <pic:spPr>
                    <a:xfrm>
                      <a:off x="0" y="0"/>
                      <a:ext cx="5943600" cy="1955800"/>
                    </a:xfrm>
                    <a:prstGeom prst="rect">
                      <a:avLst/>
                    </a:prstGeom>
                    <a:ln/>
                  </pic:spPr>
                </pic:pic>
              </a:graphicData>
            </a:graphic>
          </wp:inline>
        </w:drawing>
      </w:r>
    </w:p>
    <w:p w14:paraId="19AAF1BF" w14:textId="77777777" w:rsidR="0037456B" w:rsidRPr="005C0761" w:rsidRDefault="0037456B" w:rsidP="00C5012C">
      <w:pPr>
        <w:spacing w:before="240" w:after="240"/>
        <w:jc w:val="center"/>
        <w:rPr>
          <w:rFonts w:ascii="Arial" w:hAnsi="Arial"/>
          <w:b/>
          <w:bCs/>
          <w:lang w:val="en-GB"/>
        </w:rPr>
      </w:pPr>
      <w:r w:rsidRPr="005C0761">
        <w:rPr>
          <w:rFonts w:ascii="Arial" w:eastAsia="Times New Roman" w:hAnsi="Arial"/>
          <w:b/>
          <w:bCs/>
          <w:szCs w:val="24"/>
          <w:lang w:val="en-GB"/>
        </w:rPr>
        <w:t>Figure 19: Analysis of NPV and PI</w:t>
      </w:r>
    </w:p>
    <w:p w14:paraId="4E08E628" w14:textId="69B26DF0" w:rsidR="0037456B" w:rsidRPr="005C0761" w:rsidRDefault="0037456B" w:rsidP="00C5012C">
      <w:pPr>
        <w:spacing w:before="240" w:after="240"/>
        <w:jc w:val="center"/>
        <w:rPr>
          <w:rFonts w:ascii="Arial" w:hAnsi="Arial"/>
          <w:lang w:val="en-GB"/>
        </w:rPr>
      </w:pPr>
      <w:r w:rsidRPr="005C0761">
        <w:rPr>
          <w:rFonts w:ascii="Arial" w:eastAsia="Times New Roman" w:hAnsi="Arial"/>
          <w:szCs w:val="24"/>
          <w:lang w:val="en-GB"/>
        </w:rPr>
        <w:t xml:space="preserve">(Source: </w:t>
      </w:r>
      <w:r w:rsidRPr="005C0761">
        <w:rPr>
          <w:rFonts w:ascii="Arial" w:hAnsi="Arial"/>
          <w:lang w:val="en-GB"/>
        </w:rPr>
        <w:t xml:space="preserve">MS </w:t>
      </w:r>
      <w:r w:rsidR="000948CF" w:rsidRPr="005C0761">
        <w:rPr>
          <w:rFonts w:ascii="Arial" w:hAnsi="Arial"/>
          <w:lang w:val="en-GB"/>
        </w:rPr>
        <w:t>Excel)</w:t>
      </w:r>
    </w:p>
    <w:p w14:paraId="46726818" w14:textId="0662196A" w:rsidR="0037456B" w:rsidRPr="005C0761" w:rsidRDefault="0037456B" w:rsidP="00C5012C">
      <w:pPr>
        <w:spacing w:before="240" w:after="240"/>
        <w:rPr>
          <w:rFonts w:ascii="Arial" w:hAnsi="Arial"/>
          <w:lang w:val="en-GB"/>
        </w:rPr>
      </w:pPr>
      <w:r w:rsidRPr="005C0761">
        <w:rPr>
          <w:rFonts w:ascii="Arial" w:hAnsi="Arial"/>
          <w:lang w:val="en-GB"/>
        </w:rPr>
        <w:t>The result of the above calculation shows that the project and the investment process can create negative value and outcomes in the chosen organizational</w:t>
      </w:r>
      <w:r w:rsidR="000948CF" w:rsidRPr="005C0761">
        <w:rPr>
          <w:rFonts w:ascii="Arial" w:hAnsi="Arial"/>
          <w:lang w:val="en-GB"/>
        </w:rPr>
        <w:t xml:space="preserve"> context.</w:t>
      </w:r>
      <w:r w:rsidRPr="005C0761">
        <w:rPr>
          <w:rFonts w:ascii="Arial" w:hAnsi="Arial"/>
          <w:lang w:val="en-GB"/>
        </w:rPr>
        <w:t xml:space="preserve"> It shows that, the developing project </w:t>
      </w:r>
      <w:r w:rsidR="000948CF" w:rsidRPr="005C0761">
        <w:rPr>
          <w:rFonts w:ascii="Arial" w:hAnsi="Arial"/>
          <w:lang w:val="en-GB"/>
        </w:rPr>
        <w:t>cannot</w:t>
      </w:r>
      <w:r w:rsidRPr="005C0761">
        <w:rPr>
          <w:rFonts w:ascii="Arial" w:hAnsi="Arial"/>
          <w:lang w:val="en-GB"/>
        </w:rPr>
        <w:t xml:space="preserve"> generate the required minimum rate of return in the organizational sector. </w:t>
      </w:r>
    </w:p>
    <w:p w14:paraId="2E103936" w14:textId="49ECEC27" w:rsidR="0037456B" w:rsidRPr="005C0761" w:rsidRDefault="0037456B" w:rsidP="00C5012C">
      <w:pPr>
        <w:spacing w:before="240" w:after="240"/>
        <w:rPr>
          <w:rFonts w:ascii="Arial" w:hAnsi="Arial"/>
          <w:lang w:val="en-GB"/>
        </w:rPr>
      </w:pPr>
      <w:r w:rsidRPr="005C0761">
        <w:rPr>
          <w:rFonts w:ascii="Arial" w:hAnsi="Arial"/>
          <w:lang w:val="en-GB"/>
        </w:rPr>
        <w:t xml:space="preserve">The rate of PI shows </w:t>
      </w:r>
      <w:r w:rsidR="000948CF" w:rsidRPr="005C0761">
        <w:rPr>
          <w:rFonts w:ascii="Arial" w:hAnsi="Arial"/>
          <w:lang w:val="en-GB"/>
        </w:rPr>
        <w:t>that,</w:t>
      </w:r>
      <w:r w:rsidRPr="005C0761">
        <w:rPr>
          <w:rFonts w:ascii="Arial" w:hAnsi="Arial"/>
          <w:lang w:val="en-GB"/>
        </w:rPr>
        <w:t xml:space="preserve"> the developing project can create negative impact in the generating revenue system as it can become negative in the analysis of NPV sector. </w:t>
      </w:r>
    </w:p>
    <w:p w14:paraId="0E648D0D" w14:textId="77777777" w:rsidR="00026068" w:rsidRDefault="00026068">
      <w:pPr>
        <w:spacing w:line="276" w:lineRule="auto"/>
        <w:jc w:val="left"/>
        <w:rPr>
          <w:rFonts w:ascii="Arial" w:eastAsia="Times New Roman" w:hAnsi="Arial"/>
          <w:b/>
          <w:bCs/>
          <w:szCs w:val="24"/>
          <w:lang w:val="en-GB"/>
        </w:rPr>
      </w:pPr>
      <w:r>
        <w:rPr>
          <w:rFonts w:ascii="Arial" w:eastAsia="Times New Roman" w:hAnsi="Arial"/>
          <w:b/>
          <w:bCs/>
          <w:szCs w:val="24"/>
          <w:lang w:val="en-GB"/>
        </w:rPr>
        <w:br w:type="page"/>
      </w:r>
    </w:p>
    <w:p w14:paraId="3F6F93F3" w14:textId="3C7923F0"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lastRenderedPageBreak/>
        <w:t>IRR</w:t>
      </w:r>
    </w:p>
    <w:p w14:paraId="368BA81F" w14:textId="77777777" w:rsidR="0037456B" w:rsidRPr="005C0761" w:rsidRDefault="0037456B" w:rsidP="00C5012C">
      <w:pPr>
        <w:spacing w:before="240" w:after="240"/>
        <w:jc w:val="center"/>
        <w:rPr>
          <w:rFonts w:ascii="Arial" w:hAnsi="Arial"/>
          <w:b/>
          <w:bCs/>
          <w:lang w:val="en-GB"/>
        </w:rPr>
      </w:pPr>
      <w:r w:rsidRPr="005C0761">
        <w:rPr>
          <w:rFonts w:ascii="Arial" w:hAnsi="Arial"/>
          <w:b/>
          <w:bCs/>
          <w:noProof/>
          <w:lang w:val="en-GB"/>
        </w:rPr>
        <w:drawing>
          <wp:inline distT="114300" distB="114300" distL="114300" distR="114300" wp14:anchorId="3A4302F3" wp14:editId="37D50589">
            <wp:extent cx="5276850" cy="2486025"/>
            <wp:effectExtent l="0" t="0" r="0" b="0"/>
            <wp:docPr id="1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1"/>
                    <a:srcRect/>
                    <a:stretch>
                      <a:fillRect/>
                    </a:stretch>
                  </pic:blipFill>
                  <pic:spPr>
                    <a:xfrm>
                      <a:off x="0" y="0"/>
                      <a:ext cx="5276850" cy="2486025"/>
                    </a:xfrm>
                    <a:prstGeom prst="rect">
                      <a:avLst/>
                    </a:prstGeom>
                    <a:ln/>
                  </pic:spPr>
                </pic:pic>
              </a:graphicData>
            </a:graphic>
          </wp:inline>
        </w:drawing>
      </w:r>
    </w:p>
    <w:p w14:paraId="26BD74BF" w14:textId="77777777" w:rsidR="0037456B" w:rsidRPr="005C0761" w:rsidRDefault="0037456B" w:rsidP="00C5012C">
      <w:pPr>
        <w:spacing w:before="240" w:after="240"/>
        <w:jc w:val="center"/>
        <w:rPr>
          <w:rFonts w:ascii="Arial" w:hAnsi="Arial"/>
          <w:b/>
          <w:bCs/>
          <w:lang w:val="en-GB"/>
        </w:rPr>
      </w:pPr>
      <w:r w:rsidRPr="005C0761">
        <w:rPr>
          <w:rFonts w:ascii="Arial" w:eastAsia="Times New Roman" w:hAnsi="Arial"/>
          <w:b/>
          <w:bCs/>
          <w:szCs w:val="24"/>
          <w:lang w:val="en-GB"/>
        </w:rPr>
        <w:t xml:space="preserve">Figure </w:t>
      </w:r>
      <w:r w:rsidRPr="005C0761">
        <w:rPr>
          <w:rFonts w:ascii="Arial" w:hAnsi="Arial"/>
          <w:b/>
          <w:bCs/>
          <w:lang w:val="en-GB"/>
        </w:rPr>
        <w:t>2</w:t>
      </w:r>
      <w:r w:rsidRPr="005C0761">
        <w:rPr>
          <w:rFonts w:ascii="Arial" w:eastAsia="Times New Roman" w:hAnsi="Arial"/>
          <w:b/>
          <w:bCs/>
          <w:szCs w:val="24"/>
          <w:lang w:val="en-GB"/>
        </w:rPr>
        <w:t>0: Analysis of IRR</w:t>
      </w:r>
    </w:p>
    <w:p w14:paraId="4D3481CD" w14:textId="4B7D7C94" w:rsidR="0037456B" w:rsidRPr="005C0761" w:rsidRDefault="0037456B" w:rsidP="00C5012C">
      <w:pPr>
        <w:spacing w:before="240" w:after="240"/>
        <w:jc w:val="center"/>
        <w:rPr>
          <w:rFonts w:ascii="Arial" w:hAnsi="Arial"/>
          <w:lang w:val="en-GB"/>
        </w:rPr>
      </w:pPr>
      <w:r w:rsidRPr="005C0761">
        <w:rPr>
          <w:rFonts w:ascii="Arial" w:eastAsia="Times New Roman" w:hAnsi="Arial"/>
          <w:szCs w:val="24"/>
          <w:lang w:val="en-GB"/>
        </w:rPr>
        <w:t xml:space="preserve">(Source: </w:t>
      </w:r>
      <w:r w:rsidRPr="005C0761">
        <w:rPr>
          <w:rFonts w:ascii="Arial" w:hAnsi="Arial"/>
          <w:lang w:val="en-GB"/>
        </w:rPr>
        <w:t xml:space="preserve">MS </w:t>
      </w:r>
      <w:r w:rsidR="000948CF" w:rsidRPr="005C0761">
        <w:rPr>
          <w:rFonts w:ascii="Arial" w:hAnsi="Arial"/>
          <w:lang w:val="en-GB"/>
        </w:rPr>
        <w:t>Excel)</w:t>
      </w:r>
    </w:p>
    <w:p w14:paraId="72647B13" w14:textId="77777777"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 xml:space="preserve">The </w:t>
      </w:r>
      <w:r w:rsidRPr="005C0761">
        <w:rPr>
          <w:rFonts w:ascii="Arial" w:hAnsi="Arial"/>
          <w:lang w:val="en-GB"/>
        </w:rPr>
        <w:t>analysis</w:t>
      </w:r>
      <w:r w:rsidRPr="005C0761">
        <w:rPr>
          <w:rFonts w:ascii="Arial" w:eastAsia="Times New Roman" w:hAnsi="Arial"/>
          <w:szCs w:val="24"/>
          <w:lang w:val="en-GB"/>
        </w:rPr>
        <w:t xml:space="preserve"> of IRR shows that </w:t>
      </w:r>
      <w:r w:rsidRPr="005C0761">
        <w:rPr>
          <w:rFonts w:ascii="Arial" w:hAnsi="Arial"/>
          <w:lang w:val="en-GB"/>
        </w:rPr>
        <w:t>the</w:t>
      </w:r>
      <w:r w:rsidRPr="005C0761">
        <w:rPr>
          <w:rFonts w:ascii="Arial" w:eastAsia="Times New Roman" w:hAnsi="Arial"/>
          <w:szCs w:val="24"/>
          <w:lang w:val="en-GB"/>
        </w:rPr>
        <w:t xml:space="preserve"> developing project can create 9% cash inflows and outflows in every year. It shows the annual average income or generating revenue system over </w:t>
      </w:r>
      <w:r w:rsidRPr="005C0761">
        <w:rPr>
          <w:rFonts w:ascii="Arial" w:hAnsi="Arial"/>
          <w:lang w:val="en-GB"/>
        </w:rPr>
        <w:t>a</w:t>
      </w:r>
      <w:r w:rsidRPr="005C0761">
        <w:rPr>
          <w:rFonts w:ascii="Arial" w:eastAsia="Times New Roman" w:hAnsi="Arial"/>
          <w:szCs w:val="24"/>
          <w:lang w:val="en-GB"/>
        </w:rPr>
        <w:t xml:space="preserve"> limited timeline period. </w:t>
      </w:r>
    </w:p>
    <w:p w14:paraId="13D26D6F" w14:textId="77777777"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t>PBP</w:t>
      </w:r>
    </w:p>
    <w:p w14:paraId="0ABCF399"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024229C5" wp14:editId="3F492B9B">
            <wp:extent cx="5943600" cy="1600200"/>
            <wp:effectExtent l="0" t="0" r="0" b="0"/>
            <wp:docPr id="23"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2"/>
                    <a:srcRect/>
                    <a:stretch>
                      <a:fillRect/>
                    </a:stretch>
                  </pic:blipFill>
                  <pic:spPr>
                    <a:xfrm>
                      <a:off x="0" y="0"/>
                      <a:ext cx="5943600" cy="1600200"/>
                    </a:xfrm>
                    <a:prstGeom prst="rect">
                      <a:avLst/>
                    </a:prstGeom>
                    <a:ln/>
                  </pic:spPr>
                </pic:pic>
              </a:graphicData>
            </a:graphic>
          </wp:inline>
        </w:drawing>
      </w:r>
    </w:p>
    <w:p w14:paraId="0DD9F7DF" w14:textId="77777777" w:rsidR="0037456B" w:rsidRPr="005C0761" w:rsidRDefault="0037456B" w:rsidP="00C5012C">
      <w:pPr>
        <w:spacing w:before="240" w:after="240"/>
        <w:jc w:val="center"/>
        <w:rPr>
          <w:rFonts w:ascii="Arial" w:hAnsi="Arial"/>
          <w:b/>
          <w:bCs/>
          <w:lang w:val="en-GB"/>
        </w:rPr>
      </w:pPr>
      <w:r w:rsidRPr="005C0761">
        <w:rPr>
          <w:rFonts w:ascii="Arial" w:eastAsia="Times New Roman" w:hAnsi="Arial"/>
          <w:b/>
          <w:bCs/>
          <w:szCs w:val="24"/>
          <w:lang w:val="en-GB"/>
        </w:rPr>
        <w:t xml:space="preserve">Figure </w:t>
      </w:r>
      <w:r w:rsidRPr="005C0761">
        <w:rPr>
          <w:rFonts w:ascii="Arial" w:hAnsi="Arial"/>
          <w:b/>
          <w:bCs/>
          <w:lang w:val="en-GB"/>
        </w:rPr>
        <w:t>2</w:t>
      </w:r>
      <w:r w:rsidRPr="005C0761">
        <w:rPr>
          <w:rFonts w:ascii="Arial" w:eastAsia="Times New Roman" w:hAnsi="Arial"/>
          <w:b/>
          <w:bCs/>
          <w:szCs w:val="24"/>
          <w:lang w:val="en-GB"/>
        </w:rPr>
        <w:t xml:space="preserve">1: Analysis of PBP </w:t>
      </w:r>
    </w:p>
    <w:p w14:paraId="7E06DDD4" w14:textId="172AFC4B" w:rsidR="0037456B" w:rsidRPr="005C0761" w:rsidRDefault="0037456B" w:rsidP="00C5012C">
      <w:pPr>
        <w:spacing w:before="240" w:after="240"/>
        <w:jc w:val="center"/>
        <w:rPr>
          <w:rFonts w:ascii="Arial" w:hAnsi="Arial"/>
          <w:lang w:val="en-GB"/>
        </w:rPr>
      </w:pPr>
      <w:r w:rsidRPr="005C0761">
        <w:rPr>
          <w:rFonts w:ascii="Arial" w:eastAsia="Times New Roman" w:hAnsi="Arial"/>
          <w:szCs w:val="24"/>
          <w:lang w:val="en-GB"/>
        </w:rPr>
        <w:t xml:space="preserve">(Source: </w:t>
      </w:r>
      <w:r w:rsidRPr="005C0761">
        <w:rPr>
          <w:rFonts w:ascii="Arial" w:hAnsi="Arial"/>
          <w:lang w:val="en-GB"/>
        </w:rPr>
        <w:t xml:space="preserve">MS </w:t>
      </w:r>
      <w:r w:rsidR="000948CF" w:rsidRPr="005C0761">
        <w:rPr>
          <w:rFonts w:ascii="Arial" w:hAnsi="Arial"/>
          <w:lang w:val="en-GB"/>
        </w:rPr>
        <w:t>Excel)</w:t>
      </w:r>
    </w:p>
    <w:p w14:paraId="68791A94" w14:textId="7598B33A"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lastRenderedPageBreak/>
        <w:t xml:space="preserve">The result of PBP shows that the investment process of the developing project can fully </w:t>
      </w:r>
      <w:r w:rsidRPr="005C0761">
        <w:rPr>
          <w:rFonts w:ascii="Arial" w:hAnsi="Arial"/>
          <w:lang w:val="en-GB"/>
        </w:rPr>
        <w:t>recover</w:t>
      </w:r>
      <w:r w:rsidRPr="005C0761">
        <w:rPr>
          <w:rFonts w:ascii="Arial" w:eastAsia="Times New Roman" w:hAnsi="Arial"/>
          <w:szCs w:val="24"/>
          <w:lang w:val="en-GB"/>
        </w:rPr>
        <w:t xml:space="preserve"> its initial costs by the end of the first year of development. It shows that, the project is highly </w:t>
      </w:r>
      <w:r w:rsidR="001777FD" w:rsidRPr="005C0761">
        <w:rPr>
          <w:rFonts w:ascii="Arial" w:eastAsia="Times New Roman" w:hAnsi="Arial"/>
          <w:szCs w:val="24"/>
          <w:lang w:val="en-GB"/>
        </w:rPr>
        <w:t>liquid able</w:t>
      </w:r>
      <w:r w:rsidRPr="005C0761">
        <w:rPr>
          <w:rFonts w:ascii="Arial" w:eastAsia="Times New Roman" w:hAnsi="Arial"/>
          <w:szCs w:val="24"/>
          <w:lang w:val="en-GB"/>
        </w:rPr>
        <w:t xml:space="preserve"> and can fulfil its investment procedures by the end of the year.</w:t>
      </w:r>
    </w:p>
    <w:p w14:paraId="038A4ECE" w14:textId="77777777"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t>ARR</w:t>
      </w:r>
    </w:p>
    <w:p w14:paraId="6BFDF426"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751AA642" wp14:editId="1A6937BA">
            <wp:extent cx="5295900" cy="2300288"/>
            <wp:effectExtent l="0" t="0" r="0" b="0"/>
            <wp:docPr id="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33"/>
                    <a:srcRect/>
                    <a:stretch>
                      <a:fillRect/>
                    </a:stretch>
                  </pic:blipFill>
                  <pic:spPr>
                    <a:xfrm>
                      <a:off x="0" y="0"/>
                      <a:ext cx="5295900" cy="2300288"/>
                    </a:xfrm>
                    <a:prstGeom prst="rect">
                      <a:avLst/>
                    </a:prstGeom>
                    <a:ln/>
                  </pic:spPr>
                </pic:pic>
              </a:graphicData>
            </a:graphic>
          </wp:inline>
        </w:drawing>
      </w:r>
    </w:p>
    <w:p w14:paraId="088C424E" w14:textId="77777777" w:rsidR="0037456B" w:rsidRPr="005C0761" w:rsidRDefault="0037456B" w:rsidP="00C5012C">
      <w:pPr>
        <w:spacing w:before="240" w:after="240"/>
        <w:jc w:val="center"/>
        <w:rPr>
          <w:rFonts w:ascii="Arial" w:hAnsi="Arial"/>
          <w:b/>
          <w:bCs/>
          <w:lang w:val="en-GB"/>
        </w:rPr>
      </w:pPr>
      <w:r w:rsidRPr="005C0761">
        <w:rPr>
          <w:rFonts w:ascii="Arial" w:eastAsia="Times New Roman" w:hAnsi="Arial"/>
          <w:b/>
          <w:bCs/>
          <w:szCs w:val="24"/>
          <w:lang w:val="en-GB"/>
        </w:rPr>
        <w:t xml:space="preserve">Figure </w:t>
      </w:r>
      <w:r w:rsidRPr="005C0761">
        <w:rPr>
          <w:rFonts w:ascii="Arial" w:hAnsi="Arial"/>
          <w:b/>
          <w:bCs/>
          <w:lang w:val="en-GB"/>
        </w:rPr>
        <w:t>2</w:t>
      </w:r>
      <w:r w:rsidRPr="005C0761">
        <w:rPr>
          <w:rFonts w:ascii="Arial" w:eastAsia="Times New Roman" w:hAnsi="Arial"/>
          <w:b/>
          <w:bCs/>
          <w:szCs w:val="24"/>
          <w:lang w:val="en-GB"/>
        </w:rPr>
        <w:t>2: Analysis of ARR</w:t>
      </w:r>
    </w:p>
    <w:p w14:paraId="07D85E6A" w14:textId="756E2706" w:rsidR="0037456B" w:rsidRPr="005C0761" w:rsidRDefault="0037456B" w:rsidP="00C5012C">
      <w:pPr>
        <w:spacing w:before="240" w:after="240"/>
        <w:jc w:val="center"/>
        <w:rPr>
          <w:rFonts w:ascii="Arial" w:hAnsi="Arial"/>
          <w:lang w:val="en-GB"/>
        </w:rPr>
      </w:pPr>
      <w:r w:rsidRPr="005C0761">
        <w:rPr>
          <w:rFonts w:ascii="Arial" w:eastAsia="Times New Roman" w:hAnsi="Arial"/>
          <w:szCs w:val="24"/>
          <w:lang w:val="en-GB"/>
        </w:rPr>
        <w:t xml:space="preserve">(Source: </w:t>
      </w:r>
      <w:r w:rsidRPr="005C0761">
        <w:rPr>
          <w:rFonts w:ascii="Arial" w:hAnsi="Arial"/>
          <w:lang w:val="en-GB"/>
        </w:rPr>
        <w:t xml:space="preserve">MS </w:t>
      </w:r>
      <w:r w:rsidR="000948CF" w:rsidRPr="005C0761">
        <w:rPr>
          <w:rFonts w:ascii="Arial" w:hAnsi="Arial"/>
          <w:lang w:val="en-GB"/>
        </w:rPr>
        <w:t>Excel)</w:t>
      </w:r>
    </w:p>
    <w:p w14:paraId="12AAC534" w14:textId="77777777" w:rsidR="0037456B" w:rsidRPr="005C0761" w:rsidRDefault="0037456B" w:rsidP="00C5012C">
      <w:pPr>
        <w:spacing w:before="240" w:after="240"/>
        <w:rPr>
          <w:rFonts w:ascii="Arial" w:hAnsi="Arial"/>
          <w:lang w:val="en-GB"/>
        </w:rPr>
      </w:pPr>
      <w:r w:rsidRPr="005C0761">
        <w:rPr>
          <w:rFonts w:ascii="Arial" w:hAnsi="Arial"/>
          <w:lang w:val="en-GB"/>
        </w:rPr>
        <w:t xml:space="preserve">The analysis of ARR shows the company can generate 26 million in currency based on its current subscription process. Also, it reflects that the company can generate a predictable rate of revenue and profit from its subscription revenue model. </w:t>
      </w:r>
    </w:p>
    <w:p w14:paraId="3C5C1450" w14:textId="77777777" w:rsidR="0037456B" w:rsidRPr="005C0761" w:rsidRDefault="0037456B" w:rsidP="00C5012C">
      <w:pPr>
        <w:pStyle w:val="Heading2"/>
        <w:spacing w:before="240" w:after="240"/>
        <w:rPr>
          <w:rFonts w:ascii="Arial" w:hAnsi="Arial" w:cs="Arial"/>
          <w:lang w:val="en-GB"/>
        </w:rPr>
      </w:pPr>
      <w:bookmarkStart w:id="31" w:name="_2regsos0se2j" w:colFirst="0" w:colLast="0"/>
      <w:bookmarkStart w:id="32" w:name="_Toc227950762"/>
      <w:bookmarkEnd w:id="31"/>
      <w:r w:rsidRPr="005C0761">
        <w:rPr>
          <w:rFonts w:ascii="Arial" w:hAnsi="Arial" w:cs="Arial"/>
          <w:lang w:val="en-GB"/>
        </w:rPr>
        <w:t>Analysis and assuming a discount rate of 10% and straight-line depreciation to zero.</w:t>
      </w:r>
      <w:bookmarkEnd w:id="32"/>
      <w:r w:rsidRPr="005C0761">
        <w:rPr>
          <w:rFonts w:ascii="Arial" w:hAnsi="Arial" w:cs="Arial"/>
          <w:lang w:val="en-GB"/>
        </w:rPr>
        <w:t xml:space="preserve"> </w:t>
      </w:r>
    </w:p>
    <w:p w14:paraId="33841249" w14:textId="77777777" w:rsidR="0037456B" w:rsidRPr="005C0761" w:rsidRDefault="0037456B" w:rsidP="00C5012C">
      <w:pPr>
        <w:pStyle w:val="Heading2"/>
        <w:spacing w:before="240" w:after="240"/>
        <w:rPr>
          <w:rFonts w:ascii="Arial" w:hAnsi="Arial" w:cs="Arial"/>
          <w:lang w:val="en-GB"/>
        </w:rPr>
      </w:pPr>
      <w:bookmarkStart w:id="33" w:name="_a7o7i8rb2lm" w:colFirst="0" w:colLast="0"/>
      <w:bookmarkStart w:id="34" w:name="_Toc227950763"/>
      <w:bookmarkEnd w:id="33"/>
      <w:r w:rsidRPr="005C0761">
        <w:rPr>
          <w:rFonts w:ascii="Arial" w:hAnsi="Arial" w:cs="Arial"/>
          <w:lang w:val="en-GB"/>
        </w:rPr>
        <w:t>Recommendations</w:t>
      </w:r>
      <w:bookmarkEnd w:id="34"/>
    </w:p>
    <w:p w14:paraId="6CBE5076" w14:textId="535DA7FF" w:rsidR="0037456B" w:rsidRPr="005C0761" w:rsidRDefault="0037456B" w:rsidP="00C5012C">
      <w:pPr>
        <w:spacing w:before="240" w:after="240"/>
        <w:rPr>
          <w:rFonts w:ascii="Arial" w:hAnsi="Arial"/>
          <w:lang w:val="en-GB"/>
        </w:rPr>
      </w:pPr>
      <w:r w:rsidRPr="005C0761">
        <w:rPr>
          <w:rFonts w:ascii="Arial" w:hAnsi="Arial"/>
          <w:lang w:val="en-GB"/>
        </w:rPr>
        <w:t xml:space="preserve">Based on the above analysis, Project C is best for the Hyundai Motor Company to evaluate its MS Excel, precision, and brand reputation in the international market. Based on the analysis of three projects, Project C is best as it can generate low and moderate negative value in the sector of NPV, rather than the other two projects, where the negative value rate is higher than that of Project C. It can help the company to generate low level </w:t>
      </w:r>
      <w:r w:rsidRPr="005C0761">
        <w:rPr>
          <w:rFonts w:ascii="Arial" w:hAnsi="Arial"/>
          <w:lang w:val="en-GB"/>
        </w:rPr>
        <w:lastRenderedPageBreak/>
        <w:t xml:space="preserve">of slow growth and increasement of income rate, which can help it to create moderate comparison and budget efficiency in its international market and among its employees (Ruziokhunov and Yuldasheva, 2025). In the PBP section, the company can fully recover its investment revenue and gross profits by the end of the </w:t>
      </w:r>
      <w:hyperlink r:id="rId34">
        <w:r w:rsidRPr="005C0761">
          <w:rPr>
            <w:rFonts w:ascii="Arial" w:hAnsi="Arial"/>
            <w:lang w:val="en-GB"/>
          </w:rPr>
          <w:t>year.</w:t>
        </w:r>
      </w:hyperlink>
      <w:r w:rsidRPr="005C0761">
        <w:rPr>
          <w:rFonts w:ascii="Arial" w:hAnsi="Arial"/>
          <w:lang w:val="en-GB"/>
        </w:rPr>
        <w:t xml:space="preserve"> It can help the company to generate more profitability, growth and business ventures in its international market than the other two projects. In the annual profit sector, the company can generate 26 million </w:t>
      </w:r>
      <w:r w:rsidR="000948CF" w:rsidRPr="005C0761">
        <w:rPr>
          <w:rFonts w:ascii="Arial" w:hAnsi="Arial"/>
          <w:lang w:val="en-GB"/>
        </w:rPr>
        <w:t>currencies</w:t>
      </w:r>
      <w:r w:rsidRPr="005C0761">
        <w:rPr>
          <w:rFonts w:ascii="Arial" w:hAnsi="Arial"/>
          <w:lang w:val="en-GB"/>
        </w:rPr>
        <w:t xml:space="preserve"> in its industrial market rather than the two other projects, and it can help it to become more profitable and efficient in its international market. </w:t>
      </w:r>
    </w:p>
    <w:p w14:paraId="5C21A5D1" w14:textId="77777777" w:rsidR="0037456B" w:rsidRPr="005C0761" w:rsidRDefault="0037456B" w:rsidP="00C5012C">
      <w:pPr>
        <w:spacing w:before="240" w:after="240"/>
        <w:rPr>
          <w:rFonts w:ascii="Arial" w:hAnsi="Arial"/>
          <w:b/>
          <w:bCs/>
          <w:lang w:val="en-GB"/>
        </w:rPr>
      </w:pPr>
      <w:r w:rsidRPr="005C0761">
        <w:rPr>
          <w:rFonts w:ascii="Arial" w:hAnsi="Arial"/>
          <w:b/>
          <w:bCs/>
          <w:lang w:val="en-GB"/>
        </w:rPr>
        <w:t>Profitability</w:t>
      </w:r>
    </w:p>
    <w:p w14:paraId="11E332F2" w14:textId="77777777" w:rsidR="0037456B" w:rsidRPr="005C0761" w:rsidRDefault="0037456B" w:rsidP="00C5012C">
      <w:pPr>
        <w:spacing w:before="240" w:after="240"/>
        <w:rPr>
          <w:rFonts w:ascii="Arial" w:hAnsi="Arial"/>
          <w:lang w:val="en-GB"/>
        </w:rPr>
      </w:pPr>
      <w:r w:rsidRPr="005C0761">
        <w:rPr>
          <w:rFonts w:ascii="Arial" w:hAnsi="Arial"/>
          <w:lang w:val="en-GB"/>
        </w:rPr>
        <w:t xml:space="preserve">This company can become more profitable and equitable in its organisational context by earning more revenue and business profits in its international </w:t>
      </w:r>
      <w:hyperlink r:id="rId35">
        <w:r w:rsidRPr="005C0761">
          <w:rPr>
            <w:rFonts w:ascii="Arial" w:hAnsi="Arial"/>
            <w:lang w:val="en-GB"/>
          </w:rPr>
          <w:t>market.it</w:t>
        </w:r>
      </w:hyperlink>
      <w:r w:rsidRPr="005C0761">
        <w:rPr>
          <w:rFonts w:ascii="Arial" w:hAnsi="Arial"/>
          <w:lang w:val="en-GB"/>
        </w:rPr>
        <w:t xml:space="preserve"> can help the company to gain more revenue and currency in its international and financial management sector by generating a total amount of 26 million. Also, this project can help the company to recover its business investment currency by the end of the year, which can help it gain profit margin and brand equity in the international markets. </w:t>
      </w:r>
    </w:p>
    <w:p w14:paraId="54263698" w14:textId="77777777" w:rsidR="0037456B" w:rsidRPr="005C0761" w:rsidRDefault="0037456B" w:rsidP="00C5012C">
      <w:pPr>
        <w:spacing w:before="240" w:after="240"/>
        <w:rPr>
          <w:rFonts w:ascii="Arial" w:hAnsi="Arial"/>
          <w:b/>
          <w:bCs/>
          <w:lang w:val="en-GB"/>
        </w:rPr>
      </w:pPr>
      <w:r w:rsidRPr="005C0761">
        <w:rPr>
          <w:rFonts w:ascii="Arial" w:hAnsi="Arial"/>
          <w:b/>
          <w:bCs/>
          <w:lang w:val="en-GB"/>
        </w:rPr>
        <w:t xml:space="preserve">Liquidity </w:t>
      </w:r>
    </w:p>
    <w:p w14:paraId="59094666" w14:textId="77777777" w:rsidR="0037456B" w:rsidRPr="005C0761" w:rsidRDefault="0037456B" w:rsidP="00C5012C">
      <w:pPr>
        <w:spacing w:before="240" w:after="240"/>
        <w:rPr>
          <w:rFonts w:ascii="Arial" w:hAnsi="Arial"/>
          <w:b/>
          <w:bCs/>
          <w:lang w:val="en-GB"/>
        </w:rPr>
      </w:pPr>
      <w:r w:rsidRPr="005C0761">
        <w:rPr>
          <w:rFonts w:ascii="Arial" w:hAnsi="Arial"/>
          <w:lang w:val="en-GB"/>
        </w:rPr>
        <w:t xml:space="preserve">The project C can help the company to meet all efficiency and liquidity-related rules and regulations, and its importance in the international market. It can help the company to create financial flexibility and foster effective brand performances and mitigate economic downturn in the international market level (Ujam, 2025). It can help the company to attract multiple investors and foster effective financial health in the organisational context. </w:t>
      </w:r>
    </w:p>
    <w:p w14:paraId="53DEA772" w14:textId="77777777"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t xml:space="preserve">Non-financial risks </w:t>
      </w:r>
    </w:p>
    <w:p w14:paraId="1FCAABF0" w14:textId="77777777"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t xml:space="preserve">Political risks </w:t>
      </w:r>
    </w:p>
    <w:p w14:paraId="3D32E2C4" w14:textId="77777777"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 xml:space="preserve">There are multiple political risks, rules, and regulations that can create disadvantages and issues in the </w:t>
      </w:r>
      <w:r w:rsidRPr="005C0761">
        <w:rPr>
          <w:rFonts w:ascii="Arial" w:hAnsi="Arial"/>
          <w:lang w:val="en-GB"/>
        </w:rPr>
        <w:t>organizational</w:t>
      </w:r>
      <w:r w:rsidRPr="005C0761">
        <w:rPr>
          <w:rFonts w:ascii="Arial" w:eastAsia="Times New Roman" w:hAnsi="Arial"/>
          <w:szCs w:val="24"/>
          <w:lang w:val="en-GB"/>
        </w:rPr>
        <w:t xml:space="preserve"> context of the company. It shows slow growth and multiple risks as the president of the US fosters threats related to the domestic landscape of related </w:t>
      </w:r>
      <w:r w:rsidRPr="005C0761">
        <w:rPr>
          <w:rFonts w:ascii="Arial" w:hAnsi="Arial"/>
          <w:lang w:val="en-GB"/>
        </w:rPr>
        <w:t>to the South</w:t>
      </w:r>
      <w:r w:rsidRPr="005C0761">
        <w:rPr>
          <w:rFonts w:ascii="Arial" w:eastAsia="Times New Roman" w:hAnsi="Arial"/>
          <w:szCs w:val="24"/>
          <w:lang w:val="en-GB"/>
        </w:rPr>
        <w:t xml:space="preserve"> </w:t>
      </w:r>
      <w:r w:rsidRPr="005C0761">
        <w:rPr>
          <w:rFonts w:ascii="Arial" w:hAnsi="Arial"/>
          <w:lang w:val="en-GB"/>
        </w:rPr>
        <w:t>K</w:t>
      </w:r>
      <w:r w:rsidRPr="005C0761">
        <w:rPr>
          <w:rFonts w:ascii="Arial" w:eastAsia="Times New Roman" w:hAnsi="Arial"/>
          <w:szCs w:val="24"/>
          <w:lang w:val="en-GB"/>
        </w:rPr>
        <w:t xml:space="preserve">orean outlook. It can foster multiple challenges for the company </w:t>
      </w:r>
      <w:r w:rsidRPr="005C0761">
        <w:rPr>
          <w:rFonts w:ascii="Arial" w:eastAsia="Times New Roman" w:hAnsi="Arial"/>
          <w:szCs w:val="24"/>
          <w:lang w:val="en-GB"/>
        </w:rPr>
        <w:lastRenderedPageBreak/>
        <w:t xml:space="preserve">to create strategic partnerships and investments with multiple national and global partners. It can create multiple challenges for the automotive industry to adopt a global supply chain in the international markets.   </w:t>
      </w:r>
    </w:p>
    <w:p w14:paraId="6432451B" w14:textId="77777777" w:rsidR="0037456B" w:rsidRPr="005C0761" w:rsidRDefault="0037456B" w:rsidP="00C5012C">
      <w:pPr>
        <w:spacing w:before="240" w:after="240"/>
        <w:rPr>
          <w:rFonts w:ascii="Arial" w:hAnsi="Arial"/>
          <w:b/>
          <w:bCs/>
          <w:lang w:val="en-GB"/>
        </w:rPr>
      </w:pPr>
      <w:r w:rsidRPr="005C0761">
        <w:rPr>
          <w:rFonts w:ascii="Arial" w:eastAsia="Times New Roman" w:hAnsi="Arial"/>
          <w:b/>
          <w:bCs/>
          <w:szCs w:val="24"/>
          <w:lang w:val="en-GB"/>
        </w:rPr>
        <w:t xml:space="preserve">Customer loyalty </w:t>
      </w:r>
    </w:p>
    <w:p w14:paraId="7791F6B8" w14:textId="77777777" w:rsidR="0037456B" w:rsidRPr="005C0761" w:rsidRDefault="0037456B" w:rsidP="00C5012C">
      <w:pPr>
        <w:spacing w:before="240" w:after="240"/>
        <w:rPr>
          <w:rFonts w:ascii="Arial" w:hAnsi="Arial"/>
          <w:lang w:val="en-GB"/>
        </w:rPr>
      </w:pPr>
      <w:r w:rsidRPr="005C0761">
        <w:rPr>
          <w:rFonts w:ascii="Arial" w:eastAsia="Times New Roman" w:hAnsi="Arial"/>
          <w:szCs w:val="24"/>
          <w:lang w:val="en-GB"/>
        </w:rPr>
        <w:t xml:space="preserve">Customer loyalty is important for a company to maintain brand loyalty, customer experiences, and engagement in its international markets and among its competitors. It can help the company to create dependable income, cost savings, higher lifetime spendings, free promotion, gain customer innovation and insights, and gain an effective competitive edge in the international </w:t>
      </w:r>
      <w:r w:rsidRPr="005C0761">
        <w:rPr>
          <w:rFonts w:ascii="Arial" w:hAnsi="Arial"/>
          <w:lang w:val="en-GB"/>
        </w:rPr>
        <w:t>market (Ahmad and Dirbawanto, 2024)</w:t>
      </w:r>
      <w:r w:rsidRPr="005C0761">
        <w:rPr>
          <w:rFonts w:ascii="Arial" w:eastAsia="Times New Roman" w:hAnsi="Arial"/>
          <w:szCs w:val="24"/>
          <w:lang w:val="en-GB"/>
        </w:rPr>
        <w:t xml:space="preserve">. An effective recommendation planning system can also help the company to improve customer experiences, maintain quality and profitability, </w:t>
      </w:r>
      <w:r w:rsidRPr="005C0761">
        <w:rPr>
          <w:rFonts w:ascii="Arial" w:hAnsi="Arial"/>
          <w:lang w:val="en-GB"/>
        </w:rPr>
        <w:t>personalise</w:t>
      </w:r>
      <w:r w:rsidRPr="005C0761">
        <w:rPr>
          <w:rFonts w:ascii="Arial" w:eastAsia="Times New Roman" w:hAnsi="Arial"/>
          <w:szCs w:val="24"/>
          <w:lang w:val="en-GB"/>
        </w:rPr>
        <w:t xml:space="preserve"> experiences and emotional bonds, and foster cross-channel engagement and transparent communications with the customer base. </w:t>
      </w:r>
    </w:p>
    <w:p w14:paraId="35B2EFD9" w14:textId="52718FAA" w:rsidR="0037456B" w:rsidRPr="005C0761" w:rsidRDefault="0037456B" w:rsidP="00C5012C">
      <w:pPr>
        <w:pStyle w:val="Heading2"/>
        <w:spacing w:before="240" w:after="240"/>
        <w:rPr>
          <w:rFonts w:ascii="Arial" w:hAnsi="Arial" w:cs="Arial"/>
          <w:lang w:val="en-GB"/>
        </w:rPr>
      </w:pPr>
      <w:bookmarkStart w:id="35" w:name="_hubr7fder66p" w:colFirst="0" w:colLast="0"/>
      <w:bookmarkStart w:id="36" w:name="_Toc227950764"/>
      <w:bookmarkEnd w:id="35"/>
      <w:r w:rsidRPr="005C0761">
        <w:rPr>
          <w:rFonts w:ascii="Arial" w:hAnsi="Arial" w:cs="Arial"/>
          <w:lang w:val="en-GB"/>
        </w:rPr>
        <w:t xml:space="preserve">Assessment of the project </w:t>
      </w:r>
      <w:r w:rsidR="000948CF" w:rsidRPr="005C0761">
        <w:rPr>
          <w:rFonts w:ascii="Arial" w:hAnsi="Arial" w:cs="Arial"/>
          <w:lang w:val="en-GB"/>
        </w:rPr>
        <w:t>combination and</w:t>
      </w:r>
      <w:r w:rsidRPr="005C0761">
        <w:rPr>
          <w:rFonts w:ascii="Arial" w:hAnsi="Arial" w:cs="Arial"/>
          <w:lang w:val="en-GB"/>
        </w:rPr>
        <w:t xml:space="preserve"> providing justification through the capital</w:t>
      </w:r>
      <w:bookmarkEnd w:id="36"/>
      <w:r w:rsidRPr="005C0761">
        <w:rPr>
          <w:rFonts w:ascii="Arial" w:hAnsi="Arial" w:cs="Arial"/>
          <w:lang w:val="en-GB"/>
        </w:rPr>
        <w:t xml:space="preserve"> </w:t>
      </w:r>
    </w:p>
    <w:p w14:paraId="2CA82D2D" w14:textId="77777777" w:rsidR="0037456B" w:rsidRPr="005C0761" w:rsidRDefault="0037456B" w:rsidP="00C5012C">
      <w:pPr>
        <w:spacing w:before="240" w:after="240"/>
        <w:jc w:val="center"/>
        <w:rPr>
          <w:rFonts w:ascii="Arial" w:hAnsi="Arial"/>
          <w:lang w:val="en-GB"/>
        </w:rPr>
      </w:pPr>
      <w:r w:rsidRPr="005C0761">
        <w:rPr>
          <w:rFonts w:ascii="Arial" w:hAnsi="Arial"/>
          <w:noProof/>
          <w:lang w:val="en-GB"/>
        </w:rPr>
        <w:drawing>
          <wp:inline distT="114300" distB="114300" distL="114300" distR="114300" wp14:anchorId="518B96E3" wp14:editId="732864C5">
            <wp:extent cx="5943600" cy="1460500"/>
            <wp:effectExtent l="0" t="0" r="0" b="0"/>
            <wp:docPr id="15"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6"/>
                    <a:srcRect/>
                    <a:stretch>
                      <a:fillRect/>
                    </a:stretch>
                  </pic:blipFill>
                  <pic:spPr>
                    <a:xfrm>
                      <a:off x="0" y="0"/>
                      <a:ext cx="5943600" cy="1460500"/>
                    </a:xfrm>
                    <a:prstGeom prst="rect">
                      <a:avLst/>
                    </a:prstGeom>
                    <a:ln/>
                  </pic:spPr>
                </pic:pic>
              </a:graphicData>
            </a:graphic>
          </wp:inline>
        </w:drawing>
      </w:r>
    </w:p>
    <w:p w14:paraId="4AD9ECEA" w14:textId="77777777" w:rsidR="0037456B" w:rsidRPr="005C0761" w:rsidRDefault="0037456B" w:rsidP="00C5012C">
      <w:pPr>
        <w:spacing w:before="240" w:after="240"/>
        <w:jc w:val="center"/>
        <w:rPr>
          <w:rFonts w:ascii="Arial" w:hAnsi="Arial"/>
          <w:b/>
          <w:bCs/>
          <w:lang w:val="en-GB"/>
        </w:rPr>
      </w:pPr>
      <w:r w:rsidRPr="005C0761">
        <w:rPr>
          <w:rFonts w:ascii="Arial" w:hAnsi="Arial"/>
          <w:b/>
          <w:bCs/>
          <w:lang w:val="en-GB"/>
        </w:rPr>
        <w:t xml:space="preserve">Figure 23: Project combination </w:t>
      </w:r>
    </w:p>
    <w:p w14:paraId="2562B77C" w14:textId="77777777" w:rsidR="0037456B" w:rsidRPr="005C0761" w:rsidRDefault="0037456B" w:rsidP="00C5012C">
      <w:pPr>
        <w:spacing w:before="240" w:after="240"/>
        <w:jc w:val="center"/>
        <w:rPr>
          <w:rFonts w:ascii="Arial" w:hAnsi="Arial"/>
          <w:lang w:val="en-GB"/>
        </w:rPr>
      </w:pPr>
      <w:r w:rsidRPr="005C0761">
        <w:rPr>
          <w:rFonts w:ascii="Arial" w:hAnsi="Arial"/>
          <w:lang w:val="en-GB"/>
        </w:rPr>
        <w:t>(Source: MS Excel)</w:t>
      </w:r>
    </w:p>
    <w:p w14:paraId="5F6E95FA" w14:textId="437D21E1" w:rsidR="0037456B" w:rsidRPr="005C0761" w:rsidRDefault="0037456B" w:rsidP="00C5012C">
      <w:pPr>
        <w:spacing w:before="240" w:after="240"/>
        <w:rPr>
          <w:rFonts w:ascii="Arial" w:hAnsi="Arial"/>
          <w:lang w:val="en-GB"/>
        </w:rPr>
      </w:pPr>
      <w:r w:rsidRPr="005C0761">
        <w:rPr>
          <w:rFonts w:ascii="Arial" w:hAnsi="Arial"/>
          <w:lang w:val="en-GB"/>
        </w:rPr>
        <w:t xml:space="preserve">The chosen business combination is project C and project B, which can help it to create </w:t>
      </w:r>
      <w:r w:rsidR="000948CF" w:rsidRPr="005C0761">
        <w:rPr>
          <w:rFonts w:ascii="Arial" w:hAnsi="Arial"/>
          <w:lang w:val="en-GB"/>
        </w:rPr>
        <w:t>growth,</w:t>
      </w:r>
      <w:r w:rsidRPr="005C0761">
        <w:rPr>
          <w:rFonts w:ascii="Arial" w:hAnsi="Arial"/>
          <w:lang w:val="en-GB"/>
        </w:rPr>
        <w:t xml:space="preserve"> efficiency and MS Excel lent </w:t>
      </w:r>
      <w:r w:rsidR="00735753" w:rsidRPr="005C0761">
        <w:rPr>
          <w:rFonts w:ascii="Arial" w:hAnsi="Arial"/>
          <w:lang w:val="en-GB"/>
        </w:rPr>
        <w:t>business</w:t>
      </w:r>
      <w:r w:rsidRPr="005C0761">
        <w:rPr>
          <w:rFonts w:ascii="Arial" w:hAnsi="Arial"/>
          <w:lang w:val="en-GB"/>
        </w:rPr>
        <w:t xml:space="preserve"> performances in its international market. It can cost around £100 million and can help the company to foster efficiency, efficiency and growth and brand reputation among its competitors. The project combination can </w:t>
      </w:r>
      <w:r w:rsidRPr="005C0761">
        <w:rPr>
          <w:rFonts w:ascii="Arial" w:hAnsi="Arial"/>
          <w:lang w:val="en-GB"/>
        </w:rPr>
        <w:lastRenderedPageBreak/>
        <w:t xml:space="preserve">help the company to evaluate and generate a huge amount of project investment and revenue performance (Olayinka, 2022). It can help the company to increase its operational efficiency, resource allocation, foster an effective budgeting system and generate new business profit and revenue ventures in its international market. </w:t>
      </w:r>
    </w:p>
    <w:p w14:paraId="6585447E" w14:textId="307C92DB" w:rsidR="0037456B" w:rsidRPr="005C0761" w:rsidRDefault="0037456B" w:rsidP="00C5012C">
      <w:pPr>
        <w:pStyle w:val="Heading1"/>
        <w:spacing w:before="240" w:after="240"/>
        <w:rPr>
          <w:rFonts w:ascii="Arial" w:hAnsi="Arial" w:cs="Arial"/>
          <w:lang w:val="en-GB"/>
        </w:rPr>
      </w:pPr>
      <w:r w:rsidRPr="005C0761">
        <w:rPr>
          <w:rFonts w:ascii="Arial" w:hAnsi="Arial" w:cs="Arial"/>
          <w:lang w:val="en-GB"/>
        </w:rPr>
        <w:br w:type="page"/>
      </w:r>
    </w:p>
    <w:p w14:paraId="2FDE1E6D" w14:textId="2A189DF8" w:rsidR="000948CF" w:rsidRPr="005C0761" w:rsidRDefault="00481F3D" w:rsidP="00C5012C">
      <w:pPr>
        <w:pStyle w:val="Heading1"/>
        <w:spacing w:before="240" w:after="240"/>
        <w:rPr>
          <w:rFonts w:ascii="Arial" w:hAnsi="Arial" w:cs="Arial"/>
          <w:lang w:val="en-GB"/>
        </w:rPr>
      </w:pPr>
      <w:bookmarkStart w:id="37" w:name="_Toc227950765"/>
      <w:r w:rsidRPr="005C0761">
        <w:rPr>
          <w:rFonts w:ascii="Arial" w:hAnsi="Arial" w:cs="Arial"/>
          <w:lang w:val="en-GB"/>
        </w:rPr>
        <w:lastRenderedPageBreak/>
        <w:t>References</w:t>
      </w:r>
      <w:bookmarkEnd w:id="37"/>
    </w:p>
    <w:p w14:paraId="7742058D" w14:textId="77777777" w:rsidR="000948CF" w:rsidRPr="00255BEA" w:rsidRDefault="000948CF" w:rsidP="00C5012C">
      <w:pPr>
        <w:spacing w:before="240" w:after="240"/>
        <w:rPr>
          <w:rFonts w:ascii="Arial" w:hAnsi="Arial"/>
          <w:lang w:val="en-GB"/>
        </w:rPr>
      </w:pPr>
      <w:r w:rsidRPr="00255BEA">
        <w:rPr>
          <w:rFonts w:ascii="Arial" w:hAnsi="Arial"/>
          <w:highlight w:val="white"/>
          <w:lang w:val="en-GB"/>
        </w:rPr>
        <w:t xml:space="preserve">Ahmad, A. and Dirbawanto, N.D., 2024. Building Customer Loyalty and Advocacy through Engagement Programs. </w:t>
      </w:r>
      <w:r w:rsidRPr="00255BEA">
        <w:rPr>
          <w:rFonts w:ascii="Arial" w:hAnsi="Arial"/>
          <w:i/>
          <w:iCs/>
          <w:highlight w:val="white"/>
          <w:lang w:val="en-GB"/>
        </w:rPr>
        <w:t>Strategies for Brand Communications and Management</w:t>
      </w:r>
      <w:r w:rsidRPr="00255BEA">
        <w:rPr>
          <w:rFonts w:ascii="Arial" w:hAnsi="Arial"/>
          <w:highlight w:val="white"/>
          <w:lang w:val="en-GB"/>
        </w:rPr>
        <w:t xml:space="preserve">, </w:t>
      </w:r>
      <w:r w:rsidRPr="00255BEA">
        <w:rPr>
          <w:rFonts w:ascii="Arial" w:hAnsi="Arial"/>
          <w:i/>
          <w:iCs/>
          <w:highlight w:val="white"/>
          <w:lang w:val="en-GB"/>
        </w:rPr>
        <w:t>148</w:t>
      </w:r>
      <w:r w:rsidRPr="00255BEA">
        <w:rPr>
          <w:rFonts w:ascii="Arial" w:hAnsi="Arial"/>
          <w:highlight w:val="white"/>
          <w:lang w:val="en-GB"/>
        </w:rPr>
        <w:t>.</w:t>
      </w:r>
      <w:r w:rsidRPr="00255BEA">
        <w:rPr>
          <w:rFonts w:ascii="Arial" w:hAnsi="Arial"/>
          <w:lang w:val="en-GB"/>
        </w:rPr>
        <w:t xml:space="preserve"> </w:t>
      </w:r>
    </w:p>
    <w:p w14:paraId="3ADBD6C7" w14:textId="77777777" w:rsidR="000948CF" w:rsidRPr="005C0761" w:rsidRDefault="000948CF" w:rsidP="00C5012C">
      <w:pPr>
        <w:spacing w:before="240" w:after="240"/>
        <w:rPr>
          <w:rFonts w:ascii="Arial" w:hAnsi="Arial"/>
          <w:lang w:val="en-GB"/>
        </w:rPr>
      </w:pPr>
      <w:r w:rsidRPr="005C0761">
        <w:rPr>
          <w:rFonts w:ascii="Arial" w:hAnsi="Arial"/>
          <w:lang w:val="en-GB"/>
        </w:rPr>
        <w:t>Almashhadani, M. and Almashhadani, H.A., 2023. The influence of technological capacity and financial capacity on promoting firm competitiveness and firm performance. Journal of Humanities, Social Sciences and Business, 3(1), pp.125-141.</w:t>
      </w:r>
    </w:p>
    <w:p w14:paraId="1ECB6125" w14:textId="77777777" w:rsidR="000948CF" w:rsidRPr="005C0761" w:rsidRDefault="000948CF" w:rsidP="00C5012C">
      <w:pPr>
        <w:spacing w:before="240" w:after="240"/>
        <w:rPr>
          <w:rFonts w:ascii="Arial" w:hAnsi="Arial"/>
          <w:color w:val="000000" w:themeColor="text1"/>
          <w:szCs w:val="24"/>
          <w:shd w:val="clear" w:color="auto" w:fill="FFFFFF"/>
          <w:lang w:val="en-GB"/>
        </w:rPr>
      </w:pPr>
      <w:r w:rsidRPr="005C0761">
        <w:rPr>
          <w:rFonts w:ascii="Arial" w:hAnsi="Arial"/>
          <w:color w:val="000000" w:themeColor="text1"/>
          <w:szCs w:val="24"/>
          <w:shd w:val="clear" w:color="auto" w:fill="FFFFFF"/>
          <w:lang w:val="en-GB"/>
        </w:rPr>
        <w:t>Ansari, D., Baboraik, A. and Brahim, W., 2025. Developing Clean Energy Industries and Workforce: Case Study Insights. MISC.</w:t>
      </w:r>
    </w:p>
    <w:p w14:paraId="7B5A7B8A" w14:textId="77777777" w:rsidR="000948CF" w:rsidRPr="005C0761" w:rsidRDefault="000948CF" w:rsidP="00C5012C">
      <w:pPr>
        <w:spacing w:before="240" w:after="240"/>
        <w:rPr>
          <w:rFonts w:ascii="Arial" w:hAnsi="Arial"/>
          <w:color w:val="000000" w:themeColor="text1"/>
          <w:szCs w:val="24"/>
          <w:shd w:val="clear" w:color="auto" w:fill="FFFFFF"/>
          <w:lang w:val="en-GB"/>
        </w:rPr>
      </w:pPr>
      <w:r w:rsidRPr="005C0761">
        <w:rPr>
          <w:rFonts w:ascii="Arial" w:hAnsi="Arial"/>
          <w:color w:val="000000" w:themeColor="text1"/>
          <w:szCs w:val="24"/>
          <w:shd w:val="clear" w:color="auto" w:fill="FFFFFF"/>
          <w:lang w:val="en-GB"/>
        </w:rPr>
        <w:t>Bampaou, M. and Panopoulos, K.D., 2024. A Comprehensive Overview of Technologies Applied in Hydrogen Valleys. </w:t>
      </w:r>
      <w:r w:rsidRPr="005C0761">
        <w:rPr>
          <w:rFonts w:ascii="Arial" w:hAnsi="Arial"/>
          <w:i/>
          <w:iCs/>
          <w:color w:val="000000" w:themeColor="text1"/>
          <w:szCs w:val="24"/>
          <w:shd w:val="clear" w:color="auto" w:fill="FFFFFF"/>
          <w:lang w:val="en-GB"/>
        </w:rPr>
        <w:t>Energies</w:t>
      </w:r>
      <w:r w:rsidRPr="005C0761">
        <w:rPr>
          <w:rFonts w:ascii="Arial" w:hAnsi="Arial"/>
          <w:color w:val="000000" w:themeColor="text1"/>
          <w:szCs w:val="24"/>
          <w:shd w:val="clear" w:color="auto" w:fill="FFFFFF"/>
          <w:lang w:val="en-GB"/>
        </w:rPr>
        <w:t>, </w:t>
      </w:r>
      <w:r w:rsidRPr="005C0761">
        <w:rPr>
          <w:rFonts w:ascii="Arial" w:hAnsi="Arial"/>
          <w:i/>
          <w:iCs/>
          <w:color w:val="000000" w:themeColor="text1"/>
          <w:szCs w:val="24"/>
          <w:shd w:val="clear" w:color="auto" w:fill="FFFFFF"/>
          <w:lang w:val="en-GB"/>
        </w:rPr>
        <w:t>17</w:t>
      </w:r>
      <w:r w:rsidRPr="005C0761">
        <w:rPr>
          <w:rFonts w:ascii="Arial" w:hAnsi="Arial"/>
          <w:color w:val="000000" w:themeColor="text1"/>
          <w:szCs w:val="24"/>
          <w:shd w:val="clear" w:color="auto" w:fill="FFFFFF"/>
          <w:lang w:val="en-GB"/>
        </w:rPr>
        <w:t>(24), p.6464.</w:t>
      </w:r>
    </w:p>
    <w:p w14:paraId="594258B0" w14:textId="77777777" w:rsidR="000948CF" w:rsidRPr="005C0761" w:rsidRDefault="000948CF" w:rsidP="00C5012C">
      <w:pPr>
        <w:spacing w:before="240" w:after="240"/>
        <w:rPr>
          <w:rFonts w:ascii="Arial" w:hAnsi="Arial"/>
          <w:color w:val="000000" w:themeColor="text1"/>
          <w:spacing w:val="3"/>
          <w:szCs w:val="24"/>
          <w:shd w:val="clear" w:color="auto" w:fill="FFFFFF"/>
          <w:lang w:val="en-GB"/>
        </w:rPr>
      </w:pPr>
      <w:r w:rsidRPr="005C0761">
        <w:rPr>
          <w:rFonts w:ascii="Arial" w:hAnsi="Arial"/>
          <w:color w:val="000000" w:themeColor="text1"/>
          <w:spacing w:val="3"/>
          <w:szCs w:val="24"/>
          <w:shd w:val="clear" w:color="auto" w:fill="FFFFFF"/>
          <w:lang w:val="en-GB"/>
        </w:rPr>
        <w:t>Banerjee, D., 2025. A Study on the Effectiveness of Customer Engagement at Bhandari Automobiles Kolkata. Available at SSRN 5232833.</w:t>
      </w:r>
    </w:p>
    <w:p w14:paraId="61514601" w14:textId="77777777" w:rsidR="000948CF" w:rsidRPr="005C0761" w:rsidRDefault="000948CF" w:rsidP="00C5012C">
      <w:pPr>
        <w:spacing w:before="240" w:after="240"/>
        <w:rPr>
          <w:rFonts w:ascii="Arial" w:hAnsi="Arial"/>
          <w:lang w:val="en-GB"/>
        </w:rPr>
      </w:pPr>
      <w:r w:rsidRPr="005C0761">
        <w:rPr>
          <w:rFonts w:ascii="Arial" w:hAnsi="Arial"/>
          <w:lang w:val="en-GB"/>
        </w:rPr>
        <w:t>Barnabas, B. and Oloyede, J., 2024. Cash flow optimization: Strategies for enhancing short-term liquidity. Available at SSRN 5004465.</w:t>
      </w:r>
    </w:p>
    <w:p w14:paraId="05F78E0D" w14:textId="77777777" w:rsidR="000948CF" w:rsidRPr="005C0761" w:rsidRDefault="000948CF" w:rsidP="00C5012C">
      <w:pPr>
        <w:spacing w:before="240" w:after="240"/>
        <w:rPr>
          <w:rFonts w:ascii="Arial" w:hAnsi="Arial"/>
          <w:lang w:val="en-GB"/>
        </w:rPr>
      </w:pPr>
      <w:r w:rsidRPr="005C0761">
        <w:rPr>
          <w:rFonts w:ascii="Arial" w:hAnsi="Arial"/>
          <w:lang w:val="en-GB"/>
        </w:rPr>
        <w:t>Barnabas, B. and Oloyede, J., 2024. Cash flow optimization: Strategies for enhancing short-term liquidity. Available at SSRN 5004465.</w:t>
      </w:r>
    </w:p>
    <w:p w14:paraId="05113B9A" w14:textId="77777777" w:rsidR="000948CF" w:rsidRPr="005C0761" w:rsidRDefault="000948CF" w:rsidP="00C5012C">
      <w:pPr>
        <w:spacing w:before="240" w:after="240"/>
        <w:rPr>
          <w:rFonts w:ascii="Arial" w:hAnsi="Arial"/>
          <w:lang w:val="en-GB"/>
        </w:rPr>
      </w:pPr>
      <w:r w:rsidRPr="005C0761">
        <w:rPr>
          <w:rFonts w:ascii="Arial" w:hAnsi="Arial"/>
          <w:lang w:val="en-GB"/>
        </w:rPr>
        <w:t>Benamara, A., 2023. Methods for measuring the profitability of marketing operations: with an applied study on perfume market companies. Journal of Financial, Accounting &amp; Managerial Studies, 10(2).</w:t>
      </w:r>
    </w:p>
    <w:p w14:paraId="0128433D" w14:textId="77777777" w:rsidR="000948CF" w:rsidRPr="005C0761" w:rsidRDefault="000948CF" w:rsidP="00C5012C">
      <w:pPr>
        <w:spacing w:before="240" w:after="240"/>
        <w:rPr>
          <w:rFonts w:ascii="Arial" w:hAnsi="Arial"/>
          <w:color w:val="000000" w:themeColor="text1"/>
          <w:szCs w:val="24"/>
          <w:shd w:val="clear" w:color="auto" w:fill="FFFFFF"/>
          <w:lang w:val="en-GB"/>
        </w:rPr>
      </w:pPr>
      <w:r w:rsidRPr="005C0761">
        <w:rPr>
          <w:rFonts w:ascii="Arial" w:hAnsi="Arial"/>
          <w:color w:val="000000" w:themeColor="text1"/>
          <w:szCs w:val="24"/>
          <w:shd w:val="clear" w:color="auto" w:fill="FFFFFF"/>
          <w:lang w:val="en-GB"/>
        </w:rPr>
        <w:t>Bhattacheryay, S., 2023. Distinguished competency and efficacy of working capital management ensuing firm survival, liquidity, solvency and profitability: a study on automotive industry. </w:t>
      </w:r>
      <w:r w:rsidRPr="005C0761">
        <w:rPr>
          <w:rFonts w:ascii="Arial" w:hAnsi="Arial"/>
          <w:i/>
          <w:iCs/>
          <w:color w:val="000000" w:themeColor="text1"/>
          <w:szCs w:val="24"/>
          <w:shd w:val="clear" w:color="auto" w:fill="FFFFFF"/>
          <w:lang w:val="en-GB"/>
        </w:rPr>
        <w:t>American Business Review</w:t>
      </w:r>
      <w:r w:rsidRPr="005C0761">
        <w:rPr>
          <w:rFonts w:ascii="Arial" w:hAnsi="Arial"/>
          <w:color w:val="000000" w:themeColor="text1"/>
          <w:szCs w:val="24"/>
          <w:shd w:val="clear" w:color="auto" w:fill="FFFFFF"/>
          <w:lang w:val="en-GB"/>
        </w:rPr>
        <w:t>, </w:t>
      </w:r>
      <w:r w:rsidRPr="005C0761">
        <w:rPr>
          <w:rFonts w:ascii="Arial" w:hAnsi="Arial"/>
          <w:i/>
          <w:iCs/>
          <w:color w:val="000000" w:themeColor="text1"/>
          <w:szCs w:val="24"/>
          <w:shd w:val="clear" w:color="auto" w:fill="FFFFFF"/>
          <w:lang w:val="en-GB"/>
        </w:rPr>
        <w:t>26</w:t>
      </w:r>
      <w:r w:rsidRPr="005C0761">
        <w:rPr>
          <w:rFonts w:ascii="Arial" w:hAnsi="Arial"/>
          <w:color w:val="000000" w:themeColor="text1"/>
          <w:szCs w:val="24"/>
          <w:shd w:val="clear" w:color="auto" w:fill="FFFFFF"/>
          <w:lang w:val="en-GB"/>
        </w:rPr>
        <w:t>(1), p.3.</w:t>
      </w:r>
    </w:p>
    <w:p w14:paraId="00A828CC" w14:textId="77777777" w:rsidR="000948CF" w:rsidRPr="005C0761" w:rsidRDefault="000948CF" w:rsidP="00C5012C">
      <w:pPr>
        <w:spacing w:before="240" w:after="240"/>
        <w:rPr>
          <w:rFonts w:ascii="Arial" w:hAnsi="Arial"/>
          <w:color w:val="000000" w:themeColor="text1"/>
          <w:szCs w:val="24"/>
          <w:shd w:val="clear" w:color="auto" w:fill="FFFFFF"/>
          <w:lang w:val="en-GB"/>
        </w:rPr>
      </w:pPr>
      <w:r w:rsidRPr="005C0761">
        <w:rPr>
          <w:rFonts w:ascii="Arial" w:hAnsi="Arial"/>
          <w:color w:val="000000" w:themeColor="text1"/>
          <w:szCs w:val="24"/>
          <w:shd w:val="clear" w:color="auto" w:fill="FFFFFF"/>
          <w:lang w:val="en-GB"/>
        </w:rPr>
        <w:t>Choudhury, R.N., 2022. Why did make in India scheme fail to attract FDI inflows in Indian manufacturing sector? </w:t>
      </w:r>
      <w:r w:rsidRPr="005C0761">
        <w:rPr>
          <w:rFonts w:ascii="Arial" w:hAnsi="Arial"/>
          <w:i/>
          <w:iCs/>
          <w:color w:val="000000" w:themeColor="text1"/>
          <w:szCs w:val="24"/>
          <w:shd w:val="clear" w:color="auto" w:fill="FFFFFF"/>
          <w:lang w:val="en-GB"/>
        </w:rPr>
        <w:t>Journal of Public Affairs</w:t>
      </w:r>
      <w:r w:rsidRPr="005C0761">
        <w:rPr>
          <w:rFonts w:ascii="Arial" w:hAnsi="Arial"/>
          <w:color w:val="000000" w:themeColor="text1"/>
          <w:szCs w:val="24"/>
          <w:shd w:val="clear" w:color="auto" w:fill="FFFFFF"/>
          <w:lang w:val="en-GB"/>
        </w:rPr>
        <w:t>, </w:t>
      </w:r>
      <w:r w:rsidRPr="005C0761">
        <w:rPr>
          <w:rFonts w:ascii="Arial" w:hAnsi="Arial"/>
          <w:i/>
          <w:iCs/>
          <w:color w:val="000000" w:themeColor="text1"/>
          <w:szCs w:val="24"/>
          <w:shd w:val="clear" w:color="auto" w:fill="FFFFFF"/>
          <w:lang w:val="en-GB"/>
        </w:rPr>
        <w:t>22</w:t>
      </w:r>
      <w:r w:rsidRPr="005C0761">
        <w:rPr>
          <w:rFonts w:ascii="Arial" w:hAnsi="Arial"/>
          <w:color w:val="000000" w:themeColor="text1"/>
          <w:szCs w:val="24"/>
          <w:shd w:val="clear" w:color="auto" w:fill="FFFFFF"/>
          <w:lang w:val="en-GB"/>
        </w:rPr>
        <w:t>(1), p.e2341.</w:t>
      </w:r>
    </w:p>
    <w:p w14:paraId="4E31BEFA"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lastRenderedPageBreak/>
        <w:t>Choudhury, T.R., Debnath, D. and Majumder, S., 2024. Impact of EVs and its business case studies for the automobile market. In </w:t>
      </w:r>
      <w:r w:rsidRPr="00255BEA">
        <w:rPr>
          <w:rFonts w:ascii="Arial" w:hAnsi="Arial"/>
          <w:i/>
          <w:iCs/>
          <w:szCs w:val="24"/>
          <w:shd w:val="clear" w:color="auto" w:fill="FFFFFF"/>
          <w:lang w:val="en-GB"/>
        </w:rPr>
        <w:t>Electric Vehicle Propulsion Drives and Charging Systems</w:t>
      </w:r>
      <w:r w:rsidRPr="00255BEA">
        <w:rPr>
          <w:rFonts w:ascii="Arial" w:hAnsi="Arial"/>
          <w:szCs w:val="24"/>
          <w:shd w:val="clear" w:color="auto" w:fill="FFFFFF"/>
          <w:lang w:val="en-GB"/>
        </w:rPr>
        <w:t> (pp. 1-26). CRC Press.</w:t>
      </w:r>
    </w:p>
    <w:p w14:paraId="657849E1" w14:textId="77777777" w:rsidR="000948CF" w:rsidRPr="00255BEA" w:rsidRDefault="000948CF" w:rsidP="00C5012C">
      <w:pPr>
        <w:spacing w:before="240" w:after="240"/>
        <w:rPr>
          <w:rFonts w:ascii="Arial" w:hAnsi="Arial"/>
          <w:spacing w:val="3"/>
          <w:szCs w:val="24"/>
          <w:lang w:val="en-GB"/>
        </w:rPr>
      </w:pPr>
      <w:r w:rsidRPr="00255BEA">
        <w:rPr>
          <w:rFonts w:ascii="Arial" w:hAnsi="Arial"/>
          <w:spacing w:val="3"/>
          <w:szCs w:val="24"/>
          <w:lang w:val="en-GB"/>
        </w:rPr>
        <w:t>Crisp, R., Waite, D., Green, A., Hughes, C., Lupton, R., MacKinnon, D. and Pike, A., 2024. ‘Beyond GDP’in cities: Assessing alternative approaches to urban economic development. Urban Studies, 61(7), pp.1209-1229.</w:t>
      </w:r>
    </w:p>
    <w:p w14:paraId="52B73226"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Elumilade, O.O., Ogundeji, I.A., Achumie, G.O., Omokhoa, H.E. and Omowole, B.M., 2022. Optimizing corporate tax strategies and transfer pricing policies to improve financial efficiency and compliance. </w:t>
      </w:r>
      <w:r w:rsidRPr="00255BEA">
        <w:rPr>
          <w:rFonts w:ascii="Arial" w:hAnsi="Arial"/>
          <w:i/>
          <w:iCs/>
          <w:szCs w:val="24"/>
          <w:shd w:val="clear" w:color="auto" w:fill="FFFFFF"/>
          <w:lang w:val="en-GB"/>
        </w:rPr>
        <w:t>Journal of Advance Multidisciplinary Research</w:t>
      </w:r>
      <w:r w:rsidRPr="00255BEA">
        <w:rPr>
          <w:rFonts w:ascii="Arial" w:hAnsi="Arial"/>
          <w:szCs w:val="24"/>
          <w:shd w:val="clear" w:color="auto" w:fill="FFFFFF"/>
          <w:lang w:val="en-GB"/>
        </w:rPr>
        <w:t>, </w:t>
      </w:r>
      <w:r w:rsidRPr="00255BEA">
        <w:rPr>
          <w:rFonts w:ascii="Arial" w:hAnsi="Arial"/>
          <w:i/>
          <w:iCs/>
          <w:szCs w:val="24"/>
          <w:shd w:val="clear" w:color="auto" w:fill="FFFFFF"/>
          <w:lang w:val="en-GB"/>
        </w:rPr>
        <w:t>1</w:t>
      </w:r>
      <w:r w:rsidRPr="00255BEA">
        <w:rPr>
          <w:rFonts w:ascii="Arial" w:hAnsi="Arial"/>
          <w:szCs w:val="24"/>
          <w:shd w:val="clear" w:color="auto" w:fill="FFFFFF"/>
          <w:lang w:val="en-GB"/>
        </w:rPr>
        <w:t>(2), pp.28-38.</w:t>
      </w:r>
    </w:p>
    <w:p w14:paraId="590BCDD8"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Gakhreja, S. and Thakur, S., 2024. Competing strategies and network management in supply chain management. In </w:t>
      </w:r>
      <w:r w:rsidRPr="00255BEA">
        <w:rPr>
          <w:rFonts w:ascii="Arial" w:hAnsi="Arial"/>
          <w:i/>
          <w:iCs/>
          <w:szCs w:val="24"/>
          <w:shd w:val="clear" w:color="auto" w:fill="FFFFFF"/>
          <w:lang w:val="en-GB"/>
        </w:rPr>
        <w:t>Supply Chain Management</w:t>
      </w:r>
      <w:r w:rsidRPr="00255BEA">
        <w:rPr>
          <w:rFonts w:ascii="Arial" w:hAnsi="Arial"/>
          <w:szCs w:val="24"/>
          <w:shd w:val="clear" w:color="auto" w:fill="FFFFFF"/>
          <w:lang w:val="en-GB"/>
        </w:rPr>
        <w:t> (pp. 14-33). CRC Press.</w:t>
      </w:r>
    </w:p>
    <w:p w14:paraId="34E4C2D8"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Hilmi, A.R.M., Faheem, A.A., Al Hashmi, A.R., Alamri, H.S. and Raza, S., 2025. Automobile Markets and Consumer Preferences: A Comparative study between Hyundai and Mercedes-Benz in Oman. </w:t>
      </w:r>
      <w:r w:rsidRPr="00255BEA">
        <w:rPr>
          <w:rFonts w:ascii="Arial" w:hAnsi="Arial"/>
          <w:i/>
          <w:iCs/>
          <w:szCs w:val="24"/>
          <w:shd w:val="clear" w:color="auto" w:fill="FFFFFF"/>
          <w:lang w:val="en-GB"/>
        </w:rPr>
        <w:t>GSJ</w:t>
      </w:r>
      <w:r w:rsidRPr="00255BEA">
        <w:rPr>
          <w:rFonts w:ascii="Arial" w:hAnsi="Arial"/>
          <w:szCs w:val="24"/>
          <w:shd w:val="clear" w:color="auto" w:fill="FFFFFF"/>
          <w:lang w:val="en-GB"/>
        </w:rPr>
        <w:t>, </w:t>
      </w:r>
      <w:r w:rsidRPr="00255BEA">
        <w:rPr>
          <w:rFonts w:ascii="Arial" w:hAnsi="Arial"/>
          <w:i/>
          <w:iCs/>
          <w:szCs w:val="24"/>
          <w:shd w:val="clear" w:color="auto" w:fill="FFFFFF"/>
          <w:lang w:val="en-GB"/>
        </w:rPr>
        <w:t>13</w:t>
      </w:r>
      <w:r w:rsidRPr="00255BEA">
        <w:rPr>
          <w:rFonts w:ascii="Arial" w:hAnsi="Arial"/>
          <w:szCs w:val="24"/>
          <w:shd w:val="clear" w:color="auto" w:fill="FFFFFF"/>
          <w:lang w:val="en-GB"/>
        </w:rPr>
        <w:t>(6).</w:t>
      </w:r>
    </w:p>
    <w:p w14:paraId="4713971C" w14:textId="77777777" w:rsidR="000948CF" w:rsidRPr="00255BEA" w:rsidRDefault="000948CF" w:rsidP="00C5012C">
      <w:pPr>
        <w:spacing w:before="240" w:after="240"/>
        <w:rPr>
          <w:rFonts w:ascii="Arial" w:hAnsi="Arial"/>
          <w:lang w:val="en-GB"/>
        </w:rPr>
      </w:pPr>
      <w:r w:rsidRPr="00255BEA">
        <w:rPr>
          <w:rFonts w:ascii="Arial" w:hAnsi="Arial"/>
          <w:lang w:val="en-GB"/>
        </w:rPr>
        <w:t>Hindarto, D., 2023. The management of projects is improved through enterprise architecture on project management application systems. International Journal Software Engineering and Computer Science (IJSECS), 3(2), pp.151-161.</w:t>
      </w:r>
    </w:p>
    <w:p w14:paraId="5598E151" w14:textId="395C6EEF" w:rsidR="000948CF" w:rsidRPr="00255BEA" w:rsidRDefault="000948CF" w:rsidP="00C5012C">
      <w:pPr>
        <w:spacing w:before="240" w:after="240"/>
        <w:rPr>
          <w:rFonts w:ascii="Arial" w:hAnsi="Arial"/>
          <w:lang w:val="en-GB"/>
        </w:rPr>
      </w:pPr>
      <w:r w:rsidRPr="00255BEA">
        <w:rPr>
          <w:rFonts w:ascii="Arial" w:hAnsi="Arial"/>
          <w:lang w:val="en-GB"/>
        </w:rPr>
        <w:t xml:space="preserve">hyundai.com,(2026). </w:t>
      </w:r>
      <w:r w:rsidRPr="00255BEA">
        <w:rPr>
          <w:rFonts w:ascii="Arial" w:hAnsi="Arial"/>
          <w:i/>
          <w:iCs/>
          <w:lang w:val="en-GB"/>
        </w:rPr>
        <w:t>Financial Information</w:t>
      </w:r>
      <w:r w:rsidRPr="00255BEA">
        <w:rPr>
          <w:rFonts w:ascii="Arial" w:hAnsi="Arial"/>
          <w:lang w:val="en-GB"/>
        </w:rPr>
        <w:t>,Available at:https://www.hyundai.com/in/en/investor-relations/financial-information/annual-report [accessed on 23.4.26]</w:t>
      </w:r>
    </w:p>
    <w:p w14:paraId="6508B997" w14:textId="77777777" w:rsidR="000948CF" w:rsidRPr="00255BEA" w:rsidRDefault="000948CF" w:rsidP="00C5012C">
      <w:pPr>
        <w:spacing w:before="240" w:after="240"/>
        <w:rPr>
          <w:rFonts w:ascii="Arial" w:hAnsi="Arial"/>
          <w:lang w:val="en-GB"/>
        </w:rPr>
      </w:pPr>
      <w:r w:rsidRPr="00255BEA">
        <w:rPr>
          <w:rFonts w:ascii="Arial" w:hAnsi="Arial"/>
          <w:lang w:val="en-GB"/>
        </w:rPr>
        <w:t>Isibor, N.J., Ibeh, A.I., Ewim, C.P.M., Sam-Bulya, N.J. and Martha, E., 2022. A financial control and performance management framework for SMEs: Strengthening budgeting, risk mitigation, and profitability. International Journal of Multidisciplinary Research and Growth Evaluation, 3(1), pp.761-768.</w:t>
      </w:r>
    </w:p>
    <w:p w14:paraId="1AC4B58B"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lastRenderedPageBreak/>
        <w:t>Jain, V. and Kulkarni, P.A., 2023. Integrating AI techniques for enhanced financial forecasting and budgeting strategies. </w:t>
      </w:r>
      <w:r w:rsidRPr="00255BEA">
        <w:rPr>
          <w:rFonts w:ascii="Arial" w:hAnsi="Arial"/>
          <w:i/>
          <w:iCs/>
          <w:szCs w:val="24"/>
          <w:shd w:val="clear" w:color="auto" w:fill="FFFFFF"/>
          <w:lang w:val="en-GB"/>
        </w:rPr>
        <w:t>International Journal of Economics and Management Studies</w:t>
      </w:r>
      <w:r w:rsidRPr="00255BEA">
        <w:rPr>
          <w:rFonts w:ascii="Arial" w:hAnsi="Arial"/>
          <w:szCs w:val="24"/>
          <w:shd w:val="clear" w:color="auto" w:fill="FFFFFF"/>
          <w:lang w:val="en-GB"/>
        </w:rPr>
        <w:t>, </w:t>
      </w:r>
      <w:r w:rsidRPr="00255BEA">
        <w:rPr>
          <w:rFonts w:ascii="Arial" w:hAnsi="Arial"/>
          <w:i/>
          <w:iCs/>
          <w:szCs w:val="24"/>
          <w:shd w:val="clear" w:color="auto" w:fill="FFFFFF"/>
          <w:lang w:val="en-GB"/>
        </w:rPr>
        <w:t>10</w:t>
      </w:r>
      <w:r w:rsidRPr="00255BEA">
        <w:rPr>
          <w:rFonts w:ascii="Arial" w:hAnsi="Arial"/>
          <w:szCs w:val="24"/>
          <w:shd w:val="clear" w:color="auto" w:fill="FFFFFF"/>
          <w:lang w:val="en-GB"/>
        </w:rPr>
        <w:t>(09), pp.9-15.</w:t>
      </w:r>
    </w:p>
    <w:p w14:paraId="07754741"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Jeong, J.H., Kim, C. and Jo, H.J., 2024. Three major challenges in the shift to electric vehicles: Industrial organization, industrial policy, and a just transition. </w:t>
      </w:r>
      <w:r w:rsidRPr="00255BEA">
        <w:rPr>
          <w:rFonts w:ascii="Arial" w:hAnsi="Arial"/>
          <w:i/>
          <w:iCs/>
          <w:szCs w:val="24"/>
          <w:shd w:val="clear" w:color="auto" w:fill="FFFFFF"/>
          <w:lang w:val="en-GB"/>
        </w:rPr>
        <w:t>Sociology Compass</w:t>
      </w:r>
      <w:r w:rsidRPr="00255BEA">
        <w:rPr>
          <w:rFonts w:ascii="Arial" w:hAnsi="Arial"/>
          <w:szCs w:val="24"/>
          <w:shd w:val="clear" w:color="auto" w:fill="FFFFFF"/>
          <w:lang w:val="en-GB"/>
        </w:rPr>
        <w:t>, </w:t>
      </w:r>
      <w:r w:rsidRPr="00255BEA">
        <w:rPr>
          <w:rFonts w:ascii="Arial" w:hAnsi="Arial"/>
          <w:i/>
          <w:iCs/>
          <w:szCs w:val="24"/>
          <w:shd w:val="clear" w:color="auto" w:fill="FFFFFF"/>
          <w:lang w:val="en-GB"/>
        </w:rPr>
        <w:t>18</w:t>
      </w:r>
      <w:r w:rsidRPr="00255BEA">
        <w:rPr>
          <w:rFonts w:ascii="Arial" w:hAnsi="Arial"/>
          <w:szCs w:val="24"/>
          <w:shd w:val="clear" w:color="auto" w:fill="FFFFFF"/>
          <w:lang w:val="en-GB"/>
        </w:rPr>
        <w:t>(5), p.e13218.</w:t>
      </w:r>
    </w:p>
    <w:p w14:paraId="393B2D1B"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Jo, H.J., Jeong, J.H. and Kim, C., 2023. An Overview of Hyundai Motor’s Production System. </w:t>
      </w:r>
      <w:r w:rsidRPr="00255BEA">
        <w:rPr>
          <w:rFonts w:ascii="Arial" w:hAnsi="Arial"/>
          <w:i/>
          <w:iCs/>
          <w:szCs w:val="24"/>
          <w:shd w:val="clear" w:color="auto" w:fill="FFFFFF"/>
          <w:lang w:val="en-GB"/>
        </w:rPr>
        <w:t>Agile Against Lean: An Inquiry into the Production System of Hyundai Motor</w:t>
      </w:r>
      <w:r w:rsidRPr="00255BEA">
        <w:rPr>
          <w:rFonts w:ascii="Arial" w:hAnsi="Arial"/>
          <w:szCs w:val="24"/>
          <w:shd w:val="clear" w:color="auto" w:fill="FFFFFF"/>
          <w:lang w:val="en-GB"/>
        </w:rPr>
        <w:t>, pp.65-116.</w:t>
      </w:r>
    </w:p>
    <w:p w14:paraId="2E3E29E5"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Kim, J. and Jin, I., 2022. Small business strategies and solutions for SDG agenda. In </w:t>
      </w:r>
      <w:r w:rsidRPr="00255BEA">
        <w:rPr>
          <w:rFonts w:ascii="Arial" w:hAnsi="Arial"/>
          <w:i/>
          <w:iCs/>
          <w:szCs w:val="24"/>
          <w:shd w:val="clear" w:color="auto" w:fill="FFFFFF"/>
          <w:lang w:val="en-GB"/>
        </w:rPr>
        <w:t>Sustainable Development Goals and Pandemic Planning: Role of Efficiency Based Regional Approaches</w:t>
      </w:r>
      <w:r w:rsidRPr="00255BEA">
        <w:rPr>
          <w:rFonts w:ascii="Arial" w:hAnsi="Arial"/>
          <w:szCs w:val="24"/>
          <w:shd w:val="clear" w:color="auto" w:fill="FFFFFF"/>
          <w:lang w:val="en-GB"/>
        </w:rPr>
        <w:t> (pp. 691-719). Singapore: Springer Nature Singapore.</w:t>
      </w:r>
    </w:p>
    <w:p w14:paraId="21D9FBCD"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Kim, R.C., Scullion, H., Avvari, M.V., Jooss, S. and Uddin, H., 2025. Inclusive leadership in times of global crisis: how CEOs of multinational enterprises responded to COVID-19. </w:t>
      </w:r>
      <w:r w:rsidRPr="00255BEA">
        <w:rPr>
          <w:rFonts w:ascii="Arial" w:hAnsi="Arial"/>
          <w:i/>
          <w:iCs/>
          <w:szCs w:val="24"/>
          <w:shd w:val="clear" w:color="auto" w:fill="FFFFFF"/>
          <w:lang w:val="en-GB"/>
        </w:rPr>
        <w:t>Critical Perspectives on International Business</w:t>
      </w:r>
      <w:r w:rsidRPr="00255BEA">
        <w:rPr>
          <w:rFonts w:ascii="Arial" w:hAnsi="Arial"/>
          <w:szCs w:val="24"/>
          <w:shd w:val="clear" w:color="auto" w:fill="FFFFFF"/>
          <w:lang w:val="en-GB"/>
        </w:rPr>
        <w:t>, </w:t>
      </w:r>
      <w:r w:rsidRPr="00255BEA">
        <w:rPr>
          <w:rFonts w:ascii="Arial" w:hAnsi="Arial"/>
          <w:i/>
          <w:iCs/>
          <w:szCs w:val="24"/>
          <w:shd w:val="clear" w:color="auto" w:fill="FFFFFF"/>
          <w:lang w:val="en-GB"/>
        </w:rPr>
        <w:t>21</w:t>
      </w:r>
      <w:r w:rsidRPr="00255BEA">
        <w:rPr>
          <w:rFonts w:ascii="Arial" w:hAnsi="Arial"/>
          <w:szCs w:val="24"/>
          <w:shd w:val="clear" w:color="auto" w:fill="FFFFFF"/>
          <w:lang w:val="en-GB"/>
        </w:rPr>
        <w:t>(2), pp.257-287.</w:t>
      </w:r>
    </w:p>
    <w:p w14:paraId="429DB77F"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Ladha, R., Das Banerjee, A., Ramji, A. and Hwang, R., 2025. Accelerating Zero-Emission Truck Adoption in India: Regulatory Design and Sales Credit Trading.</w:t>
      </w:r>
    </w:p>
    <w:p w14:paraId="37955CAD" w14:textId="77777777" w:rsidR="000948CF" w:rsidRPr="00255BEA" w:rsidRDefault="000948CF" w:rsidP="00C5012C">
      <w:pPr>
        <w:spacing w:before="240" w:after="240"/>
        <w:rPr>
          <w:rFonts w:ascii="Arial" w:hAnsi="Arial"/>
          <w:lang w:val="en-GB"/>
        </w:rPr>
      </w:pPr>
      <w:r w:rsidRPr="00255BEA">
        <w:rPr>
          <w:rFonts w:ascii="Arial" w:hAnsi="Arial"/>
          <w:lang w:val="en-GB"/>
        </w:rPr>
        <w:t>Laghari, F., Ahmed, F. and López García, M.D.L.N., 2023. Cash flow management and its effect on firm performance: Empirical evidence on non-financial firms of China. Plos one, 18(6), p.e0287135.</w:t>
      </w:r>
    </w:p>
    <w:p w14:paraId="78113502"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LUU, W.C. and Salikon, M.Z.M., 2025. Mah Heng Motor Enterprise Full Stack Management System. </w:t>
      </w:r>
      <w:r w:rsidRPr="00255BEA">
        <w:rPr>
          <w:rFonts w:ascii="Arial" w:hAnsi="Arial"/>
          <w:i/>
          <w:iCs/>
          <w:szCs w:val="24"/>
          <w:shd w:val="clear" w:color="auto" w:fill="FFFFFF"/>
          <w:lang w:val="en-GB"/>
        </w:rPr>
        <w:t>Applied Information Technology and Computer Science</w:t>
      </w:r>
      <w:r w:rsidRPr="00255BEA">
        <w:rPr>
          <w:rFonts w:ascii="Arial" w:hAnsi="Arial"/>
          <w:szCs w:val="24"/>
          <w:shd w:val="clear" w:color="auto" w:fill="FFFFFF"/>
          <w:lang w:val="en-GB"/>
        </w:rPr>
        <w:t>, </w:t>
      </w:r>
      <w:r w:rsidRPr="00255BEA">
        <w:rPr>
          <w:rFonts w:ascii="Arial" w:hAnsi="Arial"/>
          <w:i/>
          <w:iCs/>
          <w:szCs w:val="24"/>
          <w:shd w:val="clear" w:color="auto" w:fill="FFFFFF"/>
          <w:lang w:val="en-GB"/>
        </w:rPr>
        <w:t>6</w:t>
      </w:r>
      <w:r w:rsidRPr="00255BEA">
        <w:rPr>
          <w:rFonts w:ascii="Arial" w:hAnsi="Arial"/>
          <w:szCs w:val="24"/>
          <w:shd w:val="clear" w:color="auto" w:fill="FFFFFF"/>
          <w:lang w:val="en-GB"/>
        </w:rPr>
        <w:t>(1), pp.2201-2214.</w:t>
      </w:r>
    </w:p>
    <w:p w14:paraId="472B779A" w14:textId="77777777" w:rsidR="000948CF" w:rsidRPr="00255BEA" w:rsidRDefault="000948CF" w:rsidP="00C5012C">
      <w:pPr>
        <w:spacing w:before="240" w:after="240"/>
        <w:rPr>
          <w:rFonts w:ascii="Arial" w:hAnsi="Arial"/>
          <w:lang w:val="en-GB"/>
        </w:rPr>
      </w:pPr>
      <w:r w:rsidRPr="00255BEA">
        <w:rPr>
          <w:rFonts w:ascii="Arial" w:hAnsi="Arial"/>
          <w:lang w:val="en-GB"/>
        </w:rPr>
        <w:t>Majka, M., 2024. Understanding Efficiency Ratios.</w:t>
      </w:r>
    </w:p>
    <w:p w14:paraId="69981BBF"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lastRenderedPageBreak/>
        <w:t>Meyer, K., Görgens, S., Juraschek, M. and Herrmann, C., 2023. Increasing resilience of material supply by decentral urban factories and secondary raw materials. </w:t>
      </w:r>
      <w:r w:rsidRPr="00255BEA">
        <w:rPr>
          <w:rFonts w:ascii="Arial" w:hAnsi="Arial"/>
          <w:i/>
          <w:iCs/>
          <w:szCs w:val="24"/>
          <w:shd w:val="clear" w:color="auto" w:fill="FFFFFF"/>
          <w:lang w:val="en-GB"/>
        </w:rPr>
        <w:t>Frontiers in Manufacturing Technology</w:t>
      </w:r>
      <w:r w:rsidRPr="00255BEA">
        <w:rPr>
          <w:rFonts w:ascii="Arial" w:hAnsi="Arial"/>
          <w:szCs w:val="24"/>
          <w:shd w:val="clear" w:color="auto" w:fill="FFFFFF"/>
          <w:lang w:val="en-GB"/>
        </w:rPr>
        <w:t>, </w:t>
      </w:r>
      <w:r w:rsidRPr="00255BEA">
        <w:rPr>
          <w:rFonts w:ascii="Arial" w:hAnsi="Arial"/>
          <w:i/>
          <w:iCs/>
          <w:szCs w:val="24"/>
          <w:shd w:val="clear" w:color="auto" w:fill="FFFFFF"/>
          <w:lang w:val="en-GB"/>
        </w:rPr>
        <w:t>3</w:t>
      </w:r>
      <w:r w:rsidRPr="00255BEA">
        <w:rPr>
          <w:rFonts w:ascii="Arial" w:hAnsi="Arial"/>
          <w:szCs w:val="24"/>
          <w:shd w:val="clear" w:color="auto" w:fill="FFFFFF"/>
          <w:lang w:val="en-GB"/>
        </w:rPr>
        <w:t>, p.1106965.</w:t>
      </w:r>
    </w:p>
    <w:p w14:paraId="0B6D4F33"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Milosheski, F. and Karadimce, A., 2025. Improving operational efficiency with an automated invoicing system. </w:t>
      </w:r>
      <w:r w:rsidRPr="00255BEA">
        <w:rPr>
          <w:rFonts w:ascii="Arial" w:hAnsi="Arial"/>
          <w:i/>
          <w:iCs/>
          <w:szCs w:val="24"/>
          <w:shd w:val="clear" w:color="auto" w:fill="FFFFFF"/>
          <w:lang w:val="en-GB"/>
        </w:rPr>
        <w:t>Financial Engineering</w:t>
      </w:r>
      <w:r w:rsidRPr="00255BEA">
        <w:rPr>
          <w:rFonts w:ascii="Arial" w:hAnsi="Arial"/>
          <w:szCs w:val="24"/>
          <w:shd w:val="clear" w:color="auto" w:fill="FFFFFF"/>
          <w:lang w:val="en-GB"/>
        </w:rPr>
        <w:t>, </w:t>
      </w:r>
      <w:r w:rsidRPr="00255BEA">
        <w:rPr>
          <w:rFonts w:ascii="Arial" w:hAnsi="Arial"/>
          <w:i/>
          <w:iCs/>
          <w:szCs w:val="24"/>
          <w:shd w:val="clear" w:color="auto" w:fill="FFFFFF"/>
          <w:lang w:val="en-GB"/>
        </w:rPr>
        <w:t>3</w:t>
      </w:r>
      <w:r w:rsidRPr="00255BEA">
        <w:rPr>
          <w:rFonts w:ascii="Arial" w:hAnsi="Arial"/>
          <w:szCs w:val="24"/>
          <w:shd w:val="clear" w:color="auto" w:fill="FFFFFF"/>
          <w:lang w:val="en-GB"/>
        </w:rPr>
        <w:t>, pp.221-230.</w:t>
      </w:r>
    </w:p>
    <w:p w14:paraId="7B83FEB6"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Mishra, D., Maharana, M.K., Kar, M.K., Nayak, A., Islam, M.M. and Ustun, T.S., 2024. A metaheuristic algorithm for regulating virtual inertia of a standalone microgrid incorporating electric vehicles. </w:t>
      </w:r>
      <w:r w:rsidRPr="00255BEA">
        <w:rPr>
          <w:rFonts w:ascii="Arial" w:hAnsi="Arial"/>
          <w:i/>
          <w:iCs/>
          <w:szCs w:val="24"/>
          <w:shd w:val="clear" w:color="auto" w:fill="FFFFFF"/>
          <w:lang w:val="en-GB"/>
        </w:rPr>
        <w:t>The Journal of Engineering</w:t>
      </w:r>
      <w:r w:rsidRPr="00255BEA">
        <w:rPr>
          <w:rFonts w:ascii="Arial" w:hAnsi="Arial"/>
          <w:szCs w:val="24"/>
          <w:shd w:val="clear" w:color="auto" w:fill="FFFFFF"/>
          <w:lang w:val="en-GB"/>
        </w:rPr>
        <w:t>, </w:t>
      </w:r>
      <w:r w:rsidRPr="00255BEA">
        <w:rPr>
          <w:rFonts w:ascii="Arial" w:hAnsi="Arial"/>
          <w:i/>
          <w:iCs/>
          <w:szCs w:val="24"/>
          <w:shd w:val="clear" w:color="auto" w:fill="FFFFFF"/>
          <w:lang w:val="en-GB"/>
        </w:rPr>
        <w:t>2024</w:t>
      </w:r>
      <w:r w:rsidRPr="00255BEA">
        <w:rPr>
          <w:rFonts w:ascii="Arial" w:hAnsi="Arial"/>
          <w:szCs w:val="24"/>
          <w:shd w:val="clear" w:color="auto" w:fill="FFFFFF"/>
          <w:lang w:val="en-GB"/>
        </w:rPr>
        <w:t>(5), p.e12383.</w:t>
      </w:r>
    </w:p>
    <w:p w14:paraId="11CF8C3F"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Narain, R.S., 2022. Good credit management's Impact: How does it contribute to material effectiveness and possibility in business? </w:t>
      </w:r>
      <w:r w:rsidRPr="00255BEA">
        <w:rPr>
          <w:rFonts w:ascii="Arial" w:hAnsi="Arial"/>
          <w:i/>
          <w:iCs/>
          <w:szCs w:val="24"/>
          <w:shd w:val="clear" w:color="auto" w:fill="FFFFFF"/>
          <w:lang w:val="en-GB"/>
        </w:rPr>
        <w:t>Materials Today: Proceedings</w:t>
      </w:r>
      <w:r w:rsidRPr="00255BEA">
        <w:rPr>
          <w:rFonts w:ascii="Arial" w:hAnsi="Arial"/>
          <w:szCs w:val="24"/>
          <w:shd w:val="clear" w:color="auto" w:fill="FFFFFF"/>
          <w:lang w:val="en-GB"/>
        </w:rPr>
        <w:t>, </w:t>
      </w:r>
      <w:r w:rsidRPr="00255BEA">
        <w:rPr>
          <w:rFonts w:ascii="Arial" w:hAnsi="Arial"/>
          <w:i/>
          <w:iCs/>
          <w:szCs w:val="24"/>
          <w:shd w:val="clear" w:color="auto" w:fill="FFFFFF"/>
          <w:lang w:val="en-GB"/>
        </w:rPr>
        <w:t>63</w:t>
      </w:r>
      <w:r w:rsidRPr="00255BEA">
        <w:rPr>
          <w:rFonts w:ascii="Arial" w:hAnsi="Arial"/>
          <w:szCs w:val="24"/>
          <w:shd w:val="clear" w:color="auto" w:fill="FFFFFF"/>
          <w:lang w:val="en-GB"/>
        </w:rPr>
        <w:t>, pp.376-381.</w:t>
      </w:r>
    </w:p>
    <w:p w14:paraId="624417BD" w14:textId="77777777" w:rsidR="000948CF" w:rsidRPr="00255BEA" w:rsidRDefault="000948CF" w:rsidP="00C5012C">
      <w:pPr>
        <w:spacing w:before="240" w:after="240"/>
        <w:rPr>
          <w:rFonts w:ascii="Arial" w:hAnsi="Arial"/>
          <w:lang w:val="en-GB"/>
        </w:rPr>
      </w:pPr>
      <w:r w:rsidRPr="00255BEA">
        <w:rPr>
          <w:rFonts w:ascii="Arial" w:hAnsi="Arial"/>
          <w:lang w:val="en-GB"/>
        </w:rPr>
        <w:t>Nasution, Y.A. and Yusleny, Y., 2023, February. Financial Performance Measurement Using Profitability Ratios and Liquidity Ratios. In Proceeding Medan International Conference on Economic and Business (Vol. 1, pp. 1730-1741).</w:t>
      </w:r>
    </w:p>
    <w:p w14:paraId="694F991B"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Oh, K., Jeong, E. and Yoo, H., 2023. Effects of working capital management on small and medium-sized enterprises' profitability from the continuity of supply chain relationships. </w:t>
      </w:r>
      <w:r w:rsidRPr="00255BEA">
        <w:rPr>
          <w:rFonts w:ascii="Arial" w:hAnsi="Arial"/>
          <w:i/>
          <w:iCs/>
          <w:szCs w:val="24"/>
          <w:shd w:val="clear" w:color="auto" w:fill="FFFFFF"/>
          <w:lang w:val="en-GB"/>
        </w:rPr>
        <w:t>Global Business &amp; Finance Review (GBFR)</w:t>
      </w:r>
      <w:r w:rsidRPr="00255BEA">
        <w:rPr>
          <w:rFonts w:ascii="Arial" w:hAnsi="Arial"/>
          <w:szCs w:val="24"/>
          <w:shd w:val="clear" w:color="auto" w:fill="FFFFFF"/>
          <w:lang w:val="en-GB"/>
        </w:rPr>
        <w:t>, </w:t>
      </w:r>
      <w:r w:rsidRPr="00255BEA">
        <w:rPr>
          <w:rFonts w:ascii="Arial" w:hAnsi="Arial"/>
          <w:i/>
          <w:iCs/>
          <w:szCs w:val="24"/>
          <w:shd w:val="clear" w:color="auto" w:fill="FFFFFF"/>
          <w:lang w:val="en-GB"/>
        </w:rPr>
        <w:t>28</w:t>
      </w:r>
      <w:r w:rsidRPr="00255BEA">
        <w:rPr>
          <w:rFonts w:ascii="Arial" w:hAnsi="Arial"/>
          <w:szCs w:val="24"/>
          <w:shd w:val="clear" w:color="auto" w:fill="FFFFFF"/>
          <w:lang w:val="en-GB"/>
        </w:rPr>
        <w:t>(5), pp.51-66.</w:t>
      </w:r>
    </w:p>
    <w:p w14:paraId="2DB18CC8" w14:textId="77777777" w:rsidR="000948CF" w:rsidRPr="00255BEA" w:rsidRDefault="000948CF" w:rsidP="00C5012C">
      <w:pPr>
        <w:spacing w:before="240" w:after="240"/>
        <w:rPr>
          <w:rFonts w:ascii="Arial" w:hAnsi="Arial"/>
          <w:lang w:val="en-GB"/>
        </w:rPr>
      </w:pPr>
      <w:r w:rsidRPr="00255BEA">
        <w:rPr>
          <w:rFonts w:ascii="Arial" w:hAnsi="Arial"/>
          <w:lang w:val="en-GB"/>
        </w:rPr>
        <w:t>Olayinka, A.A., 2022. Financial statement analysis as a tool for investment decisions and assessment of companies’ performance. International Journal of Financial, Accounting, and Management, 4(1), pp.49-66.</w:t>
      </w:r>
    </w:p>
    <w:p w14:paraId="0F72A4AF" w14:textId="77777777" w:rsidR="000948CF" w:rsidRPr="00255BEA" w:rsidRDefault="000948CF" w:rsidP="00C5012C">
      <w:pPr>
        <w:spacing w:before="240" w:after="240"/>
        <w:rPr>
          <w:rFonts w:ascii="Arial" w:hAnsi="Arial"/>
          <w:lang w:val="en-GB"/>
        </w:rPr>
      </w:pPr>
      <w:r w:rsidRPr="00255BEA">
        <w:rPr>
          <w:rFonts w:ascii="Arial" w:hAnsi="Arial"/>
          <w:lang w:val="en-GB"/>
        </w:rPr>
        <w:t>Olayinka, A.A., 2022. Financial statement analysis as a tool for investment decisions and assessment of companies’ performance. International Journal of Financial, Accounting, and Management, 4(1), pp.49-66.</w:t>
      </w:r>
    </w:p>
    <w:p w14:paraId="3C2480C0"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Patel, P.K., 2025. The Impact of Exchange Rate Volatility on International Trade and Economic Recovery Pathways. </w:t>
      </w:r>
      <w:r w:rsidRPr="00255BEA">
        <w:rPr>
          <w:rFonts w:ascii="Arial" w:hAnsi="Arial"/>
          <w:i/>
          <w:iCs/>
          <w:szCs w:val="24"/>
          <w:shd w:val="clear" w:color="auto" w:fill="FFFFFF"/>
          <w:lang w:val="en-GB"/>
        </w:rPr>
        <w:t>Galore International Journal of Applied Sciences and Humanities</w:t>
      </w:r>
      <w:r w:rsidRPr="00255BEA">
        <w:rPr>
          <w:rFonts w:ascii="Arial" w:hAnsi="Arial"/>
          <w:szCs w:val="24"/>
          <w:shd w:val="clear" w:color="auto" w:fill="FFFFFF"/>
          <w:lang w:val="en-GB"/>
        </w:rPr>
        <w:t>, </w:t>
      </w:r>
      <w:r w:rsidRPr="00255BEA">
        <w:rPr>
          <w:rFonts w:ascii="Arial" w:hAnsi="Arial"/>
          <w:i/>
          <w:iCs/>
          <w:szCs w:val="24"/>
          <w:shd w:val="clear" w:color="auto" w:fill="FFFFFF"/>
          <w:lang w:val="en-GB"/>
        </w:rPr>
        <w:t>9</w:t>
      </w:r>
      <w:r w:rsidRPr="00255BEA">
        <w:rPr>
          <w:rFonts w:ascii="Arial" w:hAnsi="Arial"/>
          <w:szCs w:val="24"/>
          <w:shd w:val="clear" w:color="auto" w:fill="FFFFFF"/>
          <w:lang w:val="en-GB"/>
        </w:rPr>
        <w:t>(2), pp.118-125.</w:t>
      </w:r>
    </w:p>
    <w:p w14:paraId="5F6C21E9"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lastRenderedPageBreak/>
        <w:t>Pavlínek, P., 2023. Transition of the automotive industry towards electric vehicle production in the east European integrated periphery. </w:t>
      </w:r>
      <w:r w:rsidRPr="00255BEA">
        <w:rPr>
          <w:rFonts w:ascii="Arial" w:hAnsi="Arial"/>
          <w:i/>
          <w:iCs/>
          <w:szCs w:val="24"/>
          <w:shd w:val="clear" w:color="auto" w:fill="FFFFFF"/>
          <w:lang w:val="en-GB"/>
        </w:rPr>
        <w:t>Empirica</w:t>
      </w:r>
      <w:r w:rsidRPr="00255BEA">
        <w:rPr>
          <w:rFonts w:ascii="Arial" w:hAnsi="Arial"/>
          <w:szCs w:val="24"/>
          <w:shd w:val="clear" w:color="auto" w:fill="FFFFFF"/>
          <w:lang w:val="en-GB"/>
        </w:rPr>
        <w:t>, </w:t>
      </w:r>
      <w:r w:rsidRPr="00255BEA">
        <w:rPr>
          <w:rFonts w:ascii="Arial" w:hAnsi="Arial"/>
          <w:i/>
          <w:iCs/>
          <w:szCs w:val="24"/>
          <w:shd w:val="clear" w:color="auto" w:fill="FFFFFF"/>
          <w:lang w:val="en-GB"/>
        </w:rPr>
        <w:t>50</w:t>
      </w:r>
      <w:r w:rsidRPr="00255BEA">
        <w:rPr>
          <w:rFonts w:ascii="Arial" w:hAnsi="Arial"/>
          <w:szCs w:val="24"/>
          <w:shd w:val="clear" w:color="auto" w:fill="FFFFFF"/>
          <w:lang w:val="en-GB"/>
        </w:rPr>
        <w:t>(1), pp.35-73.</w:t>
      </w:r>
    </w:p>
    <w:p w14:paraId="525DD184"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QUAN, Z., 2022. A Study on Change in Automobile Distribution Structure: Focusing on Domestic Distribution. </w:t>
      </w:r>
      <w:r w:rsidRPr="00255BEA">
        <w:rPr>
          <w:rFonts w:ascii="Arial" w:hAnsi="Arial"/>
          <w:i/>
          <w:iCs/>
          <w:szCs w:val="24"/>
          <w:shd w:val="clear" w:color="auto" w:fill="FFFFFF"/>
          <w:lang w:val="en-GB"/>
        </w:rPr>
        <w:t>Fourth Industrial Review</w:t>
      </w:r>
      <w:r w:rsidRPr="00255BEA">
        <w:rPr>
          <w:rFonts w:ascii="Arial" w:hAnsi="Arial"/>
          <w:szCs w:val="24"/>
          <w:shd w:val="clear" w:color="auto" w:fill="FFFFFF"/>
          <w:lang w:val="en-GB"/>
        </w:rPr>
        <w:t>, </w:t>
      </w:r>
      <w:r w:rsidRPr="00255BEA">
        <w:rPr>
          <w:rFonts w:ascii="Arial" w:hAnsi="Arial"/>
          <w:i/>
          <w:iCs/>
          <w:szCs w:val="24"/>
          <w:shd w:val="clear" w:color="auto" w:fill="FFFFFF"/>
          <w:lang w:val="en-GB"/>
        </w:rPr>
        <w:t>2</w:t>
      </w:r>
      <w:r w:rsidRPr="00255BEA">
        <w:rPr>
          <w:rFonts w:ascii="Arial" w:hAnsi="Arial"/>
          <w:szCs w:val="24"/>
          <w:shd w:val="clear" w:color="auto" w:fill="FFFFFF"/>
          <w:lang w:val="en-GB"/>
        </w:rPr>
        <w:t>(1), pp.1-8.</w:t>
      </w:r>
    </w:p>
    <w:p w14:paraId="743BA80A"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Rahman, A., 2022. Relationship between working capital management and profitability of Indian automobile manufacturers. </w:t>
      </w:r>
      <w:r w:rsidRPr="00255BEA">
        <w:rPr>
          <w:rFonts w:ascii="Arial" w:hAnsi="Arial"/>
          <w:i/>
          <w:iCs/>
          <w:szCs w:val="24"/>
          <w:shd w:val="clear" w:color="auto" w:fill="FFFFFF"/>
          <w:lang w:val="en-GB"/>
        </w:rPr>
        <w:t>Available at SSRN 4173907</w:t>
      </w:r>
      <w:r w:rsidRPr="00255BEA">
        <w:rPr>
          <w:rFonts w:ascii="Arial" w:hAnsi="Arial"/>
          <w:szCs w:val="24"/>
          <w:shd w:val="clear" w:color="auto" w:fill="FFFFFF"/>
          <w:lang w:val="en-GB"/>
        </w:rPr>
        <w:t>.</w:t>
      </w:r>
    </w:p>
    <w:p w14:paraId="2FAA87D6" w14:textId="77777777" w:rsidR="000948CF" w:rsidRPr="00255BEA" w:rsidRDefault="000948CF" w:rsidP="00C5012C">
      <w:pPr>
        <w:spacing w:before="240" w:after="240"/>
        <w:rPr>
          <w:rFonts w:ascii="Arial" w:hAnsi="Arial"/>
          <w:lang w:val="en-GB"/>
        </w:rPr>
      </w:pPr>
      <w:r w:rsidRPr="00255BEA">
        <w:rPr>
          <w:rFonts w:ascii="Arial" w:hAnsi="Arial"/>
          <w:highlight w:val="white"/>
          <w:lang w:val="en-GB"/>
        </w:rPr>
        <w:t xml:space="preserve">Ruziokhunov, D. and Yuldasheva, U., 2025. The role of government tax regulations on attracting foreign investments. </w:t>
      </w:r>
      <w:r w:rsidRPr="00255BEA">
        <w:rPr>
          <w:rFonts w:ascii="Arial" w:hAnsi="Arial"/>
          <w:i/>
          <w:iCs/>
          <w:highlight w:val="white"/>
          <w:lang w:val="en-GB"/>
        </w:rPr>
        <w:t>Academic Journal of Science, Technology and Education</w:t>
      </w:r>
      <w:r w:rsidRPr="00255BEA">
        <w:rPr>
          <w:rFonts w:ascii="Arial" w:hAnsi="Arial"/>
          <w:highlight w:val="white"/>
          <w:lang w:val="en-GB"/>
        </w:rPr>
        <w:t xml:space="preserve">, </w:t>
      </w:r>
      <w:r w:rsidRPr="00255BEA">
        <w:rPr>
          <w:rFonts w:ascii="Arial" w:hAnsi="Arial"/>
          <w:i/>
          <w:iCs/>
          <w:highlight w:val="white"/>
          <w:lang w:val="en-GB"/>
        </w:rPr>
        <w:t>1</w:t>
      </w:r>
      <w:r w:rsidRPr="00255BEA">
        <w:rPr>
          <w:rFonts w:ascii="Arial" w:hAnsi="Arial"/>
          <w:highlight w:val="white"/>
          <w:lang w:val="en-GB"/>
        </w:rPr>
        <w:t>(8), pp.6-10.</w:t>
      </w:r>
      <w:r w:rsidRPr="00255BEA">
        <w:rPr>
          <w:rFonts w:ascii="Arial" w:hAnsi="Arial"/>
          <w:lang w:val="en-GB"/>
        </w:rPr>
        <w:t xml:space="preserve"> </w:t>
      </w:r>
    </w:p>
    <w:p w14:paraId="3C29EE7D"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Sankhwar, P., 2024. Evaluation of transition to 100% electric vehicles (EVs) by 2052 in the United States. </w:t>
      </w:r>
      <w:r w:rsidRPr="00255BEA">
        <w:rPr>
          <w:rFonts w:ascii="Arial" w:hAnsi="Arial"/>
          <w:i/>
          <w:iCs/>
          <w:szCs w:val="24"/>
          <w:shd w:val="clear" w:color="auto" w:fill="FFFFFF"/>
          <w:lang w:val="en-GB"/>
        </w:rPr>
        <w:t>Sustainable Energy Research</w:t>
      </w:r>
      <w:r w:rsidRPr="00255BEA">
        <w:rPr>
          <w:rFonts w:ascii="Arial" w:hAnsi="Arial"/>
          <w:szCs w:val="24"/>
          <w:shd w:val="clear" w:color="auto" w:fill="FFFFFF"/>
          <w:lang w:val="en-GB"/>
        </w:rPr>
        <w:t>, </w:t>
      </w:r>
      <w:r w:rsidRPr="00255BEA">
        <w:rPr>
          <w:rFonts w:ascii="Arial" w:hAnsi="Arial"/>
          <w:i/>
          <w:iCs/>
          <w:szCs w:val="24"/>
          <w:shd w:val="clear" w:color="auto" w:fill="FFFFFF"/>
          <w:lang w:val="en-GB"/>
        </w:rPr>
        <w:t>11</w:t>
      </w:r>
      <w:r w:rsidRPr="00255BEA">
        <w:rPr>
          <w:rFonts w:ascii="Arial" w:hAnsi="Arial"/>
          <w:szCs w:val="24"/>
          <w:shd w:val="clear" w:color="auto" w:fill="FFFFFF"/>
          <w:lang w:val="en-GB"/>
        </w:rPr>
        <w:t>(1), p.35.</w:t>
      </w:r>
    </w:p>
    <w:p w14:paraId="2FAF11C5" w14:textId="77777777" w:rsidR="000948CF" w:rsidRPr="00255BEA" w:rsidRDefault="000948CF" w:rsidP="00C5012C">
      <w:pPr>
        <w:spacing w:before="240" w:after="240"/>
        <w:rPr>
          <w:rFonts w:ascii="Arial" w:hAnsi="Arial"/>
          <w:szCs w:val="24"/>
          <w:shd w:val="clear" w:color="auto" w:fill="FFFFFF"/>
          <w:lang w:val="en-GB"/>
        </w:rPr>
      </w:pPr>
      <w:r w:rsidRPr="00255BEA">
        <w:rPr>
          <w:rFonts w:ascii="Arial" w:hAnsi="Arial"/>
          <w:szCs w:val="24"/>
          <w:shd w:val="clear" w:color="auto" w:fill="FFFFFF"/>
          <w:lang w:val="en-GB"/>
        </w:rPr>
        <w:t>Srivastava, S.K. and Bag, S., 2023. Recent developments on flexible manufacturing in the digital era: A review and future research directions. </w:t>
      </w:r>
      <w:r w:rsidRPr="00255BEA">
        <w:rPr>
          <w:rFonts w:ascii="Arial" w:hAnsi="Arial"/>
          <w:i/>
          <w:iCs/>
          <w:szCs w:val="24"/>
          <w:shd w:val="clear" w:color="auto" w:fill="FFFFFF"/>
          <w:lang w:val="en-GB"/>
        </w:rPr>
        <w:t>Global Journal of Flexible Systems Management</w:t>
      </w:r>
      <w:r w:rsidRPr="00255BEA">
        <w:rPr>
          <w:rFonts w:ascii="Arial" w:hAnsi="Arial"/>
          <w:szCs w:val="24"/>
          <w:shd w:val="clear" w:color="auto" w:fill="FFFFFF"/>
          <w:lang w:val="en-GB"/>
        </w:rPr>
        <w:t>, </w:t>
      </w:r>
      <w:r w:rsidRPr="00255BEA">
        <w:rPr>
          <w:rFonts w:ascii="Arial" w:hAnsi="Arial"/>
          <w:i/>
          <w:iCs/>
          <w:szCs w:val="24"/>
          <w:shd w:val="clear" w:color="auto" w:fill="FFFFFF"/>
          <w:lang w:val="en-GB"/>
        </w:rPr>
        <w:t>24</w:t>
      </w:r>
      <w:r w:rsidRPr="00255BEA">
        <w:rPr>
          <w:rFonts w:ascii="Arial" w:hAnsi="Arial"/>
          <w:szCs w:val="24"/>
          <w:shd w:val="clear" w:color="auto" w:fill="FFFFFF"/>
          <w:lang w:val="en-GB"/>
        </w:rPr>
        <w:t>(4), pp.483-516.</w:t>
      </w:r>
    </w:p>
    <w:p w14:paraId="6A497CAB" w14:textId="77777777" w:rsidR="000948CF" w:rsidRPr="00255BEA" w:rsidRDefault="000948CF" w:rsidP="00C5012C">
      <w:pPr>
        <w:spacing w:before="240" w:after="240"/>
        <w:rPr>
          <w:rFonts w:ascii="Arial" w:hAnsi="Arial"/>
          <w:lang w:val="en-GB"/>
        </w:rPr>
      </w:pPr>
      <w:r w:rsidRPr="00255BEA">
        <w:rPr>
          <w:rFonts w:ascii="Arial" w:hAnsi="Arial"/>
          <w:highlight w:val="white"/>
          <w:lang w:val="en-GB"/>
        </w:rPr>
        <w:t xml:space="preserve">Ujam, C.J., 2025. Adopting manufacturing flexibility to achieve competitive advantage in a global economy. </w:t>
      </w:r>
      <w:r w:rsidRPr="00255BEA">
        <w:rPr>
          <w:rFonts w:ascii="Arial" w:hAnsi="Arial"/>
          <w:i/>
          <w:iCs/>
          <w:highlight w:val="white"/>
          <w:lang w:val="en-GB"/>
        </w:rPr>
        <w:t>International Journal of Management Science and Information Technology. 1 (1), 227</w:t>
      </w:r>
      <w:r w:rsidRPr="00255BEA">
        <w:rPr>
          <w:rFonts w:ascii="Arial" w:hAnsi="Arial"/>
          <w:highlight w:val="white"/>
          <w:lang w:val="en-GB"/>
        </w:rPr>
        <w:t xml:space="preserve">, </w:t>
      </w:r>
      <w:r w:rsidRPr="00255BEA">
        <w:rPr>
          <w:rFonts w:ascii="Arial" w:hAnsi="Arial"/>
          <w:i/>
          <w:iCs/>
          <w:highlight w:val="white"/>
          <w:lang w:val="en-GB"/>
        </w:rPr>
        <w:t>238</w:t>
      </w:r>
      <w:r w:rsidRPr="00255BEA">
        <w:rPr>
          <w:rFonts w:ascii="Arial" w:hAnsi="Arial"/>
          <w:highlight w:val="white"/>
          <w:lang w:val="en-GB"/>
        </w:rPr>
        <w:t>.</w:t>
      </w:r>
      <w:r w:rsidRPr="00255BEA">
        <w:rPr>
          <w:rFonts w:ascii="Arial" w:hAnsi="Arial"/>
          <w:lang w:val="en-GB"/>
        </w:rPr>
        <w:t xml:space="preserve"> </w:t>
      </w:r>
    </w:p>
    <w:p w14:paraId="20409E9D" w14:textId="77777777" w:rsidR="000948CF" w:rsidRPr="00255BEA" w:rsidRDefault="000948CF" w:rsidP="00C5012C">
      <w:pPr>
        <w:spacing w:before="240" w:after="240"/>
        <w:rPr>
          <w:rFonts w:ascii="Arial" w:hAnsi="Arial"/>
          <w:lang w:val="en-GB"/>
        </w:rPr>
      </w:pPr>
      <w:r w:rsidRPr="00255BEA">
        <w:rPr>
          <w:rFonts w:ascii="Arial" w:hAnsi="Arial"/>
          <w:lang w:val="en-GB"/>
        </w:rPr>
        <w:t>Ulbert, J., Takács, A. and Csapi, V., 2022. Golden ratio-based capital structure as a tool for boosting firm's financial performance and market acceptance. Heliyon, 8(6).</w:t>
      </w:r>
    </w:p>
    <w:p w14:paraId="6A11B57D" w14:textId="77777777" w:rsidR="000948CF" w:rsidRPr="00255BEA" w:rsidRDefault="000948CF" w:rsidP="00C5012C">
      <w:pPr>
        <w:spacing w:before="240" w:after="240"/>
        <w:rPr>
          <w:rFonts w:ascii="Arial" w:hAnsi="Arial"/>
          <w:lang w:val="en-GB"/>
        </w:rPr>
      </w:pPr>
      <w:r w:rsidRPr="00255BEA">
        <w:rPr>
          <w:rFonts w:ascii="Arial" w:hAnsi="Arial"/>
          <w:lang w:val="en-GB"/>
        </w:rPr>
        <w:t>Zatrochova, M. and Katrencik, I., 2023. Investment evaluation methods for business performance. In Developments in Information and Knowledge Management Systems for Business Applications: Volume 6 (pp. 211-244). Cham: Springer Nature Switzerland.</w:t>
      </w:r>
    </w:p>
    <w:sectPr w:rsidR="000948CF" w:rsidRPr="00255BEA" w:rsidSect="00481F3D">
      <w:footerReference w:type="default" r:id="rId3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1ED95D" w14:textId="77777777" w:rsidR="0072590A" w:rsidRDefault="0072590A">
      <w:pPr>
        <w:spacing w:line="240" w:lineRule="auto"/>
      </w:pPr>
      <w:r>
        <w:separator/>
      </w:r>
    </w:p>
  </w:endnote>
  <w:endnote w:type="continuationSeparator" w:id="0">
    <w:p w14:paraId="6EF1FCF9" w14:textId="77777777" w:rsidR="0072590A" w:rsidRDefault="007259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9080B064-4CF3-46B5-98B0-C5DF53A0C5C8}"/>
  </w:font>
  <w:font w:name="Cambria">
    <w:panose1 w:val="02040503050406030204"/>
    <w:charset w:val="00"/>
    <w:family w:val="roman"/>
    <w:pitch w:val="variable"/>
    <w:sig w:usb0="E00006FF" w:usb1="420024FF" w:usb2="02000000" w:usb3="00000000" w:csb0="0000019F" w:csb1="00000000"/>
    <w:embedRegular r:id="rId2" w:fontKey="{914D40EF-6394-43E7-86C0-BD4D015A805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695D17" w14:textId="77777777" w:rsidR="000D48A4" w:rsidRPr="00442F31" w:rsidRDefault="006F65F1">
    <w:pPr>
      <w:jc w:val="right"/>
      <w:rPr>
        <w:rFonts w:ascii="Arial" w:hAnsi="Arial"/>
        <w:sz w:val="20"/>
        <w:szCs w:val="18"/>
      </w:rPr>
    </w:pPr>
    <w:r w:rsidRPr="00442F31">
      <w:rPr>
        <w:rFonts w:ascii="Arial" w:hAnsi="Arial"/>
        <w:sz w:val="20"/>
        <w:szCs w:val="18"/>
      </w:rPr>
      <w:fldChar w:fldCharType="begin"/>
    </w:r>
    <w:r w:rsidRPr="00442F31">
      <w:rPr>
        <w:rFonts w:ascii="Arial" w:hAnsi="Arial"/>
        <w:sz w:val="20"/>
        <w:szCs w:val="18"/>
      </w:rPr>
      <w:instrText>PAGE</w:instrText>
    </w:r>
    <w:r w:rsidRPr="00442F31">
      <w:rPr>
        <w:rFonts w:ascii="Arial" w:hAnsi="Arial"/>
        <w:sz w:val="20"/>
        <w:szCs w:val="18"/>
      </w:rPr>
      <w:fldChar w:fldCharType="separate"/>
    </w:r>
    <w:r w:rsidR="00481F3D" w:rsidRPr="00442F31">
      <w:rPr>
        <w:rFonts w:ascii="Arial" w:hAnsi="Arial"/>
        <w:noProof/>
        <w:sz w:val="20"/>
        <w:szCs w:val="18"/>
      </w:rPr>
      <w:t>2</w:t>
    </w:r>
    <w:r w:rsidRPr="00442F31">
      <w:rPr>
        <w:rFonts w:ascii="Arial" w:hAnsi="Arial"/>
        <w:sz w:val="20"/>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5519268" w14:textId="77777777" w:rsidR="0072590A" w:rsidRDefault="0072590A">
      <w:pPr>
        <w:spacing w:line="240" w:lineRule="auto"/>
      </w:pPr>
      <w:r>
        <w:separator/>
      </w:r>
    </w:p>
  </w:footnote>
  <w:footnote w:type="continuationSeparator" w:id="0">
    <w:p w14:paraId="20360108" w14:textId="77777777" w:rsidR="0072590A" w:rsidRDefault="0072590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48A4"/>
    <w:rsid w:val="00026068"/>
    <w:rsid w:val="0005173B"/>
    <w:rsid w:val="000754AD"/>
    <w:rsid w:val="00087FDC"/>
    <w:rsid w:val="000948CF"/>
    <w:rsid w:val="000D48A4"/>
    <w:rsid w:val="001777FD"/>
    <w:rsid w:val="00255BEA"/>
    <w:rsid w:val="002B20CD"/>
    <w:rsid w:val="003172D4"/>
    <w:rsid w:val="0035283E"/>
    <w:rsid w:val="0037456B"/>
    <w:rsid w:val="003E1DEA"/>
    <w:rsid w:val="00442F31"/>
    <w:rsid w:val="0046764A"/>
    <w:rsid w:val="00481F3D"/>
    <w:rsid w:val="00543320"/>
    <w:rsid w:val="00574082"/>
    <w:rsid w:val="005B413D"/>
    <w:rsid w:val="005C0761"/>
    <w:rsid w:val="005D0900"/>
    <w:rsid w:val="005E7BAE"/>
    <w:rsid w:val="00642670"/>
    <w:rsid w:val="00666585"/>
    <w:rsid w:val="006F65F1"/>
    <w:rsid w:val="0072590A"/>
    <w:rsid w:val="00735753"/>
    <w:rsid w:val="007C45A5"/>
    <w:rsid w:val="008334FD"/>
    <w:rsid w:val="008928BB"/>
    <w:rsid w:val="009A6075"/>
    <w:rsid w:val="00B4147B"/>
    <w:rsid w:val="00BF34FF"/>
    <w:rsid w:val="00C5012C"/>
    <w:rsid w:val="00D0085C"/>
    <w:rsid w:val="00E753DC"/>
    <w:rsid w:val="00EB5B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96CA9"/>
  <w15:docId w15:val="{0F16104B-FDFE-44E1-B8C4-4B063EB522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948CF"/>
    <w:pPr>
      <w:spacing w:line="360" w:lineRule="auto"/>
      <w:jc w:val="both"/>
    </w:pPr>
    <w:rPr>
      <w:rFonts w:ascii="Times New Roman" w:hAnsi="Times New Roman"/>
      <w:sz w:val="24"/>
    </w:rPr>
  </w:style>
  <w:style w:type="paragraph" w:styleId="Heading1">
    <w:name w:val="heading 1"/>
    <w:basedOn w:val="Normal"/>
    <w:next w:val="Normal"/>
    <w:pPr>
      <w:keepNext/>
      <w:keepLines/>
      <w:outlineLvl w:val="0"/>
    </w:pPr>
    <w:rPr>
      <w:rFonts w:eastAsia="Times New Roman" w:cs="Times New Roman"/>
      <w:b/>
      <w:bCs/>
      <w:szCs w:val="24"/>
      <w:highlight w:val="white"/>
    </w:rPr>
  </w:style>
  <w:style w:type="paragraph" w:styleId="Heading2">
    <w:name w:val="heading 2"/>
    <w:basedOn w:val="Normal"/>
    <w:next w:val="Normal"/>
    <w:pPr>
      <w:keepNext/>
      <w:keepLines/>
      <w:outlineLvl w:val="1"/>
    </w:pPr>
    <w:rPr>
      <w:rFonts w:eastAsia="Times New Roman" w:cs="Times New Roman"/>
      <w:b/>
      <w:bCs/>
      <w:szCs w:val="24"/>
      <w:highlight w:val="white"/>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TOCHeading">
    <w:name w:val="TOC Heading"/>
    <w:basedOn w:val="Heading1"/>
    <w:next w:val="Normal"/>
    <w:uiPriority w:val="39"/>
    <w:unhideWhenUsed/>
    <w:qFormat/>
    <w:rsid w:val="00481F3D"/>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highlight w:val="none"/>
      <w:lang w:val="en-US"/>
    </w:rPr>
  </w:style>
  <w:style w:type="paragraph" w:styleId="TOC1">
    <w:name w:val="toc 1"/>
    <w:basedOn w:val="Normal"/>
    <w:next w:val="Normal"/>
    <w:autoRedefine/>
    <w:uiPriority w:val="39"/>
    <w:unhideWhenUsed/>
    <w:rsid w:val="00481F3D"/>
    <w:pPr>
      <w:spacing w:after="100"/>
    </w:pPr>
  </w:style>
  <w:style w:type="paragraph" w:styleId="TOC2">
    <w:name w:val="toc 2"/>
    <w:basedOn w:val="Normal"/>
    <w:next w:val="Normal"/>
    <w:autoRedefine/>
    <w:uiPriority w:val="39"/>
    <w:unhideWhenUsed/>
    <w:rsid w:val="00481F3D"/>
    <w:pPr>
      <w:spacing w:after="100"/>
      <w:ind w:left="220"/>
    </w:pPr>
  </w:style>
  <w:style w:type="character" w:styleId="Hyperlink">
    <w:name w:val="Hyperlink"/>
    <w:basedOn w:val="DefaultParagraphFont"/>
    <w:uiPriority w:val="99"/>
    <w:unhideWhenUsed/>
    <w:rsid w:val="00481F3D"/>
    <w:rPr>
      <w:color w:val="0000FF" w:themeColor="hyperlink"/>
      <w:u w:val="single"/>
    </w:rPr>
  </w:style>
  <w:style w:type="paragraph" w:styleId="Header">
    <w:name w:val="header"/>
    <w:basedOn w:val="Normal"/>
    <w:link w:val="HeaderChar"/>
    <w:uiPriority w:val="99"/>
    <w:unhideWhenUsed/>
    <w:rsid w:val="00442F31"/>
    <w:pPr>
      <w:tabs>
        <w:tab w:val="center" w:pos="4680"/>
        <w:tab w:val="right" w:pos="9360"/>
      </w:tabs>
      <w:spacing w:line="240" w:lineRule="auto"/>
    </w:pPr>
  </w:style>
  <w:style w:type="character" w:customStyle="1" w:styleId="HeaderChar">
    <w:name w:val="Header Char"/>
    <w:basedOn w:val="DefaultParagraphFont"/>
    <w:link w:val="Header"/>
    <w:uiPriority w:val="99"/>
    <w:rsid w:val="00442F31"/>
    <w:rPr>
      <w:rFonts w:ascii="Times New Roman" w:hAnsi="Times New Roman"/>
      <w:sz w:val="24"/>
    </w:rPr>
  </w:style>
  <w:style w:type="paragraph" w:styleId="Footer">
    <w:name w:val="footer"/>
    <w:basedOn w:val="Normal"/>
    <w:link w:val="FooterChar"/>
    <w:uiPriority w:val="99"/>
    <w:unhideWhenUsed/>
    <w:rsid w:val="00442F31"/>
    <w:pPr>
      <w:tabs>
        <w:tab w:val="center" w:pos="4680"/>
        <w:tab w:val="right" w:pos="9360"/>
      </w:tabs>
      <w:spacing w:line="240" w:lineRule="auto"/>
    </w:pPr>
  </w:style>
  <w:style w:type="character" w:customStyle="1" w:styleId="FooterChar">
    <w:name w:val="Footer Char"/>
    <w:basedOn w:val="DefaultParagraphFont"/>
    <w:link w:val="Footer"/>
    <w:uiPriority w:val="99"/>
    <w:rsid w:val="00442F31"/>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hyundai.com" TargetMode="External"/><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hyperlink" Target="http://year.it"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hyundai.com" TargetMode="Externa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hyundai.com" TargetMode="External"/><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4.png"/><Relationship Id="rId10" Type="http://schemas.openxmlformats.org/officeDocument/2006/relationships/image" Target="media/image3.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webSettings" Target="webSettings.xml"/><Relationship Id="rId9" Type="http://schemas.openxmlformats.org/officeDocument/2006/relationships/hyperlink" Target="http://hyundai.com" TargetMode="Externa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hyperlink" Target="http://market.it" TargetMode="External"/><Relationship Id="rId8" Type="http://schemas.openxmlformats.org/officeDocument/2006/relationships/image" Target="media/image2.png"/><Relationship Id="rId3" Type="http://schemas.openxmlformats.org/officeDocument/2006/relationships/settings" Target="settings.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135DDF-3C08-4B14-855D-57B8CCD806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39</Pages>
  <Words>6657</Words>
  <Characters>37950</Characters>
  <Application>Microsoft Office Word</Application>
  <DocSecurity>0</DocSecurity>
  <Lines>316</Lines>
  <Paragraphs>89</Paragraphs>
  <ScaleCrop>false</ScaleCrop>
  <Company/>
  <LinksUpToDate>false</LinksUpToDate>
  <CharactersWithSpaces>44518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Scholarly</cp:lastModifiedBy>
  <cp:revision>43</cp:revision>
  <dcterms:created xsi:type="dcterms:W3CDTF">2026-04-24T13:47:00Z</dcterms:created>
  <dcterms:modified xsi:type="dcterms:W3CDTF">2026-04-25T09:24:00Z</dcterms:modified>
</cp:coreProperties>
</file>