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9A848" w14:textId="0FA0A5A1" w:rsidR="00413283" w:rsidRPr="009C12F8" w:rsidRDefault="00B4658F">
      <w:pPr>
        <w:jc w:val="center"/>
      </w:pPr>
      <w:r w:rsidRPr="009C12F8">
        <w:rPr>
          <w:noProof/>
        </w:rPr>
        <mc:AlternateContent>
          <mc:Choice Requires="wps">
            <w:drawing>
              <wp:anchor distT="0" distB="0" distL="114300" distR="114300" simplePos="0" relativeHeight="251661312" behindDoc="0" locked="0" layoutInCell="1" allowOverlap="1" wp14:anchorId="45AD6AC9" wp14:editId="20FEC245">
                <wp:simplePos x="0" y="0"/>
                <wp:positionH relativeFrom="column">
                  <wp:posOffset>3179618</wp:posOffset>
                </wp:positionH>
                <wp:positionV relativeFrom="paragraph">
                  <wp:posOffset>6631132</wp:posOffset>
                </wp:positionV>
                <wp:extent cx="3977005" cy="2188210"/>
                <wp:effectExtent l="0" t="0" r="0" b="2540"/>
                <wp:wrapNone/>
                <wp:docPr id="12" name="Text Box 12"/>
                <wp:cNvGraphicFramePr/>
                <a:graphic xmlns:a="http://schemas.openxmlformats.org/drawingml/2006/main">
                  <a:graphicData uri="http://schemas.microsoft.com/office/word/2010/wordprocessingShape">
                    <wps:wsp>
                      <wps:cNvSpPr txBox="1"/>
                      <wps:spPr>
                        <a:xfrm>
                          <a:off x="0" y="0"/>
                          <a:ext cx="3977005" cy="2188210"/>
                        </a:xfrm>
                        <a:prstGeom prst="rect">
                          <a:avLst/>
                        </a:prstGeom>
                        <a:noFill/>
                        <a:ln w="6350">
                          <a:noFill/>
                        </a:ln>
                      </wps:spPr>
                      <wps:txbx>
                        <w:txbxContent>
                          <w:p w14:paraId="541A81D1" w14:textId="77777777" w:rsidR="00B4658F" w:rsidRDefault="00B4658F" w:rsidP="00B4658F">
                            <w:pPr>
                              <w:jc w:val="left"/>
                              <w:rPr>
                                <w:b/>
                                <w:i/>
                                <w:iCs/>
                                <w:sz w:val="28"/>
                                <w:szCs w:val="28"/>
                              </w:rPr>
                            </w:pPr>
                            <w:r>
                              <w:rPr>
                                <w:b/>
                                <w:i/>
                                <w:iCs/>
                                <w:sz w:val="28"/>
                                <w:szCs w:val="28"/>
                              </w:rPr>
                              <w:t xml:space="preserve">Name: </w:t>
                            </w:r>
                            <w:proofErr w:type="spellStart"/>
                            <w:r>
                              <w:rPr>
                                <w:b/>
                                <w:i/>
                                <w:iCs/>
                                <w:sz w:val="28"/>
                                <w:szCs w:val="28"/>
                              </w:rPr>
                              <w:t>Pendyala</w:t>
                            </w:r>
                            <w:proofErr w:type="spellEnd"/>
                            <w:r>
                              <w:rPr>
                                <w:b/>
                                <w:i/>
                                <w:iCs/>
                                <w:sz w:val="28"/>
                                <w:szCs w:val="28"/>
                              </w:rPr>
                              <w:t xml:space="preserve"> </w:t>
                            </w:r>
                            <w:proofErr w:type="spellStart"/>
                            <w:r>
                              <w:rPr>
                                <w:b/>
                                <w:i/>
                                <w:iCs/>
                                <w:sz w:val="28"/>
                                <w:szCs w:val="28"/>
                              </w:rPr>
                              <w:t>Bikshapathy</w:t>
                            </w:r>
                            <w:proofErr w:type="spellEnd"/>
                          </w:p>
                          <w:p w14:paraId="17F30240" w14:textId="77777777" w:rsidR="00B4658F" w:rsidRDefault="00B4658F" w:rsidP="00B4658F">
                            <w:pPr>
                              <w:jc w:val="left"/>
                              <w:rPr>
                                <w:b/>
                                <w:i/>
                                <w:iCs/>
                                <w:sz w:val="28"/>
                                <w:szCs w:val="28"/>
                              </w:rPr>
                            </w:pPr>
                            <w:r>
                              <w:rPr>
                                <w:b/>
                                <w:i/>
                                <w:iCs/>
                                <w:sz w:val="28"/>
                                <w:szCs w:val="28"/>
                              </w:rPr>
                              <w:t>ID:</w:t>
                            </w:r>
                            <w:r w:rsidRPr="00D855A3">
                              <w:rPr>
                                <w:b/>
                                <w:i/>
                                <w:iCs/>
                                <w:sz w:val="28"/>
                                <w:szCs w:val="28"/>
                              </w:rPr>
                              <w:t xml:space="preserve"> </w:t>
                            </w:r>
                            <w:r>
                              <w:rPr>
                                <w:b/>
                                <w:i/>
                                <w:iCs/>
                                <w:sz w:val="28"/>
                                <w:szCs w:val="28"/>
                              </w:rPr>
                              <w:t>2128324</w:t>
                            </w:r>
                          </w:p>
                          <w:p w14:paraId="60AA0420" w14:textId="77777777" w:rsidR="00B4658F" w:rsidRPr="001606A6" w:rsidRDefault="00B4658F" w:rsidP="00B4658F">
                            <w:pPr>
                              <w:rPr>
                                <w:b/>
                                <w:bCs/>
                                <w:i/>
                                <w:iCs/>
                                <w:sz w:val="28"/>
                                <w:szCs w:val="28"/>
                              </w:rPr>
                            </w:pPr>
                            <w:r w:rsidRPr="001606A6">
                              <w:rPr>
                                <w:b/>
                                <w:bCs/>
                                <w:i/>
                                <w:iCs/>
                                <w:sz w:val="28"/>
                                <w:szCs w:val="28"/>
                              </w:rPr>
                              <w:t>Module: LCMB7001</w:t>
                            </w:r>
                          </w:p>
                          <w:p w14:paraId="756D2646" w14:textId="77777777" w:rsidR="00B4658F" w:rsidRPr="001606A6" w:rsidRDefault="00B4658F" w:rsidP="00B4658F">
                            <w:pPr>
                              <w:rPr>
                                <w:b/>
                                <w:bCs/>
                                <w:i/>
                                <w:iCs/>
                                <w:sz w:val="28"/>
                                <w:szCs w:val="28"/>
                              </w:rPr>
                            </w:pPr>
                            <w:r w:rsidRPr="001606A6">
                              <w:rPr>
                                <w:b/>
                                <w:bCs/>
                                <w:i/>
                                <w:iCs/>
                                <w:sz w:val="28"/>
                                <w:szCs w:val="28"/>
                              </w:rPr>
                              <w:t xml:space="preserve">Lecturer: </w:t>
                            </w:r>
                            <w:proofErr w:type="spellStart"/>
                            <w:r w:rsidRPr="001606A6">
                              <w:rPr>
                                <w:b/>
                                <w:bCs/>
                                <w:i/>
                                <w:iCs/>
                                <w:sz w:val="28"/>
                                <w:szCs w:val="28"/>
                              </w:rPr>
                              <w:t>Tushara</w:t>
                            </w:r>
                            <w:proofErr w:type="spellEnd"/>
                            <w:r w:rsidRPr="001606A6">
                              <w:rPr>
                                <w:b/>
                                <w:bCs/>
                                <w:i/>
                                <w:iCs/>
                                <w:sz w:val="28"/>
                                <w:szCs w:val="28"/>
                              </w:rPr>
                              <w:t xml:space="preserve"> </w:t>
                            </w:r>
                            <w:proofErr w:type="spellStart"/>
                            <w:r w:rsidRPr="001606A6">
                              <w:rPr>
                                <w:b/>
                                <w:bCs/>
                                <w:i/>
                                <w:iCs/>
                                <w:sz w:val="28"/>
                                <w:szCs w:val="28"/>
                              </w:rPr>
                              <w:t>Balendran</w:t>
                            </w:r>
                            <w:proofErr w:type="spellEnd"/>
                          </w:p>
                          <w:p w14:paraId="776245C9" w14:textId="77777777" w:rsidR="00B4658F" w:rsidRPr="001606A6" w:rsidRDefault="00B4658F" w:rsidP="00B4658F">
                            <w:pPr>
                              <w:rPr>
                                <w:b/>
                                <w:bCs/>
                                <w:i/>
                                <w:iCs/>
                                <w:sz w:val="28"/>
                                <w:szCs w:val="28"/>
                              </w:rPr>
                            </w:pPr>
                            <w:r w:rsidRPr="001606A6">
                              <w:rPr>
                                <w:b/>
                                <w:bCs/>
                                <w:i/>
                                <w:iCs/>
                                <w:sz w:val="28"/>
                                <w:szCs w:val="28"/>
                              </w:rPr>
                              <w:t>Course: Masters in General Management</w:t>
                            </w:r>
                          </w:p>
                          <w:p w14:paraId="101C21B0" w14:textId="49E96728" w:rsidR="00B4658F" w:rsidRPr="001606A6" w:rsidRDefault="00B4658F" w:rsidP="00B4658F">
                            <w:pPr>
                              <w:rPr>
                                <w:b/>
                                <w:bCs/>
                                <w:i/>
                                <w:iCs/>
                                <w:sz w:val="28"/>
                                <w:szCs w:val="28"/>
                              </w:rPr>
                            </w:pPr>
                            <w:r w:rsidRPr="001606A6">
                              <w:rPr>
                                <w:b/>
                                <w:bCs/>
                                <w:i/>
                                <w:iCs/>
                                <w:sz w:val="28"/>
                                <w:szCs w:val="28"/>
                              </w:rPr>
                              <w:t xml:space="preserve">Submission date: </w:t>
                            </w:r>
                            <w:r>
                              <w:rPr>
                                <w:b/>
                                <w:bCs/>
                                <w:i/>
                                <w:iCs/>
                                <w:sz w:val="28"/>
                                <w:szCs w:val="28"/>
                              </w:rPr>
                              <w:t>12</w:t>
                            </w:r>
                            <w:r w:rsidRPr="001606A6">
                              <w:rPr>
                                <w:b/>
                                <w:bCs/>
                                <w:i/>
                                <w:iCs/>
                                <w:sz w:val="28"/>
                                <w:szCs w:val="28"/>
                              </w:rPr>
                              <w:t xml:space="preserve">/09/2022 – </w:t>
                            </w:r>
                            <w:r>
                              <w:rPr>
                                <w:b/>
                                <w:bCs/>
                                <w:i/>
                                <w:iCs/>
                                <w:sz w:val="28"/>
                                <w:szCs w:val="28"/>
                              </w:rPr>
                              <w:t>2</w:t>
                            </w:r>
                            <w:r w:rsidRPr="001606A6">
                              <w:rPr>
                                <w:b/>
                                <w:bCs/>
                                <w:i/>
                                <w:iCs/>
                                <w:sz w:val="28"/>
                                <w:szCs w:val="28"/>
                              </w:rPr>
                              <w:t>5%</w:t>
                            </w:r>
                          </w:p>
                          <w:p w14:paraId="757B6A58" w14:textId="1A6948CC" w:rsidR="009C12F8" w:rsidRPr="009C12F8" w:rsidRDefault="009C12F8" w:rsidP="00B4658F">
                            <w:pPr>
                              <w:rPr>
                                <w:b/>
                                <w:bCs/>
                                <w:i/>
                                <w:iCs/>
                                <w:sz w:val="40"/>
                                <w:szCs w:val="40"/>
                                <w:lang w:val="en-I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AD6AC9" id="_x0000_t202" coordsize="21600,21600" o:spt="202" path="m,l,21600r21600,l21600,xe">
                <v:stroke joinstyle="miter"/>
                <v:path gradientshapeok="t" o:connecttype="rect"/>
              </v:shapetype>
              <v:shape id="Text Box 12" o:spid="_x0000_s1026" type="#_x0000_t202" style="position:absolute;left:0;text-align:left;margin-left:250.35pt;margin-top:522.15pt;width:313.15pt;height:17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" filled="f" stroked="f" strokeweight=".5pt">
                <v:textbox>
                  <w:txbxContent>
                    <w:p w14:paraId="541A81D1" w14:textId="77777777" w:rsidR="00B4658F" w:rsidRDefault="00B4658F" w:rsidP="00B4658F">
                      <w:pPr>
                        <w:jc w:val="left"/>
                        <w:rPr>
                          <w:b/>
                          <w:i/>
                          <w:iCs/>
                          <w:sz w:val="28"/>
                          <w:szCs w:val="28"/>
                        </w:rPr>
                      </w:pPr>
                      <w:r>
                        <w:rPr>
                          <w:b/>
                          <w:i/>
                          <w:iCs/>
                          <w:sz w:val="28"/>
                          <w:szCs w:val="28"/>
                        </w:rPr>
                        <w:t xml:space="preserve">Name: </w:t>
                      </w:r>
                      <w:proofErr w:type="spellStart"/>
                      <w:r>
                        <w:rPr>
                          <w:b/>
                          <w:i/>
                          <w:iCs/>
                          <w:sz w:val="28"/>
                          <w:szCs w:val="28"/>
                        </w:rPr>
                        <w:t>Pendyala</w:t>
                      </w:r>
                      <w:proofErr w:type="spellEnd"/>
                      <w:r>
                        <w:rPr>
                          <w:b/>
                          <w:i/>
                          <w:iCs/>
                          <w:sz w:val="28"/>
                          <w:szCs w:val="28"/>
                        </w:rPr>
                        <w:t xml:space="preserve"> </w:t>
                      </w:r>
                      <w:proofErr w:type="spellStart"/>
                      <w:r>
                        <w:rPr>
                          <w:b/>
                          <w:i/>
                          <w:iCs/>
                          <w:sz w:val="28"/>
                          <w:szCs w:val="28"/>
                        </w:rPr>
                        <w:t>Bikshapathy</w:t>
                      </w:r>
                      <w:proofErr w:type="spellEnd"/>
                    </w:p>
                    <w:p w14:paraId="17F30240" w14:textId="77777777" w:rsidR="00B4658F" w:rsidRDefault="00B4658F" w:rsidP="00B4658F">
                      <w:pPr>
                        <w:jc w:val="left"/>
                        <w:rPr>
                          <w:b/>
                          <w:i/>
                          <w:iCs/>
                          <w:sz w:val="28"/>
                          <w:szCs w:val="28"/>
                        </w:rPr>
                      </w:pPr>
                      <w:r>
                        <w:rPr>
                          <w:b/>
                          <w:i/>
                          <w:iCs/>
                          <w:sz w:val="28"/>
                          <w:szCs w:val="28"/>
                        </w:rPr>
                        <w:t>ID:</w:t>
                      </w:r>
                      <w:r w:rsidRPr="00D855A3">
                        <w:rPr>
                          <w:b/>
                          <w:i/>
                          <w:iCs/>
                          <w:sz w:val="28"/>
                          <w:szCs w:val="28"/>
                        </w:rPr>
                        <w:t xml:space="preserve"> </w:t>
                      </w:r>
                      <w:r>
                        <w:rPr>
                          <w:b/>
                          <w:i/>
                          <w:iCs/>
                          <w:sz w:val="28"/>
                          <w:szCs w:val="28"/>
                        </w:rPr>
                        <w:t>2128324</w:t>
                      </w:r>
                    </w:p>
                    <w:p w14:paraId="60AA0420" w14:textId="77777777" w:rsidR="00B4658F" w:rsidRPr="001606A6" w:rsidRDefault="00B4658F" w:rsidP="00B4658F">
                      <w:pPr>
                        <w:rPr>
                          <w:b/>
                          <w:bCs/>
                          <w:i/>
                          <w:iCs/>
                          <w:sz w:val="28"/>
                          <w:szCs w:val="28"/>
                        </w:rPr>
                      </w:pPr>
                      <w:r w:rsidRPr="001606A6">
                        <w:rPr>
                          <w:b/>
                          <w:bCs/>
                          <w:i/>
                          <w:iCs/>
                          <w:sz w:val="28"/>
                          <w:szCs w:val="28"/>
                        </w:rPr>
                        <w:t>Module: LCMB7001</w:t>
                      </w:r>
                    </w:p>
                    <w:p w14:paraId="756D2646" w14:textId="77777777" w:rsidR="00B4658F" w:rsidRPr="001606A6" w:rsidRDefault="00B4658F" w:rsidP="00B4658F">
                      <w:pPr>
                        <w:rPr>
                          <w:b/>
                          <w:bCs/>
                          <w:i/>
                          <w:iCs/>
                          <w:sz w:val="28"/>
                          <w:szCs w:val="28"/>
                        </w:rPr>
                      </w:pPr>
                      <w:r w:rsidRPr="001606A6">
                        <w:rPr>
                          <w:b/>
                          <w:bCs/>
                          <w:i/>
                          <w:iCs/>
                          <w:sz w:val="28"/>
                          <w:szCs w:val="28"/>
                        </w:rPr>
                        <w:t xml:space="preserve">Lecturer: </w:t>
                      </w:r>
                      <w:proofErr w:type="spellStart"/>
                      <w:r w:rsidRPr="001606A6">
                        <w:rPr>
                          <w:b/>
                          <w:bCs/>
                          <w:i/>
                          <w:iCs/>
                          <w:sz w:val="28"/>
                          <w:szCs w:val="28"/>
                        </w:rPr>
                        <w:t>Tushara</w:t>
                      </w:r>
                      <w:proofErr w:type="spellEnd"/>
                      <w:r w:rsidRPr="001606A6">
                        <w:rPr>
                          <w:b/>
                          <w:bCs/>
                          <w:i/>
                          <w:iCs/>
                          <w:sz w:val="28"/>
                          <w:szCs w:val="28"/>
                        </w:rPr>
                        <w:t xml:space="preserve"> </w:t>
                      </w:r>
                      <w:proofErr w:type="spellStart"/>
                      <w:r w:rsidRPr="001606A6">
                        <w:rPr>
                          <w:b/>
                          <w:bCs/>
                          <w:i/>
                          <w:iCs/>
                          <w:sz w:val="28"/>
                          <w:szCs w:val="28"/>
                        </w:rPr>
                        <w:t>Balendran</w:t>
                      </w:r>
                      <w:proofErr w:type="spellEnd"/>
                    </w:p>
                    <w:p w14:paraId="776245C9" w14:textId="77777777" w:rsidR="00B4658F" w:rsidRPr="001606A6" w:rsidRDefault="00B4658F" w:rsidP="00B4658F">
                      <w:pPr>
                        <w:rPr>
                          <w:b/>
                          <w:bCs/>
                          <w:i/>
                          <w:iCs/>
                          <w:sz w:val="28"/>
                          <w:szCs w:val="28"/>
                        </w:rPr>
                      </w:pPr>
                      <w:r w:rsidRPr="001606A6">
                        <w:rPr>
                          <w:b/>
                          <w:bCs/>
                          <w:i/>
                          <w:iCs/>
                          <w:sz w:val="28"/>
                          <w:szCs w:val="28"/>
                        </w:rPr>
                        <w:t>Course: Masters in General Management</w:t>
                      </w:r>
                    </w:p>
                    <w:p w14:paraId="101C21B0" w14:textId="49E96728" w:rsidR="00B4658F" w:rsidRPr="001606A6" w:rsidRDefault="00B4658F" w:rsidP="00B4658F">
                      <w:pPr>
                        <w:rPr>
                          <w:b/>
                          <w:bCs/>
                          <w:i/>
                          <w:iCs/>
                          <w:sz w:val="28"/>
                          <w:szCs w:val="28"/>
                        </w:rPr>
                      </w:pPr>
                      <w:r w:rsidRPr="001606A6">
                        <w:rPr>
                          <w:b/>
                          <w:bCs/>
                          <w:i/>
                          <w:iCs/>
                          <w:sz w:val="28"/>
                          <w:szCs w:val="28"/>
                        </w:rPr>
                        <w:t xml:space="preserve">Submission date: </w:t>
                      </w:r>
                      <w:r>
                        <w:rPr>
                          <w:b/>
                          <w:bCs/>
                          <w:i/>
                          <w:iCs/>
                          <w:sz w:val="28"/>
                          <w:szCs w:val="28"/>
                        </w:rPr>
                        <w:t>12</w:t>
                      </w:r>
                      <w:r w:rsidRPr="001606A6">
                        <w:rPr>
                          <w:b/>
                          <w:bCs/>
                          <w:i/>
                          <w:iCs/>
                          <w:sz w:val="28"/>
                          <w:szCs w:val="28"/>
                        </w:rPr>
                        <w:t xml:space="preserve">/09/2022 – </w:t>
                      </w:r>
                      <w:r>
                        <w:rPr>
                          <w:b/>
                          <w:bCs/>
                          <w:i/>
                          <w:iCs/>
                          <w:sz w:val="28"/>
                          <w:szCs w:val="28"/>
                        </w:rPr>
                        <w:t>2</w:t>
                      </w:r>
                      <w:r w:rsidRPr="001606A6">
                        <w:rPr>
                          <w:b/>
                          <w:bCs/>
                          <w:i/>
                          <w:iCs/>
                          <w:sz w:val="28"/>
                          <w:szCs w:val="28"/>
                        </w:rPr>
                        <w:t>5%</w:t>
                      </w:r>
                    </w:p>
                    <w:p w14:paraId="757B6A58" w14:textId="1A6948CC" w:rsidR="009C12F8" w:rsidRPr="009C12F8" w:rsidRDefault="009C12F8" w:rsidP="00B4658F">
                      <w:pPr>
                        <w:rPr>
                          <w:b/>
                          <w:bCs/>
                          <w:i/>
                          <w:iCs/>
                          <w:sz w:val="40"/>
                          <w:szCs w:val="40"/>
                          <w:lang w:val="en-IN"/>
                        </w:rPr>
                      </w:pPr>
                    </w:p>
                  </w:txbxContent>
                </v:textbox>
              </v:shape>
            </w:pict>
          </mc:Fallback>
        </mc:AlternateContent>
      </w:r>
      <w:r w:rsidRPr="009C12F8">
        <w:rPr>
          <w:noProof/>
        </w:rPr>
        <w:drawing>
          <wp:anchor distT="0" distB="0" distL="114300" distR="114300" simplePos="0" relativeHeight="251658240" behindDoc="0" locked="0" layoutInCell="1" allowOverlap="1" wp14:anchorId="3FF08C84" wp14:editId="4C4BCA3B">
            <wp:simplePos x="0" y="0"/>
            <wp:positionH relativeFrom="margin">
              <wp:align>center</wp:align>
            </wp:positionH>
            <wp:positionV relativeFrom="paragraph">
              <wp:posOffset>2228850</wp:posOffset>
            </wp:positionV>
            <wp:extent cx="4644390" cy="3421742"/>
            <wp:effectExtent l="171450" t="171450" r="156210" b="160020"/>
            <wp:wrapNone/>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4390" cy="3421742"/>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8152D8" w:rsidRPr="009C12F8">
        <w:rPr>
          <w:noProof/>
        </w:rPr>
        <mc:AlternateContent>
          <mc:Choice Requires="wps">
            <w:drawing>
              <wp:anchor distT="0" distB="0" distL="114300" distR="114300" simplePos="0" relativeHeight="251660288" behindDoc="0" locked="0" layoutInCell="1" allowOverlap="1" wp14:anchorId="0C1840B4" wp14:editId="3BF0DE80">
                <wp:simplePos x="0" y="0"/>
                <wp:positionH relativeFrom="column">
                  <wp:posOffset>152400</wp:posOffset>
                </wp:positionH>
                <wp:positionV relativeFrom="paragraph">
                  <wp:posOffset>-315686</wp:posOffset>
                </wp:positionV>
                <wp:extent cx="5573486" cy="1730829"/>
                <wp:effectExtent l="0" t="0" r="27305" b="22225"/>
                <wp:wrapNone/>
                <wp:docPr id="11" name="Text Box 11"/>
                <wp:cNvGraphicFramePr/>
                <a:graphic xmlns:a="http://schemas.openxmlformats.org/drawingml/2006/main">
                  <a:graphicData uri="http://schemas.microsoft.com/office/word/2010/wordprocessingShape">
                    <wps:wsp>
                      <wps:cNvSpPr txBox="1"/>
                      <wps:spPr>
                        <a:xfrm>
                          <a:off x="0" y="0"/>
                          <a:ext cx="5573486" cy="173082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6F991A7" w14:textId="3AA1C436" w:rsidR="008152D8" w:rsidRPr="009C12F8" w:rsidRDefault="008152D8" w:rsidP="008152D8">
                            <w:pPr>
                              <w:jc w:val="center"/>
                              <w:rPr>
                                <w:b/>
                                <w:bCs/>
                                <w:color w:val="000000" w:themeColor="text1"/>
                                <w:sz w:val="56"/>
                                <w:szCs w:val="56"/>
                                <w:lang w:val="en-IN"/>
                              </w:rPr>
                            </w:pPr>
                            <w:r w:rsidRPr="009C12F8">
                              <w:rPr>
                                <w:b/>
                                <w:bCs/>
                                <w:color w:val="000000" w:themeColor="text1"/>
                                <w:sz w:val="56"/>
                                <w:szCs w:val="56"/>
                                <w:lang w:val="en-IN"/>
                              </w:rPr>
                              <w:t>MARKETING MANAGEMENT</w:t>
                            </w:r>
                          </w:p>
                          <w:p w14:paraId="6AF11592" w14:textId="3231A0C6" w:rsidR="009C12F8" w:rsidRPr="009C12F8" w:rsidRDefault="009C12F8" w:rsidP="009C12F8">
                            <w:pPr>
                              <w:pStyle w:val="Subtitle"/>
                              <w:rPr>
                                <w:bCs/>
                                <w:sz w:val="48"/>
                                <w:szCs w:val="48"/>
                                <w:lang w:val="en-IN"/>
                              </w:rPr>
                            </w:pPr>
                            <w:r w:rsidRPr="009C12F8">
                              <w:rPr>
                                <w:bCs/>
                                <w:sz w:val="48"/>
                                <w:szCs w:val="48"/>
                                <w:lang w:val="en-IN"/>
                              </w:rPr>
                              <w:t xml:space="preserve">A Case Study on </w:t>
                            </w:r>
                            <w:r w:rsidRPr="009C12F8">
                              <w:rPr>
                                <w:sz w:val="48"/>
                                <w:szCs w:val="48"/>
                              </w:rPr>
                              <w:t>GlaxoSmithKline (GSK) Plc.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1840B4" id="Text Box 11" o:spid="_x0000_s1027" type="#_x0000_t202" style="position:absolute;left:0;text-align:left;margin-left:12pt;margin-top:-24.85pt;width:438.85pt;height:136.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" fillcolor="white [3201]" strokecolor="#4f81bd [3204]" strokeweight="2pt">
                <v:textbox>
                  <w:txbxContent>
                    <w:p w14:paraId="46F991A7" w14:textId="3AA1C436" w:rsidR="008152D8" w:rsidRPr="009C12F8" w:rsidRDefault="008152D8" w:rsidP="008152D8">
                      <w:pPr>
                        <w:jc w:val="center"/>
                        <w:rPr>
                          <w:b/>
                          <w:bCs/>
                          <w:color w:val="000000" w:themeColor="text1"/>
                          <w:sz w:val="56"/>
                          <w:szCs w:val="56"/>
                          <w:lang w:val="en-IN"/>
                        </w:rPr>
                      </w:pPr>
                      <w:r w:rsidRPr="009C12F8">
                        <w:rPr>
                          <w:b/>
                          <w:bCs/>
                          <w:color w:val="000000" w:themeColor="text1"/>
                          <w:sz w:val="56"/>
                          <w:szCs w:val="56"/>
                          <w:lang w:val="en-IN"/>
                        </w:rPr>
                        <w:t>MARKETING MANAGEMENT</w:t>
                      </w:r>
                    </w:p>
                    <w:p w14:paraId="6AF11592" w14:textId="3231A0C6" w:rsidR="009C12F8" w:rsidRPr="009C12F8" w:rsidRDefault="009C12F8" w:rsidP="009C12F8">
                      <w:pPr>
                        <w:pStyle w:val="Subtitle"/>
                        <w:rPr>
                          <w:bCs/>
                          <w:sz w:val="48"/>
                          <w:szCs w:val="48"/>
                          <w:lang w:val="en-IN"/>
                        </w:rPr>
                      </w:pPr>
                      <w:r w:rsidRPr="009C12F8">
                        <w:rPr>
                          <w:bCs/>
                          <w:sz w:val="48"/>
                          <w:szCs w:val="48"/>
                          <w:lang w:val="en-IN"/>
                        </w:rPr>
                        <w:t xml:space="preserve">A Case Study on </w:t>
                      </w:r>
                      <w:r w:rsidRPr="009C12F8">
                        <w:rPr>
                          <w:sz w:val="48"/>
                          <w:szCs w:val="48"/>
                        </w:rPr>
                        <w:t>GlaxoSmithKline (GSK) Plc.</w:t>
                      </w:r>
                    </w:p>
                  </w:txbxContent>
                </v:textbox>
              </v:shape>
            </w:pict>
          </mc:Fallback>
        </mc:AlternateContent>
      </w:r>
      <w:r w:rsidR="009C12F8" w:rsidRPr="009C12F8">
        <w:br w:type="page"/>
      </w:r>
      <w:r w:rsidR="00F527B2">
        <w:lastRenderedPageBreak/>
        <w:t xml:space="preserve"> </w:t>
      </w:r>
    </w:p>
    <w:p w14:paraId="7EE9C4F1" w14:textId="2B3CF696" w:rsidR="00413283" w:rsidRPr="009C12F8" w:rsidRDefault="009C12F8">
      <w:pPr>
        <w:jc w:val="center"/>
        <w:rPr>
          <w:b/>
          <w:sz w:val="28"/>
          <w:szCs w:val="28"/>
        </w:rPr>
      </w:pPr>
      <w:r w:rsidRPr="009C12F8">
        <w:rPr>
          <w:b/>
          <w:sz w:val="28"/>
          <w:szCs w:val="28"/>
        </w:rPr>
        <w:t>Executive Summary</w:t>
      </w:r>
    </w:p>
    <w:p w14:paraId="69355C3E" w14:textId="77777777" w:rsidR="00413283" w:rsidRPr="009C12F8" w:rsidRDefault="009C12F8">
      <w:pPr>
        <w:rPr>
          <w:b/>
          <w:sz w:val="28"/>
          <w:szCs w:val="28"/>
        </w:rPr>
      </w:pPr>
      <w:r w:rsidRPr="009C12F8">
        <w:t xml:space="preserve">Marketing Management is a process which helps a company in thriving competitive advantage while improving the planning and implementation process with the reduction of costs. The current report is aimed to develop an understanding of different marketing strategies after considering the marketing strategy of GSK Plc. As per the report, it was found that the company has been following relationship marketing strategy to develop its external and internal drivers. It was found that the company was able to build strong engagement with diverse supplies and workforce while enhancing its product promotion. However, it can be stated that external environmental factors, such as political, economic, technological, social, and other factors can influence the UK pharmaceutical industry. Moreover, Brexit has caused the loss of revenues and target markets of UK pharmaceutical companies in Europe. In addition, the COVID-19 pandemic has impacted the concerned industry and the company due to lack of resources and decrease in the sales. Further, GSK Plc built an Employee Resource Group (ERGs) for building employee relationship marketing with consumer satisfaction. The company GSK has a series of internal opportunities and threats as interpreted in the SWOT analysis. It has been indicated the firm faces varied difficulties while operating in the pharmaceutical industry that acted as a barrier for the company in using influencing marketing drivers appropriately.     </w:t>
      </w:r>
      <w:r w:rsidRPr="009C12F8">
        <w:br w:type="page"/>
      </w:r>
    </w:p>
    <w:sdt>
      <w:sdtPr>
        <w:rPr>
          <w:rFonts w:ascii="Times New Roman" w:eastAsia="Times New Roman" w:hAnsi="Times New Roman" w:cs="Times New Roman"/>
          <w:color w:val="auto"/>
          <w:sz w:val="24"/>
          <w:szCs w:val="24"/>
          <w:lang w:val="en-GB" w:eastAsia="en-IN"/>
        </w:rPr>
        <w:id w:val="1913648443"/>
        <w:docPartObj>
          <w:docPartGallery w:val="Table of Contents"/>
          <w:docPartUnique/>
        </w:docPartObj>
      </w:sdtPr>
      <w:sdtEndPr>
        <w:rPr>
          <w:b/>
          <w:bCs/>
          <w:noProof/>
        </w:rPr>
      </w:sdtEndPr>
      <w:sdtContent>
        <w:p w14:paraId="19977B43" w14:textId="64D7AE36" w:rsidR="000071F8" w:rsidRPr="009C12F8" w:rsidRDefault="000071F8" w:rsidP="000071F8">
          <w:pPr>
            <w:pStyle w:val="TOCHeading"/>
            <w:jc w:val="center"/>
            <w:rPr>
              <w:rFonts w:ascii="Times New Roman" w:hAnsi="Times New Roman" w:cs="Times New Roman"/>
              <w:b/>
              <w:bCs/>
              <w:color w:val="000000" w:themeColor="text1"/>
              <w:sz w:val="28"/>
              <w:szCs w:val="28"/>
            </w:rPr>
          </w:pPr>
          <w:r w:rsidRPr="009C12F8">
            <w:rPr>
              <w:rFonts w:ascii="Times New Roman" w:hAnsi="Times New Roman" w:cs="Times New Roman"/>
              <w:b/>
              <w:bCs/>
              <w:color w:val="000000" w:themeColor="text1"/>
              <w:sz w:val="28"/>
              <w:szCs w:val="28"/>
            </w:rPr>
            <w:t>Table of Contents</w:t>
          </w:r>
        </w:p>
        <w:p w14:paraId="232DC75F" w14:textId="5F5DA924" w:rsidR="002B12B3" w:rsidRDefault="000071F8">
          <w:pPr>
            <w:pStyle w:val="TOC1"/>
            <w:tabs>
              <w:tab w:val="right" w:leader="dot" w:pos="9350"/>
            </w:tabs>
            <w:rPr>
              <w:rFonts w:asciiTheme="minorHAnsi" w:eastAsiaTheme="minorEastAsia" w:hAnsiTheme="minorHAnsi" w:cstheme="minorBidi"/>
              <w:noProof/>
              <w:sz w:val="22"/>
              <w:szCs w:val="22"/>
              <w:lang w:val="en-IN"/>
            </w:rPr>
          </w:pPr>
          <w:r w:rsidRPr="009C12F8">
            <w:fldChar w:fldCharType="begin"/>
          </w:r>
          <w:r w:rsidRPr="009C12F8">
            <w:instrText xml:space="preserve"> TOC \o "1-3" \h \z \u </w:instrText>
          </w:r>
          <w:r w:rsidRPr="009C12F8">
            <w:fldChar w:fldCharType="separate"/>
          </w:r>
          <w:hyperlink w:anchor="_Toc113493892" w:history="1">
            <w:r w:rsidR="002B12B3" w:rsidRPr="00A64096">
              <w:rPr>
                <w:rStyle w:val="Hyperlink"/>
                <w:noProof/>
              </w:rPr>
              <w:t>1. Introduction</w:t>
            </w:r>
            <w:r w:rsidR="002B12B3">
              <w:rPr>
                <w:noProof/>
                <w:webHidden/>
              </w:rPr>
              <w:tab/>
            </w:r>
            <w:r w:rsidR="002B12B3">
              <w:rPr>
                <w:noProof/>
                <w:webHidden/>
              </w:rPr>
              <w:fldChar w:fldCharType="begin"/>
            </w:r>
            <w:r w:rsidR="002B12B3">
              <w:rPr>
                <w:noProof/>
                <w:webHidden/>
              </w:rPr>
              <w:instrText xml:space="preserve"> PAGEREF _Toc113493892 \h </w:instrText>
            </w:r>
            <w:r w:rsidR="002B12B3">
              <w:rPr>
                <w:noProof/>
                <w:webHidden/>
              </w:rPr>
            </w:r>
            <w:r w:rsidR="002B12B3">
              <w:rPr>
                <w:noProof/>
                <w:webHidden/>
              </w:rPr>
              <w:fldChar w:fldCharType="separate"/>
            </w:r>
            <w:r w:rsidR="002B12B3">
              <w:rPr>
                <w:noProof/>
                <w:webHidden/>
              </w:rPr>
              <w:t>3</w:t>
            </w:r>
            <w:r w:rsidR="002B12B3">
              <w:rPr>
                <w:noProof/>
                <w:webHidden/>
              </w:rPr>
              <w:fldChar w:fldCharType="end"/>
            </w:r>
          </w:hyperlink>
        </w:p>
        <w:p w14:paraId="2E46513F" w14:textId="61AE18BC" w:rsidR="002B12B3" w:rsidRDefault="00000000">
          <w:pPr>
            <w:pStyle w:val="TOC1"/>
            <w:tabs>
              <w:tab w:val="right" w:leader="dot" w:pos="9350"/>
            </w:tabs>
            <w:rPr>
              <w:rFonts w:asciiTheme="minorHAnsi" w:eastAsiaTheme="minorEastAsia" w:hAnsiTheme="minorHAnsi" w:cstheme="minorBidi"/>
              <w:noProof/>
              <w:sz w:val="22"/>
              <w:szCs w:val="22"/>
              <w:lang w:val="en-IN"/>
            </w:rPr>
          </w:pPr>
          <w:hyperlink w:anchor="_Toc113493893" w:history="1">
            <w:r w:rsidR="002B12B3" w:rsidRPr="00A64096">
              <w:rPr>
                <w:rStyle w:val="Hyperlink"/>
                <w:noProof/>
              </w:rPr>
              <w:t>2. Brief Overview of GlaxoSmithKline (GSK) Plc.</w:t>
            </w:r>
            <w:r w:rsidR="002B12B3">
              <w:rPr>
                <w:noProof/>
                <w:webHidden/>
              </w:rPr>
              <w:tab/>
            </w:r>
            <w:r w:rsidR="002B12B3">
              <w:rPr>
                <w:noProof/>
                <w:webHidden/>
              </w:rPr>
              <w:fldChar w:fldCharType="begin"/>
            </w:r>
            <w:r w:rsidR="002B12B3">
              <w:rPr>
                <w:noProof/>
                <w:webHidden/>
              </w:rPr>
              <w:instrText xml:space="preserve"> PAGEREF _Toc113493893 \h </w:instrText>
            </w:r>
            <w:r w:rsidR="002B12B3">
              <w:rPr>
                <w:noProof/>
                <w:webHidden/>
              </w:rPr>
            </w:r>
            <w:r w:rsidR="002B12B3">
              <w:rPr>
                <w:noProof/>
                <w:webHidden/>
              </w:rPr>
              <w:fldChar w:fldCharType="separate"/>
            </w:r>
            <w:r w:rsidR="002B12B3">
              <w:rPr>
                <w:noProof/>
                <w:webHidden/>
              </w:rPr>
              <w:t>3</w:t>
            </w:r>
            <w:r w:rsidR="002B12B3">
              <w:rPr>
                <w:noProof/>
                <w:webHidden/>
              </w:rPr>
              <w:fldChar w:fldCharType="end"/>
            </w:r>
          </w:hyperlink>
        </w:p>
        <w:p w14:paraId="5AA79E2D" w14:textId="2F031251" w:rsidR="002B12B3" w:rsidRDefault="00000000">
          <w:pPr>
            <w:pStyle w:val="TOC1"/>
            <w:tabs>
              <w:tab w:val="right" w:leader="dot" w:pos="9350"/>
            </w:tabs>
            <w:rPr>
              <w:rFonts w:asciiTheme="minorHAnsi" w:eastAsiaTheme="minorEastAsia" w:hAnsiTheme="minorHAnsi" w:cstheme="minorBidi"/>
              <w:noProof/>
              <w:sz w:val="22"/>
              <w:szCs w:val="22"/>
              <w:lang w:val="en-IN"/>
            </w:rPr>
          </w:pPr>
          <w:hyperlink w:anchor="_Toc113493894" w:history="1">
            <w:r w:rsidR="002B12B3" w:rsidRPr="00A64096">
              <w:rPr>
                <w:rStyle w:val="Hyperlink"/>
                <w:noProof/>
              </w:rPr>
              <w:t>3. Critical evaluation of environmental marketing factors of GSK Plc.</w:t>
            </w:r>
            <w:r w:rsidR="002B12B3">
              <w:rPr>
                <w:noProof/>
                <w:webHidden/>
              </w:rPr>
              <w:tab/>
            </w:r>
            <w:r w:rsidR="002B12B3">
              <w:rPr>
                <w:noProof/>
                <w:webHidden/>
              </w:rPr>
              <w:fldChar w:fldCharType="begin"/>
            </w:r>
            <w:r w:rsidR="002B12B3">
              <w:rPr>
                <w:noProof/>
                <w:webHidden/>
              </w:rPr>
              <w:instrText xml:space="preserve"> PAGEREF _Toc113493894 \h </w:instrText>
            </w:r>
            <w:r w:rsidR="002B12B3">
              <w:rPr>
                <w:noProof/>
                <w:webHidden/>
              </w:rPr>
            </w:r>
            <w:r w:rsidR="002B12B3">
              <w:rPr>
                <w:noProof/>
                <w:webHidden/>
              </w:rPr>
              <w:fldChar w:fldCharType="separate"/>
            </w:r>
            <w:r w:rsidR="002B12B3">
              <w:rPr>
                <w:noProof/>
                <w:webHidden/>
              </w:rPr>
              <w:t>4</w:t>
            </w:r>
            <w:r w:rsidR="002B12B3">
              <w:rPr>
                <w:noProof/>
                <w:webHidden/>
              </w:rPr>
              <w:fldChar w:fldCharType="end"/>
            </w:r>
          </w:hyperlink>
        </w:p>
        <w:p w14:paraId="6B6BF857" w14:textId="7C5F8665" w:rsidR="002B12B3" w:rsidRDefault="00000000">
          <w:pPr>
            <w:pStyle w:val="TOC2"/>
            <w:tabs>
              <w:tab w:val="right" w:leader="dot" w:pos="9350"/>
            </w:tabs>
            <w:rPr>
              <w:rFonts w:asciiTheme="minorHAnsi" w:eastAsiaTheme="minorEastAsia" w:hAnsiTheme="minorHAnsi" w:cstheme="minorBidi"/>
              <w:noProof/>
              <w:sz w:val="22"/>
              <w:szCs w:val="22"/>
              <w:lang w:val="en-IN"/>
            </w:rPr>
          </w:pPr>
          <w:hyperlink w:anchor="_Toc113493895" w:history="1">
            <w:r w:rsidR="002B12B3" w:rsidRPr="00A64096">
              <w:rPr>
                <w:rStyle w:val="Hyperlink"/>
                <w:noProof/>
              </w:rPr>
              <w:t>3.1 Identification of the key influencing factors of the external marketing environment</w:t>
            </w:r>
            <w:r w:rsidR="002B12B3">
              <w:rPr>
                <w:noProof/>
                <w:webHidden/>
              </w:rPr>
              <w:tab/>
            </w:r>
            <w:r w:rsidR="002B12B3">
              <w:rPr>
                <w:noProof/>
                <w:webHidden/>
              </w:rPr>
              <w:fldChar w:fldCharType="begin"/>
            </w:r>
            <w:r w:rsidR="002B12B3">
              <w:rPr>
                <w:noProof/>
                <w:webHidden/>
              </w:rPr>
              <w:instrText xml:space="preserve"> PAGEREF _Toc113493895 \h </w:instrText>
            </w:r>
            <w:r w:rsidR="002B12B3">
              <w:rPr>
                <w:noProof/>
                <w:webHidden/>
              </w:rPr>
            </w:r>
            <w:r w:rsidR="002B12B3">
              <w:rPr>
                <w:noProof/>
                <w:webHidden/>
              </w:rPr>
              <w:fldChar w:fldCharType="separate"/>
            </w:r>
            <w:r w:rsidR="002B12B3">
              <w:rPr>
                <w:noProof/>
                <w:webHidden/>
              </w:rPr>
              <w:t>4</w:t>
            </w:r>
            <w:r w:rsidR="002B12B3">
              <w:rPr>
                <w:noProof/>
                <w:webHidden/>
              </w:rPr>
              <w:fldChar w:fldCharType="end"/>
            </w:r>
          </w:hyperlink>
        </w:p>
        <w:p w14:paraId="28231333" w14:textId="23A0A6CB" w:rsidR="002B12B3" w:rsidRDefault="00000000">
          <w:pPr>
            <w:pStyle w:val="TOC2"/>
            <w:tabs>
              <w:tab w:val="right" w:leader="dot" w:pos="9350"/>
            </w:tabs>
            <w:rPr>
              <w:rFonts w:asciiTheme="minorHAnsi" w:eastAsiaTheme="minorEastAsia" w:hAnsiTheme="minorHAnsi" w:cstheme="minorBidi"/>
              <w:noProof/>
              <w:sz w:val="22"/>
              <w:szCs w:val="22"/>
              <w:lang w:val="en-IN"/>
            </w:rPr>
          </w:pPr>
          <w:hyperlink w:anchor="_Toc113493896" w:history="1">
            <w:r w:rsidR="002B12B3" w:rsidRPr="00A64096">
              <w:rPr>
                <w:rStyle w:val="Hyperlink"/>
                <w:noProof/>
              </w:rPr>
              <w:t>3.2 Determination of the major influencing factors of the internal marketing environment</w:t>
            </w:r>
            <w:r w:rsidR="002B12B3">
              <w:rPr>
                <w:noProof/>
                <w:webHidden/>
              </w:rPr>
              <w:tab/>
            </w:r>
            <w:r w:rsidR="002B12B3">
              <w:rPr>
                <w:noProof/>
                <w:webHidden/>
              </w:rPr>
              <w:fldChar w:fldCharType="begin"/>
            </w:r>
            <w:r w:rsidR="002B12B3">
              <w:rPr>
                <w:noProof/>
                <w:webHidden/>
              </w:rPr>
              <w:instrText xml:space="preserve"> PAGEREF _Toc113493896 \h </w:instrText>
            </w:r>
            <w:r w:rsidR="002B12B3">
              <w:rPr>
                <w:noProof/>
                <w:webHidden/>
              </w:rPr>
            </w:r>
            <w:r w:rsidR="002B12B3">
              <w:rPr>
                <w:noProof/>
                <w:webHidden/>
              </w:rPr>
              <w:fldChar w:fldCharType="separate"/>
            </w:r>
            <w:r w:rsidR="002B12B3">
              <w:rPr>
                <w:noProof/>
                <w:webHidden/>
              </w:rPr>
              <w:t>7</w:t>
            </w:r>
            <w:r w:rsidR="002B12B3">
              <w:rPr>
                <w:noProof/>
                <w:webHidden/>
              </w:rPr>
              <w:fldChar w:fldCharType="end"/>
            </w:r>
          </w:hyperlink>
        </w:p>
        <w:p w14:paraId="64A44D16" w14:textId="16D86AB7" w:rsidR="002B12B3" w:rsidRDefault="00000000">
          <w:pPr>
            <w:pStyle w:val="TOC1"/>
            <w:tabs>
              <w:tab w:val="right" w:leader="dot" w:pos="9350"/>
            </w:tabs>
            <w:rPr>
              <w:rFonts w:asciiTheme="minorHAnsi" w:eastAsiaTheme="minorEastAsia" w:hAnsiTheme="minorHAnsi" w:cstheme="minorBidi"/>
              <w:noProof/>
              <w:sz w:val="22"/>
              <w:szCs w:val="22"/>
              <w:lang w:val="en-IN"/>
            </w:rPr>
          </w:pPr>
          <w:hyperlink w:anchor="_Toc113493897" w:history="1">
            <w:r w:rsidR="002B12B3" w:rsidRPr="00A64096">
              <w:rPr>
                <w:rStyle w:val="Hyperlink"/>
                <w:noProof/>
              </w:rPr>
              <w:t>4. Significant Role of Marketing on the internal and external influencers of  GlaxoSmithKline (GSK) Plc.</w:t>
            </w:r>
            <w:r w:rsidR="002B12B3">
              <w:rPr>
                <w:noProof/>
                <w:webHidden/>
              </w:rPr>
              <w:tab/>
            </w:r>
            <w:r w:rsidR="002B12B3">
              <w:rPr>
                <w:noProof/>
                <w:webHidden/>
              </w:rPr>
              <w:fldChar w:fldCharType="begin"/>
            </w:r>
            <w:r w:rsidR="002B12B3">
              <w:rPr>
                <w:noProof/>
                <w:webHidden/>
              </w:rPr>
              <w:instrText xml:space="preserve"> PAGEREF _Toc113493897 \h </w:instrText>
            </w:r>
            <w:r w:rsidR="002B12B3">
              <w:rPr>
                <w:noProof/>
                <w:webHidden/>
              </w:rPr>
            </w:r>
            <w:r w:rsidR="002B12B3">
              <w:rPr>
                <w:noProof/>
                <w:webHidden/>
              </w:rPr>
              <w:fldChar w:fldCharType="separate"/>
            </w:r>
            <w:r w:rsidR="002B12B3">
              <w:rPr>
                <w:noProof/>
                <w:webHidden/>
              </w:rPr>
              <w:t>8</w:t>
            </w:r>
            <w:r w:rsidR="002B12B3">
              <w:rPr>
                <w:noProof/>
                <w:webHidden/>
              </w:rPr>
              <w:fldChar w:fldCharType="end"/>
            </w:r>
          </w:hyperlink>
        </w:p>
        <w:p w14:paraId="0E2E42BA" w14:textId="1CEB6D37" w:rsidR="002B12B3" w:rsidRDefault="00000000">
          <w:pPr>
            <w:pStyle w:val="TOC1"/>
            <w:tabs>
              <w:tab w:val="right" w:leader="dot" w:pos="9350"/>
            </w:tabs>
            <w:rPr>
              <w:rFonts w:asciiTheme="minorHAnsi" w:eastAsiaTheme="minorEastAsia" w:hAnsiTheme="minorHAnsi" w:cstheme="minorBidi"/>
              <w:noProof/>
              <w:sz w:val="22"/>
              <w:szCs w:val="22"/>
              <w:lang w:val="en-IN"/>
            </w:rPr>
          </w:pPr>
          <w:hyperlink w:anchor="_Toc113493898" w:history="1">
            <w:r w:rsidR="002B12B3" w:rsidRPr="00A64096">
              <w:rPr>
                <w:rStyle w:val="Hyperlink"/>
                <w:noProof/>
              </w:rPr>
              <w:t>5. Prospective Risk faced by the influencing marketing drivers of GSK Plc</w:t>
            </w:r>
            <w:r w:rsidR="002B12B3">
              <w:rPr>
                <w:noProof/>
                <w:webHidden/>
              </w:rPr>
              <w:tab/>
            </w:r>
            <w:r w:rsidR="002B12B3">
              <w:rPr>
                <w:noProof/>
                <w:webHidden/>
              </w:rPr>
              <w:fldChar w:fldCharType="begin"/>
            </w:r>
            <w:r w:rsidR="002B12B3">
              <w:rPr>
                <w:noProof/>
                <w:webHidden/>
              </w:rPr>
              <w:instrText xml:space="preserve"> PAGEREF _Toc113493898 \h </w:instrText>
            </w:r>
            <w:r w:rsidR="002B12B3">
              <w:rPr>
                <w:noProof/>
                <w:webHidden/>
              </w:rPr>
            </w:r>
            <w:r w:rsidR="002B12B3">
              <w:rPr>
                <w:noProof/>
                <w:webHidden/>
              </w:rPr>
              <w:fldChar w:fldCharType="separate"/>
            </w:r>
            <w:r w:rsidR="002B12B3">
              <w:rPr>
                <w:noProof/>
                <w:webHidden/>
              </w:rPr>
              <w:t>10</w:t>
            </w:r>
            <w:r w:rsidR="002B12B3">
              <w:rPr>
                <w:noProof/>
                <w:webHidden/>
              </w:rPr>
              <w:fldChar w:fldCharType="end"/>
            </w:r>
          </w:hyperlink>
        </w:p>
        <w:p w14:paraId="1FC2851B" w14:textId="3B14E21C" w:rsidR="002B12B3" w:rsidRDefault="00000000">
          <w:pPr>
            <w:pStyle w:val="TOC1"/>
            <w:tabs>
              <w:tab w:val="right" w:leader="dot" w:pos="9350"/>
            </w:tabs>
            <w:rPr>
              <w:rFonts w:asciiTheme="minorHAnsi" w:eastAsiaTheme="minorEastAsia" w:hAnsiTheme="minorHAnsi" w:cstheme="minorBidi"/>
              <w:noProof/>
              <w:sz w:val="22"/>
              <w:szCs w:val="22"/>
              <w:lang w:val="en-IN"/>
            </w:rPr>
          </w:pPr>
          <w:hyperlink w:anchor="_Toc113493899" w:history="1">
            <w:r w:rsidR="002B12B3" w:rsidRPr="00A64096">
              <w:rPr>
                <w:rStyle w:val="Hyperlink"/>
                <w:noProof/>
              </w:rPr>
              <w:t>6. Suggestive actions for mitigating the issues of marketing drivers of GSK Plc.</w:t>
            </w:r>
            <w:r w:rsidR="002B12B3">
              <w:rPr>
                <w:noProof/>
                <w:webHidden/>
              </w:rPr>
              <w:tab/>
            </w:r>
            <w:r w:rsidR="002B12B3">
              <w:rPr>
                <w:noProof/>
                <w:webHidden/>
              </w:rPr>
              <w:fldChar w:fldCharType="begin"/>
            </w:r>
            <w:r w:rsidR="002B12B3">
              <w:rPr>
                <w:noProof/>
                <w:webHidden/>
              </w:rPr>
              <w:instrText xml:space="preserve"> PAGEREF _Toc113493899 \h </w:instrText>
            </w:r>
            <w:r w:rsidR="002B12B3">
              <w:rPr>
                <w:noProof/>
                <w:webHidden/>
              </w:rPr>
            </w:r>
            <w:r w:rsidR="002B12B3">
              <w:rPr>
                <w:noProof/>
                <w:webHidden/>
              </w:rPr>
              <w:fldChar w:fldCharType="separate"/>
            </w:r>
            <w:r w:rsidR="002B12B3">
              <w:rPr>
                <w:noProof/>
                <w:webHidden/>
              </w:rPr>
              <w:t>10</w:t>
            </w:r>
            <w:r w:rsidR="002B12B3">
              <w:rPr>
                <w:noProof/>
                <w:webHidden/>
              </w:rPr>
              <w:fldChar w:fldCharType="end"/>
            </w:r>
          </w:hyperlink>
        </w:p>
        <w:p w14:paraId="047924BE" w14:textId="729D7736" w:rsidR="002B12B3" w:rsidRDefault="00000000">
          <w:pPr>
            <w:pStyle w:val="TOC1"/>
            <w:tabs>
              <w:tab w:val="right" w:leader="dot" w:pos="9350"/>
            </w:tabs>
            <w:rPr>
              <w:rFonts w:asciiTheme="minorHAnsi" w:eastAsiaTheme="minorEastAsia" w:hAnsiTheme="minorHAnsi" w:cstheme="minorBidi"/>
              <w:noProof/>
              <w:sz w:val="22"/>
              <w:szCs w:val="22"/>
              <w:lang w:val="en-IN"/>
            </w:rPr>
          </w:pPr>
          <w:hyperlink w:anchor="_Toc113493900" w:history="1">
            <w:r w:rsidR="002B12B3" w:rsidRPr="00A64096">
              <w:rPr>
                <w:rStyle w:val="Hyperlink"/>
                <w:noProof/>
              </w:rPr>
              <w:t>7. Conclusion</w:t>
            </w:r>
            <w:r w:rsidR="002B12B3">
              <w:rPr>
                <w:noProof/>
                <w:webHidden/>
              </w:rPr>
              <w:tab/>
            </w:r>
            <w:r w:rsidR="002B12B3">
              <w:rPr>
                <w:noProof/>
                <w:webHidden/>
              </w:rPr>
              <w:fldChar w:fldCharType="begin"/>
            </w:r>
            <w:r w:rsidR="002B12B3">
              <w:rPr>
                <w:noProof/>
                <w:webHidden/>
              </w:rPr>
              <w:instrText xml:space="preserve"> PAGEREF _Toc113493900 \h </w:instrText>
            </w:r>
            <w:r w:rsidR="002B12B3">
              <w:rPr>
                <w:noProof/>
                <w:webHidden/>
              </w:rPr>
            </w:r>
            <w:r w:rsidR="002B12B3">
              <w:rPr>
                <w:noProof/>
                <w:webHidden/>
              </w:rPr>
              <w:fldChar w:fldCharType="separate"/>
            </w:r>
            <w:r w:rsidR="002B12B3">
              <w:rPr>
                <w:noProof/>
                <w:webHidden/>
              </w:rPr>
              <w:t>11</w:t>
            </w:r>
            <w:r w:rsidR="002B12B3">
              <w:rPr>
                <w:noProof/>
                <w:webHidden/>
              </w:rPr>
              <w:fldChar w:fldCharType="end"/>
            </w:r>
          </w:hyperlink>
        </w:p>
        <w:p w14:paraId="36834EE3" w14:textId="798A95B3" w:rsidR="002B12B3" w:rsidRDefault="00000000">
          <w:pPr>
            <w:pStyle w:val="TOC1"/>
            <w:tabs>
              <w:tab w:val="right" w:leader="dot" w:pos="9350"/>
            </w:tabs>
            <w:rPr>
              <w:rFonts w:asciiTheme="minorHAnsi" w:eastAsiaTheme="minorEastAsia" w:hAnsiTheme="minorHAnsi" w:cstheme="minorBidi"/>
              <w:noProof/>
              <w:sz w:val="22"/>
              <w:szCs w:val="22"/>
              <w:lang w:val="en-IN"/>
            </w:rPr>
          </w:pPr>
          <w:hyperlink w:anchor="_Toc113493901" w:history="1">
            <w:r w:rsidR="002B12B3" w:rsidRPr="00A64096">
              <w:rPr>
                <w:rStyle w:val="Hyperlink"/>
                <w:noProof/>
              </w:rPr>
              <w:t>References</w:t>
            </w:r>
            <w:r w:rsidR="002B12B3">
              <w:rPr>
                <w:noProof/>
                <w:webHidden/>
              </w:rPr>
              <w:tab/>
            </w:r>
            <w:r w:rsidR="002B12B3">
              <w:rPr>
                <w:noProof/>
                <w:webHidden/>
              </w:rPr>
              <w:fldChar w:fldCharType="begin"/>
            </w:r>
            <w:r w:rsidR="002B12B3">
              <w:rPr>
                <w:noProof/>
                <w:webHidden/>
              </w:rPr>
              <w:instrText xml:space="preserve"> PAGEREF _Toc113493901 \h </w:instrText>
            </w:r>
            <w:r w:rsidR="002B12B3">
              <w:rPr>
                <w:noProof/>
                <w:webHidden/>
              </w:rPr>
            </w:r>
            <w:r w:rsidR="002B12B3">
              <w:rPr>
                <w:noProof/>
                <w:webHidden/>
              </w:rPr>
              <w:fldChar w:fldCharType="separate"/>
            </w:r>
            <w:r w:rsidR="002B12B3">
              <w:rPr>
                <w:noProof/>
                <w:webHidden/>
              </w:rPr>
              <w:t>12</w:t>
            </w:r>
            <w:r w:rsidR="002B12B3">
              <w:rPr>
                <w:noProof/>
                <w:webHidden/>
              </w:rPr>
              <w:fldChar w:fldCharType="end"/>
            </w:r>
          </w:hyperlink>
        </w:p>
        <w:p w14:paraId="66762757" w14:textId="4BD54AA8" w:rsidR="002B12B3" w:rsidRDefault="00000000">
          <w:pPr>
            <w:pStyle w:val="TOC1"/>
            <w:tabs>
              <w:tab w:val="right" w:leader="dot" w:pos="9350"/>
            </w:tabs>
            <w:rPr>
              <w:rFonts w:asciiTheme="minorHAnsi" w:eastAsiaTheme="minorEastAsia" w:hAnsiTheme="minorHAnsi" w:cstheme="minorBidi"/>
              <w:noProof/>
              <w:sz w:val="22"/>
              <w:szCs w:val="22"/>
              <w:lang w:val="en-IN"/>
            </w:rPr>
          </w:pPr>
          <w:hyperlink w:anchor="_Toc113493902" w:history="1">
            <w:r w:rsidR="002B12B3" w:rsidRPr="00A64096">
              <w:rPr>
                <w:rStyle w:val="Hyperlink"/>
                <w:noProof/>
              </w:rPr>
              <w:t>Appendices</w:t>
            </w:r>
            <w:r w:rsidR="002B12B3">
              <w:rPr>
                <w:noProof/>
                <w:webHidden/>
              </w:rPr>
              <w:tab/>
            </w:r>
            <w:r w:rsidR="002B12B3">
              <w:rPr>
                <w:noProof/>
                <w:webHidden/>
              </w:rPr>
              <w:fldChar w:fldCharType="begin"/>
            </w:r>
            <w:r w:rsidR="002B12B3">
              <w:rPr>
                <w:noProof/>
                <w:webHidden/>
              </w:rPr>
              <w:instrText xml:space="preserve"> PAGEREF _Toc113493902 \h </w:instrText>
            </w:r>
            <w:r w:rsidR="002B12B3">
              <w:rPr>
                <w:noProof/>
                <w:webHidden/>
              </w:rPr>
            </w:r>
            <w:r w:rsidR="002B12B3">
              <w:rPr>
                <w:noProof/>
                <w:webHidden/>
              </w:rPr>
              <w:fldChar w:fldCharType="separate"/>
            </w:r>
            <w:r w:rsidR="002B12B3">
              <w:rPr>
                <w:noProof/>
                <w:webHidden/>
              </w:rPr>
              <w:t>17</w:t>
            </w:r>
            <w:r w:rsidR="002B12B3">
              <w:rPr>
                <w:noProof/>
                <w:webHidden/>
              </w:rPr>
              <w:fldChar w:fldCharType="end"/>
            </w:r>
          </w:hyperlink>
        </w:p>
        <w:p w14:paraId="63608072" w14:textId="5DD01C61" w:rsidR="000071F8" w:rsidRPr="009C12F8" w:rsidRDefault="000071F8">
          <w:r w:rsidRPr="009C12F8">
            <w:rPr>
              <w:b/>
              <w:bCs/>
              <w:noProof/>
            </w:rPr>
            <w:fldChar w:fldCharType="end"/>
          </w:r>
        </w:p>
      </w:sdtContent>
    </w:sdt>
    <w:p w14:paraId="4C2F7541" w14:textId="1C4E4D8E" w:rsidR="000071F8" w:rsidRPr="009C12F8" w:rsidRDefault="000071F8" w:rsidP="000071F8">
      <w:pPr>
        <w:rPr>
          <w:b/>
          <w:sz w:val="28"/>
          <w:szCs w:val="28"/>
        </w:rPr>
      </w:pPr>
    </w:p>
    <w:p w14:paraId="3F2098C1" w14:textId="2269B41D" w:rsidR="00413283" w:rsidRPr="009C12F8" w:rsidRDefault="009C12F8" w:rsidP="000071F8">
      <w:r w:rsidRPr="009C12F8">
        <w:br w:type="page"/>
      </w:r>
    </w:p>
    <w:p w14:paraId="362BE2A6" w14:textId="1E79A336" w:rsidR="00413283" w:rsidRPr="009C12F8" w:rsidRDefault="009C12F8" w:rsidP="000071F8">
      <w:pPr>
        <w:pStyle w:val="Heading1"/>
        <w:tabs>
          <w:tab w:val="left" w:pos="5777"/>
        </w:tabs>
      </w:pPr>
      <w:bookmarkStart w:id="0" w:name="_vb6ntpvodjzu" w:colFirst="0" w:colLast="0"/>
      <w:bookmarkStart w:id="1" w:name="_7la7fw9xrdc4" w:colFirst="0" w:colLast="0"/>
      <w:bookmarkStart w:id="2" w:name="_Toc113493892"/>
      <w:bookmarkEnd w:id="0"/>
      <w:bookmarkEnd w:id="1"/>
      <w:r w:rsidRPr="009C12F8">
        <w:lastRenderedPageBreak/>
        <w:t>1. Introductio</w:t>
      </w:r>
      <w:r w:rsidR="000071F8" w:rsidRPr="009C12F8">
        <w:t>n</w:t>
      </w:r>
      <w:bookmarkEnd w:id="2"/>
    </w:p>
    <w:p w14:paraId="4CA2CC20" w14:textId="77777777" w:rsidR="00413283" w:rsidRPr="009C12F8" w:rsidRDefault="009C12F8">
      <w:r w:rsidRPr="009C12F8">
        <w:t xml:space="preserve">Marketing is an essential factor of the growth of a business organisation in terms of increasing sales of the products and services of the company. In addition, with the effective marketing approach a company can reach out to the target customer to develop brand awareness by providing necessary information and features of the selling products. However, the internal and the external environmental factors, such as globalisation, digitalisation, global market competition and others  of a company can impact on the marketing strategy of that organisation.  Hence, in this study discussion on the internal and external environmental influencing factors on marketing approaches of an organisation has been conducted. Moreover, this environmental marketing has been conducted for a chosen company named, GlaxoSmithKline (GSK) Plc., which is a United Kingdom (UK) based multinational organisation. </w:t>
      </w:r>
    </w:p>
    <w:p w14:paraId="1C7DCEF4" w14:textId="77777777" w:rsidR="00413283" w:rsidRPr="009C12F8" w:rsidRDefault="009C12F8">
      <w:pPr>
        <w:pStyle w:val="Heading1"/>
      </w:pPr>
      <w:bookmarkStart w:id="3" w:name="_t3wuh26jbmud" w:colFirst="0" w:colLast="0"/>
      <w:bookmarkStart w:id="4" w:name="_Toc113493893"/>
      <w:bookmarkEnd w:id="3"/>
      <w:r w:rsidRPr="009C12F8">
        <w:t>2. Brief Overview of GlaxoSmithKline (GSK) Plc.</w:t>
      </w:r>
      <w:bookmarkEnd w:id="4"/>
      <w:r w:rsidRPr="009C12F8">
        <w:t xml:space="preserve"> </w:t>
      </w:r>
    </w:p>
    <w:p w14:paraId="21792CA0" w14:textId="77777777" w:rsidR="00413283" w:rsidRPr="009C12F8" w:rsidRDefault="009C12F8">
      <w:r w:rsidRPr="009C12F8">
        <w:t xml:space="preserve">GlaxoSmithKline (GSK) Plc. is a public limited multinational company based in Britain which majorly deals with biotechnology and pharmaceutical products and services which was established after the merger of SmithKline Beecham and GlaxoWellcome (Kumar, 2018). </w:t>
      </w:r>
    </w:p>
    <w:p w14:paraId="40B1C2A1" w14:textId="77777777" w:rsidR="00413283" w:rsidRPr="009C12F8" w:rsidRDefault="009C12F8">
      <w:pPr>
        <w:jc w:val="center"/>
      </w:pPr>
      <w:r w:rsidRPr="009C12F8">
        <w:rPr>
          <w:noProof/>
        </w:rPr>
        <w:drawing>
          <wp:inline distT="114300" distB="114300" distL="114300" distR="114300" wp14:anchorId="24DEF365" wp14:editId="182C416F">
            <wp:extent cx="5296040" cy="3530693"/>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96040" cy="3530693"/>
                    </a:xfrm>
                    <a:prstGeom prst="rect">
                      <a:avLst/>
                    </a:prstGeom>
                    <a:ln w="12700">
                      <a:solidFill>
                        <a:srgbClr val="000000"/>
                      </a:solidFill>
                      <a:prstDash val="solid"/>
                    </a:ln>
                  </pic:spPr>
                </pic:pic>
              </a:graphicData>
            </a:graphic>
          </wp:inline>
        </w:drawing>
      </w:r>
    </w:p>
    <w:p w14:paraId="7E845F6B" w14:textId="77777777" w:rsidR="00413283" w:rsidRPr="009C12F8" w:rsidRDefault="009C12F8">
      <w:pPr>
        <w:jc w:val="center"/>
        <w:rPr>
          <w:b/>
          <w:i/>
        </w:rPr>
      </w:pPr>
      <w:r w:rsidRPr="009C12F8">
        <w:rPr>
          <w:b/>
          <w:i/>
        </w:rPr>
        <w:t xml:space="preserve">Figure 1: Merger of SmithKline Beecham and GlaxoWellcome </w:t>
      </w:r>
    </w:p>
    <w:p w14:paraId="374D9045" w14:textId="77777777" w:rsidR="00413283" w:rsidRPr="009C12F8" w:rsidRDefault="009C12F8">
      <w:pPr>
        <w:jc w:val="center"/>
      </w:pPr>
      <w:r w:rsidRPr="009C12F8">
        <w:lastRenderedPageBreak/>
        <w:t>(Source: GSK Plc., 2022a)</w:t>
      </w:r>
    </w:p>
    <w:p w14:paraId="35A47F68" w14:textId="77777777" w:rsidR="00413283" w:rsidRPr="009C12F8" w:rsidRDefault="009C12F8">
      <w:r w:rsidRPr="009C12F8">
        <w:t>The supply chain of GSK Plc. especially involved in delivering the pharmaceutical products, namely, vaccines, specialty medicines and general medicines which are usually formulated while considering the symptoms of polio, measles, HIV, respiratory diseases and cancer (GSK Plc., 2022b).</w:t>
      </w:r>
    </w:p>
    <w:p w14:paraId="02B8988B" w14:textId="77777777" w:rsidR="00413283" w:rsidRPr="009C12F8" w:rsidRDefault="009C12F8">
      <w:pPr>
        <w:jc w:val="center"/>
      </w:pPr>
      <w:r w:rsidRPr="009C12F8">
        <w:rPr>
          <w:noProof/>
        </w:rPr>
        <w:drawing>
          <wp:inline distT="114300" distB="114300" distL="114300" distR="114300" wp14:anchorId="74D70DB2" wp14:editId="793565B7">
            <wp:extent cx="2581275" cy="869026"/>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l="9455" t="30769" r="9615" b="30288"/>
                    <a:stretch>
                      <a:fillRect/>
                    </a:stretch>
                  </pic:blipFill>
                  <pic:spPr>
                    <a:xfrm>
                      <a:off x="0" y="0"/>
                      <a:ext cx="2581275" cy="869026"/>
                    </a:xfrm>
                    <a:prstGeom prst="rect">
                      <a:avLst/>
                    </a:prstGeom>
                    <a:ln w="12700">
                      <a:solidFill>
                        <a:srgbClr val="000000"/>
                      </a:solidFill>
                      <a:prstDash val="solid"/>
                    </a:ln>
                  </pic:spPr>
                </pic:pic>
              </a:graphicData>
            </a:graphic>
          </wp:inline>
        </w:drawing>
      </w:r>
      <w:r w:rsidRPr="009C12F8">
        <w:rPr>
          <w:noProof/>
        </w:rPr>
        <w:drawing>
          <wp:inline distT="114300" distB="114300" distL="114300" distR="114300" wp14:anchorId="108C07A8" wp14:editId="670E7A57">
            <wp:extent cx="828675" cy="849976"/>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828675" cy="849976"/>
                    </a:xfrm>
                    <a:prstGeom prst="rect">
                      <a:avLst/>
                    </a:prstGeom>
                    <a:ln w="12700">
                      <a:solidFill>
                        <a:srgbClr val="000000"/>
                      </a:solidFill>
                      <a:prstDash val="solid"/>
                    </a:ln>
                  </pic:spPr>
                </pic:pic>
              </a:graphicData>
            </a:graphic>
          </wp:inline>
        </w:drawing>
      </w:r>
    </w:p>
    <w:p w14:paraId="7EC0C537" w14:textId="20A16045" w:rsidR="00413283" w:rsidRDefault="009C12F8">
      <w:pPr>
        <w:jc w:val="center"/>
        <w:rPr>
          <w:b/>
          <w:i/>
        </w:rPr>
      </w:pPr>
      <w:r w:rsidRPr="009C12F8">
        <w:rPr>
          <w:b/>
          <w:i/>
        </w:rPr>
        <w:t xml:space="preserve">Figure 2: Logo of Stiefel Laboratories and Viiv Healthcare </w:t>
      </w:r>
    </w:p>
    <w:p w14:paraId="055325EC" w14:textId="77777777" w:rsidR="00390046" w:rsidRPr="009C12F8" w:rsidRDefault="00390046" w:rsidP="00390046">
      <w:pPr>
        <w:jc w:val="center"/>
      </w:pPr>
      <w:r w:rsidRPr="009C12F8">
        <w:t>(Source: GSK Plc., 2022a)</w:t>
      </w:r>
    </w:p>
    <w:p w14:paraId="445ABC14" w14:textId="77777777" w:rsidR="00413283" w:rsidRPr="009C12F8" w:rsidRDefault="009C12F8">
      <w:r w:rsidRPr="009C12F8">
        <w:t>This diverse range of products help the company to achieve its aim of improving the quality of human life with the help of its more than 90,000 employees. GSK Plc. along with its subsidiaries, namely, Stiefel Laboratories and Viiv Healthcare aimed to launch vaccines for Respiratory Syncytial Virus (RSV) by FY2026 (GSK Plc., 2022c). Thus, as the company aims to develop the products consistently every year, it helps the company to increase its revenue by £34.114 billion in FY2021 (GSK Plc., 2021c). Therefore, the evaluation of the marketing strategy of GSK Plc. would help gain an insight regarding the drug and pharmaceutical industry.</w:t>
      </w:r>
    </w:p>
    <w:p w14:paraId="67EE27CD" w14:textId="6223F4D1" w:rsidR="00413283" w:rsidRPr="009C12F8" w:rsidRDefault="009C12F8" w:rsidP="000071F8">
      <w:pPr>
        <w:pStyle w:val="Heading1"/>
      </w:pPr>
      <w:bookmarkStart w:id="5" w:name="_pdt57jnbj7am" w:colFirst="0" w:colLast="0"/>
      <w:bookmarkStart w:id="6" w:name="_Toc113493894"/>
      <w:bookmarkEnd w:id="5"/>
      <w:r w:rsidRPr="009C12F8">
        <w:t>3. Critical evaluation of environmental marketing factors of GSK Plc.</w:t>
      </w:r>
      <w:bookmarkEnd w:id="6"/>
    </w:p>
    <w:p w14:paraId="3679C9D3" w14:textId="77777777" w:rsidR="00413283" w:rsidRPr="009C12F8" w:rsidRDefault="009C12F8">
      <w:pPr>
        <w:pStyle w:val="Heading2"/>
      </w:pPr>
      <w:bookmarkStart w:id="7" w:name="_vdrsh3nnfpw0" w:colFirst="0" w:colLast="0"/>
      <w:bookmarkStart w:id="8" w:name="_Toc113493895"/>
      <w:bookmarkEnd w:id="7"/>
      <w:r w:rsidRPr="009C12F8">
        <w:t>3.1 Identification of the key influencing factors of the external marketing environment</w:t>
      </w:r>
      <w:bookmarkEnd w:id="8"/>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87"/>
        <w:gridCol w:w="4670"/>
        <w:gridCol w:w="2783"/>
      </w:tblGrid>
      <w:tr w:rsidR="00413283" w:rsidRPr="009C12F8" w14:paraId="39CF8BA2" w14:textId="77777777" w:rsidTr="000071F8">
        <w:trPr>
          <w:jc w:val="center"/>
        </w:trPr>
        <w:tc>
          <w:tcPr>
            <w:tcW w:w="1010" w:type="pct"/>
            <w:shd w:val="clear" w:color="auto" w:fill="DD7E6B"/>
            <w:tcMar>
              <w:top w:w="100" w:type="dxa"/>
              <w:left w:w="100" w:type="dxa"/>
              <w:bottom w:w="100" w:type="dxa"/>
              <w:right w:w="100" w:type="dxa"/>
            </w:tcMar>
          </w:tcPr>
          <w:p w14:paraId="79408222" w14:textId="77777777" w:rsidR="00413283" w:rsidRPr="009C12F8" w:rsidRDefault="009C12F8">
            <w:pPr>
              <w:widowControl w:val="0"/>
              <w:pBdr>
                <w:top w:val="nil"/>
                <w:left w:val="nil"/>
                <w:bottom w:val="nil"/>
                <w:right w:val="nil"/>
                <w:between w:val="nil"/>
              </w:pBdr>
              <w:jc w:val="center"/>
              <w:rPr>
                <w:b/>
              </w:rPr>
            </w:pPr>
            <w:r w:rsidRPr="009C12F8">
              <w:rPr>
                <w:b/>
              </w:rPr>
              <w:t xml:space="preserve">Factors </w:t>
            </w:r>
          </w:p>
        </w:tc>
        <w:tc>
          <w:tcPr>
            <w:tcW w:w="2500" w:type="pct"/>
            <w:shd w:val="clear" w:color="auto" w:fill="DD7E6B"/>
            <w:tcMar>
              <w:top w:w="100" w:type="dxa"/>
              <w:left w:w="100" w:type="dxa"/>
              <w:bottom w:w="100" w:type="dxa"/>
              <w:right w:w="100" w:type="dxa"/>
            </w:tcMar>
          </w:tcPr>
          <w:p w14:paraId="3ACD546D" w14:textId="77777777" w:rsidR="00413283" w:rsidRPr="009C12F8" w:rsidRDefault="009C12F8">
            <w:pPr>
              <w:widowControl w:val="0"/>
              <w:pBdr>
                <w:top w:val="nil"/>
                <w:left w:val="nil"/>
                <w:bottom w:val="nil"/>
                <w:right w:val="nil"/>
                <w:between w:val="nil"/>
              </w:pBdr>
              <w:jc w:val="center"/>
              <w:rPr>
                <w:b/>
              </w:rPr>
            </w:pPr>
            <w:r w:rsidRPr="009C12F8">
              <w:rPr>
                <w:b/>
              </w:rPr>
              <w:t xml:space="preserve">Description </w:t>
            </w:r>
          </w:p>
        </w:tc>
        <w:tc>
          <w:tcPr>
            <w:tcW w:w="1490" w:type="pct"/>
            <w:shd w:val="clear" w:color="auto" w:fill="DD7E6B"/>
            <w:tcMar>
              <w:top w:w="100" w:type="dxa"/>
              <w:left w:w="100" w:type="dxa"/>
              <w:bottom w:w="100" w:type="dxa"/>
              <w:right w:w="100" w:type="dxa"/>
            </w:tcMar>
          </w:tcPr>
          <w:p w14:paraId="722CC006" w14:textId="77777777" w:rsidR="00413283" w:rsidRPr="009C12F8" w:rsidRDefault="009C12F8">
            <w:pPr>
              <w:widowControl w:val="0"/>
              <w:pBdr>
                <w:top w:val="nil"/>
                <w:left w:val="nil"/>
                <w:bottom w:val="nil"/>
                <w:right w:val="nil"/>
                <w:between w:val="nil"/>
              </w:pBdr>
              <w:jc w:val="center"/>
              <w:rPr>
                <w:b/>
              </w:rPr>
            </w:pPr>
            <w:r w:rsidRPr="009C12F8">
              <w:rPr>
                <w:b/>
              </w:rPr>
              <w:t xml:space="preserve">Opportunity or Threat </w:t>
            </w:r>
          </w:p>
        </w:tc>
      </w:tr>
      <w:tr w:rsidR="00413283" w:rsidRPr="009C12F8" w14:paraId="5458DC61" w14:textId="77777777" w:rsidTr="000071F8">
        <w:trPr>
          <w:jc w:val="center"/>
        </w:trPr>
        <w:tc>
          <w:tcPr>
            <w:tcW w:w="1010" w:type="pct"/>
            <w:shd w:val="clear" w:color="auto" w:fill="auto"/>
            <w:tcMar>
              <w:top w:w="100" w:type="dxa"/>
              <w:left w:w="100" w:type="dxa"/>
              <w:bottom w:w="100" w:type="dxa"/>
              <w:right w:w="100" w:type="dxa"/>
            </w:tcMar>
          </w:tcPr>
          <w:p w14:paraId="6A2C9D97" w14:textId="77777777" w:rsidR="00413283" w:rsidRPr="009C12F8" w:rsidRDefault="009C12F8">
            <w:pPr>
              <w:widowControl w:val="0"/>
              <w:pBdr>
                <w:top w:val="nil"/>
                <w:left w:val="nil"/>
                <w:bottom w:val="nil"/>
                <w:right w:val="nil"/>
                <w:between w:val="nil"/>
              </w:pBdr>
              <w:jc w:val="left"/>
              <w:rPr>
                <w:b/>
              </w:rPr>
            </w:pPr>
            <w:r w:rsidRPr="009C12F8">
              <w:rPr>
                <w:b/>
              </w:rPr>
              <w:t>Political</w:t>
            </w:r>
          </w:p>
        </w:tc>
        <w:tc>
          <w:tcPr>
            <w:tcW w:w="2500" w:type="pct"/>
            <w:shd w:val="clear" w:color="auto" w:fill="auto"/>
            <w:tcMar>
              <w:top w:w="100" w:type="dxa"/>
              <w:left w:w="100" w:type="dxa"/>
              <w:bottom w:w="100" w:type="dxa"/>
              <w:right w:w="100" w:type="dxa"/>
            </w:tcMar>
          </w:tcPr>
          <w:p w14:paraId="4CA69E98" w14:textId="77777777" w:rsidR="00413283" w:rsidRPr="009C12F8" w:rsidRDefault="009C12F8">
            <w:pPr>
              <w:widowControl w:val="0"/>
              <w:pBdr>
                <w:top w:val="nil"/>
                <w:left w:val="nil"/>
                <w:bottom w:val="nil"/>
                <w:right w:val="nil"/>
                <w:between w:val="nil"/>
              </w:pBdr>
            </w:pPr>
            <w:r w:rsidRPr="009C12F8">
              <w:t xml:space="preserve">Brexit has impacted on the marketing strategy on the pharmaceutical industry of the UK as the flexible market access to the other European (EU) counties (Parliament of the UK, 2018). </w:t>
            </w:r>
          </w:p>
        </w:tc>
        <w:tc>
          <w:tcPr>
            <w:tcW w:w="1490" w:type="pct"/>
            <w:shd w:val="clear" w:color="auto" w:fill="auto"/>
            <w:tcMar>
              <w:top w:w="100" w:type="dxa"/>
              <w:left w:w="100" w:type="dxa"/>
              <w:bottom w:w="100" w:type="dxa"/>
              <w:right w:w="100" w:type="dxa"/>
            </w:tcMar>
          </w:tcPr>
          <w:p w14:paraId="2F1F06E9" w14:textId="77777777" w:rsidR="00413283" w:rsidRPr="009C12F8" w:rsidRDefault="009C12F8">
            <w:pPr>
              <w:widowControl w:val="0"/>
              <w:pBdr>
                <w:top w:val="nil"/>
                <w:left w:val="nil"/>
                <w:bottom w:val="nil"/>
                <w:right w:val="nil"/>
                <w:between w:val="nil"/>
              </w:pBdr>
            </w:pPr>
            <w:r w:rsidRPr="009C12F8">
              <w:t xml:space="preserve">Brexit has imposed threat to the UK pharmaceutical industry and in its marketing as this political movement has restricted the access to the EU markets which has cost a significant amount of </w:t>
            </w:r>
            <w:r w:rsidRPr="009C12F8">
              <w:lastRenderedPageBreak/>
              <w:t xml:space="preserve">losses, along with £11.9 billion of exports and more than 446 million potential patients and consumers in the EU (Parliament of the UK, 2018).   </w:t>
            </w:r>
          </w:p>
        </w:tc>
      </w:tr>
      <w:tr w:rsidR="00413283" w:rsidRPr="009C12F8" w14:paraId="50AFBBE5" w14:textId="77777777" w:rsidTr="000071F8">
        <w:trPr>
          <w:jc w:val="center"/>
        </w:trPr>
        <w:tc>
          <w:tcPr>
            <w:tcW w:w="1010" w:type="pct"/>
            <w:shd w:val="clear" w:color="auto" w:fill="auto"/>
            <w:tcMar>
              <w:top w:w="100" w:type="dxa"/>
              <w:left w:w="100" w:type="dxa"/>
              <w:bottom w:w="100" w:type="dxa"/>
              <w:right w:w="100" w:type="dxa"/>
            </w:tcMar>
          </w:tcPr>
          <w:p w14:paraId="700B56DE" w14:textId="77777777" w:rsidR="00413283" w:rsidRPr="009C12F8" w:rsidRDefault="009C12F8">
            <w:pPr>
              <w:widowControl w:val="0"/>
              <w:pBdr>
                <w:top w:val="nil"/>
                <w:left w:val="nil"/>
                <w:bottom w:val="nil"/>
                <w:right w:val="nil"/>
                <w:between w:val="nil"/>
              </w:pBdr>
              <w:jc w:val="left"/>
              <w:rPr>
                <w:b/>
              </w:rPr>
            </w:pPr>
            <w:r w:rsidRPr="009C12F8">
              <w:rPr>
                <w:b/>
              </w:rPr>
              <w:lastRenderedPageBreak/>
              <w:t xml:space="preserve">Economic </w:t>
            </w:r>
          </w:p>
        </w:tc>
        <w:tc>
          <w:tcPr>
            <w:tcW w:w="2500" w:type="pct"/>
            <w:shd w:val="clear" w:color="auto" w:fill="auto"/>
            <w:tcMar>
              <w:top w:w="100" w:type="dxa"/>
              <w:left w:w="100" w:type="dxa"/>
              <w:bottom w:w="100" w:type="dxa"/>
              <w:right w:w="100" w:type="dxa"/>
            </w:tcMar>
          </w:tcPr>
          <w:p w14:paraId="7E10767C" w14:textId="77777777" w:rsidR="00413283" w:rsidRPr="009C12F8" w:rsidRDefault="009C12F8">
            <w:pPr>
              <w:widowControl w:val="0"/>
              <w:pBdr>
                <w:top w:val="nil"/>
                <w:left w:val="nil"/>
                <w:bottom w:val="nil"/>
                <w:right w:val="nil"/>
                <w:between w:val="nil"/>
              </w:pBdr>
            </w:pPr>
            <w:r w:rsidRPr="009C12F8">
              <w:t xml:space="preserve">The pharmaceutical industries in economically emerging countries, such as  China, Brazil, India, and others have been increasing market competition (Tannoury and Attieh, 2017). Besides the global competition, the UK government has developed the </w:t>
            </w:r>
            <w:r w:rsidRPr="009C12F8">
              <w:rPr>
                <w:b/>
                <w:i/>
              </w:rPr>
              <w:t xml:space="preserve">Pharmaceutical Price Regulation Scheme or PPRS </w:t>
            </w:r>
            <w:r w:rsidRPr="009C12F8">
              <w:t xml:space="preserve">which limits the rate-of-return on the capital attributes to medicine sales to the National Health Services (NHS) and that is intended to maintain equal rate-of-return in the overall UK industry (National Health Services, 2022).    </w:t>
            </w:r>
          </w:p>
        </w:tc>
        <w:tc>
          <w:tcPr>
            <w:tcW w:w="1490" w:type="pct"/>
            <w:shd w:val="clear" w:color="auto" w:fill="auto"/>
            <w:tcMar>
              <w:top w:w="100" w:type="dxa"/>
              <w:left w:w="100" w:type="dxa"/>
              <w:bottom w:w="100" w:type="dxa"/>
              <w:right w:w="100" w:type="dxa"/>
            </w:tcMar>
          </w:tcPr>
          <w:p w14:paraId="589E6C5B" w14:textId="77777777" w:rsidR="00413283" w:rsidRPr="009C12F8" w:rsidRDefault="009C12F8">
            <w:pPr>
              <w:widowControl w:val="0"/>
              <w:pBdr>
                <w:top w:val="nil"/>
                <w:left w:val="nil"/>
                <w:bottom w:val="nil"/>
                <w:right w:val="nil"/>
                <w:between w:val="nil"/>
              </w:pBdr>
            </w:pPr>
            <w:r w:rsidRPr="009C12F8">
              <w:t>China already has the second highest market share in the world after the United States. In addition, China has 8% of the global market share in the pharmaceutical markets, whereas the UK has 2.5% of the global market share (Mikulic, 2020). Therefore, it can be a threat to the pharmaceutical industry of the UK.</w:t>
            </w:r>
          </w:p>
        </w:tc>
      </w:tr>
      <w:tr w:rsidR="00413283" w:rsidRPr="009C12F8" w14:paraId="5C107EBB" w14:textId="77777777" w:rsidTr="000071F8">
        <w:trPr>
          <w:jc w:val="center"/>
        </w:trPr>
        <w:tc>
          <w:tcPr>
            <w:tcW w:w="1010" w:type="pct"/>
            <w:shd w:val="clear" w:color="auto" w:fill="auto"/>
            <w:tcMar>
              <w:top w:w="100" w:type="dxa"/>
              <w:left w:w="100" w:type="dxa"/>
              <w:bottom w:w="100" w:type="dxa"/>
              <w:right w:w="100" w:type="dxa"/>
            </w:tcMar>
          </w:tcPr>
          <w:p w14:paraId="00C81C0F" w14:textId="77777777" w:rsidR="00413283" w:rsidRPr="009C12F8" w:rsidRDefault="009C12F8">
            <w:pPr>
              <w:widowControl w:val="0"/>
              <w:pBdr>
                <w:top w:val="nil"/>
                <w:left w:val="nil"/>
                <w:bottom w:val="nil"/>
                <w:right w:val="nil"/>
                <w:between w:val="nil"/>
              </w:pBdr>
              <w:rPr>
                <w:b/>
              </w:rPr>
            </w:pPr>
            <w:r w:rsidRPr="009C12F8">
              <w:rPr>
                <w:b/>
              </w:rPr>
              <w:t xml:space="preserve">Socio-cultural </w:t>
            </w:r>
          </w:p>
        </w:tc>
        <w:tc>
          <w:tcPr>
            <w:tcW w:w="2500" w:type="pct"/>
            <w:shd w:val="clear" w:color="auto" w:fill="auto"/>
            <w:tcMar>
              <w:top w:w="100" w:type="dxa"/>
              <w:left w:w="100" w:type="dxa"/>
              <w:bottom w:w="100" w:type="dxa"/>
              <w:right w:w="100" w:type="dxa"/>
            </w:tcMar>
          </w:tcPr>
          <w:p w14:paraId="17E91317" w14:textId="77777777" w:rsidR="00413283" w:rsidRPr="009C12F8" w:rsidRDefault="009C12F8">
            <w:pPr>
              <w:widowControl w:val="0"/>
              <w:pBdr>
                <w:top w:val="nil"/>
                <w:left w:val="nil"/>
                <w:bottom w:val="nil"/>
                <w:right w:val="nil"/>
                <w:between w:val="nil"/>
              </w:pBdr>
            </w:pPr>
            <w:r w:rsidRPr="009C12F8">
              <w:t>The ageing population in the world, including in the UK, has been increasing gradually, which has also developed the requirements of more needs of medicines and treatments to support this ageing population (McKee et al., 2021).</w:t>
            </w:r>
          </w:p>
        </w:tc>
        <w:tc>
          <w:tcPr>
            <w:tcW w:w="1490" w:type="pct"/>
            <w:shd w:val="clear" w:color="auto" w:fill="auto"/>
            <w:tcMar>
              <w:top w:w="100" w:type="dxa"/>
              <w:left w:w="100" w:type="dxa"/>
              <w:bottom w:w="100" w:type="dxa"/>
              <w:right w:w="100" w:type="dxa"/>
            </w:tcMar>
          </w:tcPr>
          <w:p w14:paraId="638E1034" w14:textId="77777777" w:rsidR="00413283" w:rsidRPr="009C12F8" w:rsidRDefault="009C12F8">
            <w:pPr>
              <w:widowControl w:val="0"/>
              <w:pBdr>
                <w:top w:val="nil"/>
                <w:left w:val="nil"/>
                <w:bottom w:val="nil"/>
                <w:right w:val="nil"/>
                <w:between w:val="nil"/>
              </w:pBdr>
            </w:pPr>
            <w:r w:rsidRPr="009C12F8">
              <w:t xml:space="preserve">As a phenomenon of potential opportunity, it has been estimated that within 2050, 80% of the number of people aged over 60 years would be increased to 22%. Which was 12% in 2015. In that situation, the pharmaceutical industry of </w:t>
            </w:r>
            <w:r w:rsidRPr="009C12F8">
              <w:lastRenderedPageBreak/>
              <w:t xml:space="preserve">every country would play a vital role to provide cost-effective and necessary medicine to the world population. </w:t>
            </w:r>
          </w:p>
        </w:tc>
      </w:tr>
      <w:tr w:rsidR="00413283" w:rsidRPr="009C12F8" w14:paraId="335613B6" w14:textId="77777777" w:rsidTr="000071F8">
        <w:trPr>
          <w:jc w:val="center"/>
        </w:trPr>
        <w:tc>
          <w:tcPr>
            <w:tcW w:w="1010" w:type="pct"/>
            <w:shd w:val="clear" w:color="auto" w:fill="auto"/>
            <w:tcMar>
              <w:top w:w="100" w:type="dxa"/>
              <w:left w:w="100" w:type="dxa"/>
              <w:bottom w:w="100" w:type="dxa"/>
              <w:right w:w="100" w:type="dxa"/>
            </w:tcMar>
          </w:tcPr>
          <w:p w14:paraId="7FDABA60" w14:textId="77777777" w:rsidR="00413283" w:rsidRPr="009C12F8" w:rsidRDefault="009C12F8">
            <w:pPr>
              <w:widowControl w:val="0"/>
              <w:pBdr>
                <w:top w:val="nil"/>
                <w:left w:val="nil"/>
                <w:bottom w:val="nil"/>
                <w:right w:val="nil"/>
                <w:between w:val="nil"/>
              </w:pBdr>
              <w:jc w:val="left"/>
              <w:rPr>
                <w:b/>
              </w:rPr>
            </w:pPr>
            <w:r w:rsidRPr="009C12F8">
              <w:rPr>
                <w:b/>
              </w:rPr>
              <w:lastRenderedPageBreak/>
              <w:t xml:space="preserve">Technological </w:t>
            </w:r>
          </w:p>
        </w:tc>
        <w:tc>
          <w:tcPr>
            <w:tcW w:w="2500" w:type="pct"/>
            <w:shd w:val="clear" w:color="auto" w:fill="auto"/>
            <w:tcMar>
              <w:top w:w="100" w:type="dxa"/>
              <w:left w:w="100" w:type="dxa"/>
              <w:bottom w:w="100" w:type="dxa"/>
              <w:right w:w="100" w:type="dxa"/>
            </w:tcMar>
          </w:tcPr>
          <w:p w14:paraId="052CEB0A" w14:textId="77777777" w:rsidR="00413283" w:rsidRPr="009C12F8" w:rsidRDefault="009C12F8">
            <w:pPr>
              <w:widowControl w:val="0"/>
              <w:pBdr>
                <w:top w:val="nil"/>
                <w:left w:val="nil"/>
                <w:bottom w:val="nil"/>
                <w:right w:val="nil"/>
                <w:between w:val="nil"/>
              </w:pBdr>
            </w:pPr>
            <w:r w:rsidRPr="009C12F8">
              <w:t xml:space="preserve">Digitalisation and other advancement in the field of technology has increased opportunities for marketing approaches of the UK pharmaceutical industry (Avdeychik, 2022). </w:t>
            </w:r>
          </w:p>
        </w:tc>
        <w:tc>
          <w:tcPr>
            <w:tcW w:w="1490" w:type="pct"/>
            <w:shd w:val="clear" w:color="auto" w:fill="auto"/>
            <w:tcMar>
              <w:top w:w="100" w:type="dxa"/>
              <w:left w:w="100" w:type="dxa"/>
              <w:bottom w:w="100" w:type="dxa"/>
              <w:right w:w="100" w:type="dxa"/>
            </w:tcMar>
          </w:tcPr>
          <w:p w14:paraId="2741A358" w14:textId="77777777" w:rsidR="00413283" w:rsidRPr="009C12F8" w:rsidRDefault="009C12F8">
            <w:pPr>
              <w:widowControl w:val="0"/>
            </w:pPr>
            <w:r w:rsidRPr="009C12F8">
              <w:t xml:space="preserve">As a factor of opportunity, digital marketing practices, through social media platforms, and other applications have enhanced the marketing quality of a company not only in the home country, but also internationally.  </w:t>
            </w:r>
          </w:p>
          <w:p w14:paraId="1C24301A" w14:textId="77777777" w:rsidR="00413283" w:rsidRPr="009C12F8" w:rsidRDefault="00413283">
            <w:pPr>
              <w:widowControl w:val="0"/>
              <w:pBdr>
                <w:top w:val="nil"/>
                <w:left w:val="nil"/>
                <w:bottom w:val="nil"/>
                <w:right w:val="nil"/>
                <w:between w:val="nil"/>
              </w:pBdr>
              <w:jc w:val="left"/>
            </w:pPr>
          </w:p>
        </w:tc>
      </w:tr>
      <w:tr w:rsidR="00413283" w:rsidRPr="009C12F8" w14:paraId="1521B082" w14:textId="77777777" w:rsidTr="000071F8">
        <w:trPr>
          <w:jc w:val="center"/>
        </w:trPr>
        <w:tc>
          <w:tcPr>
            <w:tcW w:w="1010" w:type="pct"/>
            <w:shd w:val="clear" w:color="auto" w:fill="auto"/>
            <w:tcMar>
              <w:top w:w="100" w:type="dxa"/>
              <w:left w:w="100" w:type="dxa"/>
              <w:bottom w:w="100" w:type="dxa"/>
              <w:right w:w="100" w:type="dxa"/>
            </w:tcMar>
          </w:tcPr>
          <w:p w14:paraId="083F04C9" w14:textId="77777777" w:rsidR="00413283" w:rsidRPr="009C12F8" w:rsidRDefault="009C12F8">
            <w:pPr>
              <w:widowControl w:val="0"/>
              <w:pBdr>
                <w:top w:val="nil"/>
                <w:left w:val="nil"/>
                <w:bottom w:val="nil"/>
                <w:right w:val="nil"/>
                <w:between w:val="nil"/>
              </w:pBdr>
              <w:jc w:val="left"/>
              <w:rPr>
                <w:b/>
              </w:rPr>
            </w:pPr>
            <w:r w:rsidRPr="009C12F8">
              <w:rPr>
                <w:b/>
              </w:rPr>
              <w:t>Legal</w:t>
            </w:r>
          </w:p>
        </w:tc>
        <w:tc>
          <w:tcPr>
            <w:tcW w:w="2500" w:type="pct"/>
            <w:shd w:val="clear" w:color="auto" w:fill="auto"/>
            <w:tcMar>
              <w:top w:w="100" w:type="dxa"/>
              <w:left w:w="100" w:type="dxa"/>
              <w:bottom w:w="100" w:type="dxa"/>
              <w:right w:w="100" w:type="dxa"/>
            </w:tcMar>
          </w:tcPr>
          <w:p w14:paraId="74A75A6C" w14:textId="77777777" w:rsidR="00413283" w:rsidRPr="009C12F8" w:rsidRDefault="009C12F8">
            <w:pPr>
              <w:widowControl w:val="0"/>
              <w:pBdr>
                <w:top w:val="nil"/>
                <w:left w:val="nil"/>
                <w:bottom w:val="nil"/>
                <w:right w:val="nil"/>
                <w:between w:val="nil"/>
              </w:pBdr>
            </w:pPr>
            <w:r w:rsidRPr="009C12F8">
              <w:t xml:space="preserve">The UK pharmaceutical industry has to consider the regulations and laws which have been developed to maintain the quality and effectiveness of the medicines and relevant equipment in the healthcare sector. </w:t>
            </w:r>
          </w:p>
        </w:tc>
        <w:tc>
          <w:tcPr>
            <w:tcW w:w="1490" w:type="pct"/>
            <w:shd w:val="clear" w:color="auto" w:fill="auto"/>
            <w:tcMar>
              <w:top w:w="100" w:type="dxa"/>
              <w:left w:w="100" w:type="dxa"/>
              <w:bottom w:w="100" w:type="dxa"/>
              <w:right w:w="100" w:type="dxa"/>
            </w:tcMar>
          </w:tcPr>
          <w:p w14:paraId="5344E568" w14:textId="77777777" w:rsidR="00413283" w:rsidRPr="009C12F8" w:rsidRDefault="009C12F8">
            <w:pPr>
              <w:widowControl w:val="0"/>
              <w:pBdr>
                <w:top w:val="nil"/>
                <w:left w:val="nil"/>
                <w:bottom w:val="nil"/>
                <w:right w:val="nil"/>
                <w:between w:val="nil"/>
              </w:pBdr>
            </w:pPr>
            <w:r w:rsidRPr="009C12F8">
              <w:t xml:space="preserve">Proper maintenance of legal regulations would not impose any threat to the industry. </w:t>
            </w:r>
          </w:p>
        </w:tc>
      </w:tr>
      <w:tr w:rsidR="00413283" w:rsidRPr="009C12F8" w14:paraId="30FAC3BC" w14:textId="77777777" w:rsidTr="000071F8">
        <w:trPr>
          <w:jc w:val="center"/>
        </w:trPr>
        <w:tc>
          <w:tcPr>
            <w:tcW w:w="1010" w:type="pct"/>
            <w:shd w:val="clear" w:color="auto" w:fill="auto"/>
            <w:tcMar>
              <w:top w:w="100" w:type="dxa"/>
              <w:left w:w="100" w:type="dxa"/>
              <w:bottom w:w="100" w:type="dxa"/>
              <w:right w:w="100" w:type="dxa"/>
            </w:tcMar>
          </w:tcPr>
          <w:p w14:paraId="487D2A04" w14:textId="77777777" w:rsidR="00413283" w:rsidRPr="009C12F8" w:rsidRDefault="009C12F8">
            <w:pPr>
              <w:widowControl w:val="0"/>
              <w:pBdr>
                <w:top w:val="nil"/>
                <w:left w:val="nil"/>
                <w:bottom w:val="nil"/>
                <w:right w:val="nil"/>
                <w:between w:val="nil"/>
              </w:pBdr>
              <w:jc w:val="left"/>
              <w:rPr>
                <w:b/>
              </w:rPr>
            </w:pPr>
            <w:r w:rsidRPr="009C12F8">
              <w:rPr>
                <w:b/>
              </w:rPr>
              <w:t xml:space="preserve">Environmental </w:t>
            </w:r>
          </w:p>
        </w:tc>
        <w:tc>
          <w:tcPr>
            <w:tcW w:w="2500" w:type="pct"/>
            <w:shd w:val="clear" w:color="auto" w:fill="auto"/>
            <w:tcMar>
              <w:top w:w="100" w:type="dxa"/>
              <w:left w:w="100" w:type="dxa"/>
              <w:bottom w:w="100" w:type="dxa"/>
              <w:right w:w="100" w:type="dxa"/>
            </w:tcMar>
          </w:tcPr>
          <w:p w14:paraId="04C1BD8A" w14:textId="77777777" w:rsidR="00413283" w:rsidRPr="009C12F8" w:rsidRDefault="009C12F8">
            <w:pPr>
              <w:widowControl w:val="0"/>
              <w:pBdr>
                <w:top w:val="nil"/>
                <w:left w:val="nil"/>
                <w:bottom w:val="nil"/>
                <w:right w:val="nil"/>
                <w:between w:val="nil"/>
              </w:pBdr>
            </w:pPr>
            <w:r w:rsidRPr="009C12F8">
              <w:t xml:space="preserve">The pharmaceutical industry has an increased carbon foot-print that is also affecting environmental pollution in the UK (Cussans et al., 2021). </w:t>
            </w:r>
          </w:p>
        </w:tc>
        <w:tc>
          <w:tcPr>
            <w:tcW w:w="1490" w:type="pct"/>
            <w:shd w:val="clear" w:color="auto" w:fill="auto"/>
            <w:tcMar>
              <w:top w:w="100" w:type="dxa"/>
              <w:left w:w="100" w:type="dxa"/>
              <w:bottom w:w="100" w:type="dxa"/>
              <w:right w:w="100" w:type="dxa"/>
            </w:tcMar>
          </w:tcPr>
          <w:p w14:paraId="179101B2" w14:textId="77777777" w:rsidR="00413283" w:rsidRPr="009C12F8" w:rsidRDefault="009C12F8">
            <w:r w:rsidRPr="009C12F8">
              <w:t xml:space="preserve">The Sustainable Development Commission of the NHS indicated that the pharmaceutical industry contributes 16.25% in the carbon emission from the healthcare sector (Ray, Sharma and Sadasivam, </w:t>
            </w:r>
            <w:r w:rsidRPr="009C12F8">
              <w:lastRenderedPageBreak/>
              <w:t xml:space="preserve">2021). This phenomenon can be indicated as a threat to the industry from the perspective of environmental sustainability. </w:t>
            </w:r>
          </w:p>
        </w:tc>
      </w:tr>
    </w:tbl>
    <w:p w14:paraId="1F33D45F" w14:textId="77777777" w:rsidR="00413283" w:rsidRPr="009C12F8" w:rsidRDefault="009C12F8">
      <w:pPr>
        <w:jc w:val="center"/>
        <w:rPr>
          <w:b/>
          <w:i/>
        </w:rPr>
      </w:pPr>
      <w:r w:rsidRPr="009C12F8">
        <w:rPr>
          <w:b/>
          <w:i/>
        </w:rPr>
        <w:lastRenderedPageBreak/>
        <w:t xml:space="preserve">Table 1: PESTLE Analysis of the UK pharmaceutical industry </w:t>
      </w:r>
    </w:p>
    <w:p w14:paraId="22670885" w14:textId="77777777" w:rsidR="00413283" w:rsidRPr="009C12F8" w:rsidRDefault="009C12F8">
      <w:pPr>
        <w:pStyle w:val="Heading2"/>
      </w:pPr>
      <w:bookmarkStart w:id="9" w:name="_o2kdi5p9vxuc" w:colFirst="0" w:colLast="0"/>
      <w:bookmarkStart w:id="10" w:name="_Toc113493896"/>
      <w:bookmarkEnd w:id="9"/>
      <w:r w:rsidRPr="009C12F8">
        <w:t>3.2 Determination of the major influencing factors of the internal marketing environment</w:t>
      </w:r>
      <w:bookmarkEnd w:id="10"/>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85"/>
        <w:gridCol w:w="4655"/>
      </w:tblGrid>
      <w:tr w:rsidR="00413283" w:rsidRPr="009C12F8" w14:paraId="6E027F19" w14:textId="77777777" w:rsidTr="000071F8">
        <w:tc>
          <w:tcPr>
            <w:tcW w:w="2508" w:type="pct"/>
            <w:shd w:val="clear" w:color="auto" w:fill="FFF2CC"/>
            <w:tcMar>
              <w:top w:w="100" w:type="dxa"/>
              <w:left w:w="100" w:type="dxa"/>
              <w:bottom w:w="100" w:type="dxa"/>
              <w:right w:w="100" w:type="dxa"/>
            </w:tcMar>
          </w:tcPr>
          <w:p w14:paraId="65BE9F25" w14:textId="77777777" w:rsidR="00413283" w:rsidRPr="009C12F8" w:rsidRDefault="009C12F8">
            <w:pPr>
              <w:widowControl w:val="0"/>
              <w:pBdr>
                <w:top w:val="nil"/>
                <w:left w:val="nil"/>
                <w:bottom w:val="nil"/>
                <w:right w:val="nil"/>
                <w:between w:val="nil"/>
              </w:pBdr>
              <w:jc w:val="center"/>
              <w:rPr>
                <w:b/>
                <w:i/>
              </w:rPr>
            </w:pPr>
            <w:r w:rsidRPr="009C12F8">
              <w:rPr>
                <w:b/>
                <w:i/>
              </w:rPr>
              <w:t xml:space="preserve">Strength </w:t>
            </w:r>
          </w:p>
        </w:tc>
        <w:tc>
          <w:tcPr>
            <w:tcW w:w="2492" w:type="pct"/>
            <w:shd w:val="clear" w:color="auto" w:fill="FFF2CC"/>
            <w:tcMar>
              <w:top w:w="100" w:type="dxa"/>
              <w:left w:w="100" w:type="dxa"/>
              <w:bottom w:w="100" w:type="dxa"/>
              <w:right w:w="100" w:type="dxa"/>
            </w:tcMar>
          </w:tcPr>
          <w:p w14:paraId="5CEC3D8F" w14:textId="77777777" w:rsidR="00413283" w:rsidRPr="009C12F8" w:rsidRDefault="009C12F8">
            <w:pPr>
              <w:widowControl w:val="0"/>
              <w:pBdr>
                <w:top w:val="nil"/>
                <w:left w:val="nil"/>
                <w:bottom w:val="nil"/>
                <w:right w:val="nil"/>
                <w:between w:val="nil"/>
              </w:pBdr>
              <w:jc w:val="center"/>
              <w:rPr>
                <w:b/>
                <w:i/>
              </w:rPr>
            </w:pPr>
            <w:r w:rsidRPr="009C12F8">
              <w:rPr>
                <w:b/>
                <w:i/>
              </w:rPr>
              <w:t>Weaknesses</w:t>
            </w:r>
          </w:p>
        </w:tc>
      </w:tr>
      <w:tr w:rsidR="00413283" w:rsidRPr="009C12F8" w14:paraId="402AAF66" w14:textId="77777777" w:rsidTr="000071F8">
        <w:tc>
          <w:tcPr>
            <w:tcW w:w="2508" w:type="pct"/>
            <w:shd w:val="clear" w:color="auto" w:fill="auto"/>
            <w:tcMar>
              <w:top w:w="100" w:type="dxa"/>
              <w:left w:w="100" w:type="dxa"/>
              <w:bottom w:w="100" w:type="dxa"/>
              <w:right w:w="100" w:type="dxa"/>
            </w:tcMar>
          </w:tcPr>
          <w:p w14:paraId="70D2CE5A" w14:textId="77777777" w:rsidR="00413283" w:rsidRPr="009C12F8" w:rsidRDefault="009C12F8">
            <w:pPr>
              <w:widowControl w:val="0"/>
              <w:numPr>
                <w:ilvl w:val="0"/>
                <w:numId w:val="2"/>
              </w:numPr>
              <w:pBdr>
                <w:top w:val="nil"/>
                <w:left w:val="nil"/>
                <w:bottom w:val="nil"/>
                <w:right w:val="nil"/>
                <w:between w:val="nil"/>
              </w:pBdr>
              <w:jc w:val="left"/>
            </w:pPr>
            <w:r w:rsidRPr="009C12F8">
              <w:rPr>
                <w:b/>
                <w:i/>
              </w:rPr>
              <w:t>Global Presence</w:t>
            </w:r>
            <w:r w:rsidRPr="009C12F8">
              <w:t xml:space="preserve"> </w:t>
            </w:r>
          </w:p>
          <w:p w14:paraId="62433EAA" w14:textId="77777777" w:rsidR="00413283" w:rsidRPr="009C12F8" w:rsidRDefault="009C12F8">
            <w:pPr>
              <w:widowControl w:val="0"/>
              <w:pBdr>
                <w:top w:val="nil"/>
                <w:left w:val="nil"/>
                <w:bottom w:val="nil"/>
                <w:right w:val="nil"/>
                <w:between w:val="nil"/>
              </w:pBdr>
              <w:jc w:val="left"/>
            </w:pPr>
            <w:r w:rsidRPr="009C12F8">
              <w:t xml:space="preserve">Creating a strong foothold in US and different Asian countries, limiting the risk of over-dependence on few markets. </w:t>
            </w:r>
          </w:p>
          <w:p w14:paraId="48C7F638" w14:textId="77777777" w:rsidR="00413283" w:rsidRPr="009C12F8" w:rsidRDefault="009C12F8">
            <w:pPr>
              <w:widowControl w:val="0"/>
              <w:numPr>
                <w:ilvl w:val="0"/>
                <w:numId w:val="2"/>
              </w:numPr>
              <w:pBdr>
                <w:top w:val="nil"/>
                <w:left w:val="nil"/>
                <w:bottom w:val="nil"/>
                <w:right w:val="nil"/>
                <w:between w:val="nil"/>
              </w:pBdr>
              <w:jc w:val="left"/>
              <w:rPr>
                <w:b/>
                <w:i/>
              </w:rPr>
            </w:pPr>
            <w:r w:rsidRPr="009C12F8">
              <w:rPr>
                <w:b/>
                <w:i/>
              </w:rPr>
              <w:t xml:space="preserve">Insignificant Research and Development </w:t>
            </w:r>
          </w:p>
          <w:p w14:paraId="3A3DA2DA" w14:textId="77777777" w:rsidR="00413283" w:rsidRPr="009C12F8" w:rsidRDefault="009C12F8">
            <w:r w:rsidRPr="009C12F8">
              <w:t xml:space="preserve">Constant progress in the field of biotechnology through incorporating technology-driven activities (GSK Plc., 2022b). </w:t>
            </w:r>
          </w:p>
          <w:p w14:paraId="699D5D3C" w14:textId="77777777" w:rsidR="00413283" w:rsidRPr="009C12F8" w:rsidRDefault="009C12F8">
            <w:pPr>
              <w:widowControl w:val="0"/>
              <w:numPr>
                <w:ilvl w:val="0"/>
                <w:numId w:val="2"/>
              </w:numPr>
              <w:pBdr>
                <w:top w:val="nil"/>
                <w:left w:val="nil"/>
                <w:bottom w:val="nil"/>
                <w:right w:val="nil"/>
                <w:between w:val="nil"/>
              </w:pBdr>
              <w:jc w:val="left"/>
              <w:rPr>
                <w:b/>
                <w:i/>
              </w:rPr>
            </w:pPr>
            <w:r w:rsidRPr="009C12F8">
              <w:rPr>
                <w:b/>
                <w:i/>
              </w:rPr>
              <w:t>Interconnected Sales and Distribution Network</w:t>
            </w:r>
          </w:p>
          <w:p w14:paraId="550EB10B" w14:textId="77777777" w:rsidR="00413283" w:rsidRPr="009C12F8" w:rsidRDefault="009C12F8">
            <w:r w:rsidRPr="009C12F8">
              <w:t xml:space="preserve">Brand recognition and sales enhancement is possible through an improved distribution network. </w:t>
            </w:r>
          </w:p>
          <w:p w14:paraId="2FAAE291" w14:textId="77777777" w:rsidR="00413283" w:rsidRPr="009C12F8" w:rsidRDefault="009C12F8">
            <w:pPr>
              <w:widowControl w:val="0"/>
              <w:numPr>
                <w:ilvl w:val="0"/>
                <w:numId w:val="2"/>
              </w:numPr>
              <w:pBdr>
                <w:top w:val="nil"/>
                <w:left w:val="nil"/>
                <w:bottom w:val="nil"/>
                <w:right w:val="nil"/>
                <w:between w:val="nil"/>
              </w:pBdr>
              <w:jc w:val="left"/>
            </w:pPr>
            <w:r w:rsidRPr="009C12F8">
              <w:rPr>
                <w:b/>
                <w:i/>
              </w:rPr>
              <w:t>Customer Relationship</w:t>
            </w:r>
            <w:r w:rsidRPr="009C12F8">
              <w:t xml:space="preserve"> </w:t>
            </w:r>
          </w:p>
          <w:p w14:paraId="49C299E9" w14:textId="77777777" w:rsidR="00413283" w:rsidRPr="009C12F8" w:rsidRDefault="009C12F8">
            <w:pPr>
              <w:widowControl w:val="0"/>
              <w:pBdr>
                <w:top w:val="nil"/>
                <w:left w:val="nil"/>
                <w:bottom w:val="nil"/>
                <w:right w:val="nil"/>
                <w:between w:val="nil"/>
              </w:pBdr>
              <w:jc w:val="left"/>
            </w:pPr>
            <w:r w:rsidRPr="009C12F8">
              <w:t xml:space="preserve">Effective Customer Relationship Management (CRM), helped in achieving a high degree of customer loyalty (GSK Plc., 2022b). </w:t>
            </w:r>
          </w:p>
        </w:tc>
        <w:tc>
          <w:tcPr>
            <w:tcW w:w="2492" w:type="pct"/>
            <w:shd w:val="clear" w:color="auto" w:fill="auto"/>
            <w:tcMar>
              <w:top w:w="100" w:type="dxa"/>
              <w:left w:w="100" w:type="dxa"/>
              <w:bottom w:w="100" w:type="dxa"/>
              <w:right w:w="100" w:type="dxa"/>
            </w:tcMar>
          </w:tcPr>
          <w:p w14:paraId="49975330" w14:textId="77777777" w:rsidR="00413283" w:rsidRPr="009C12F8" w:rsidRDefault="009C12F8">
            <w:pPr>
              <w:widowControl w:val="0"/>
              <w:numPr>
                <w:ilvl w:val="0"/>
                <w:numId w:val="3"/>
              </w:numPr>
              <w:pBdr>
                <w:top w:val="nil"/>
                <w:left w:val="nil"/>
                <w:bottom w:val="nil"/>
                <w:right w:val="nil"/>
                <w:between w:val="nil"/>
              </w:pBdr>
              <w:jc w:val="left"/>
              <w:rPr>
                <w:b/>
                <w:i/>
              </w:rPr>
            </w:pPr>
            <w:r w:rsidRPr="009C12F8">
              <w:rPr>
                <w:b/>
                <w:i/>
              </w:rPr>
              <w:t xml:space="preserve">Barriers from emerging markets </w:t>
            </w:r>
          </w:p>
          <w:p w14:paraId="4D5F4695" w14:textId="77777777" w:rsidR="00413283" w:rsidRPr="009C12F8" w:rsidRDefault="009C12F8">
            <w:r w:rsidRPr="009C12F8">
              <w:t xml:space="preserve">Cost-containment policies, shortage of expertise, poorly developed healthcare infrastructure, and less demand from emerging markets. </w:t>
            </w:r>
          </w:p>
          <w:p w14:paraId="5B239C6B" w14:textId="77777777" w:rsidR="00413283" w:rsidRPr="009C12F8" w:rsidRDefault="009C12F8">
            <w:pPr>
              <w:widowControl w:val="0"/>
              <w:numPr>
                <w:ilvl w:val="0"/>
                <w:numId w:val="3"/>
              </w:numPr>
              <w:pBdr>
                <w:top w:val="nil"/>
                <w:left w:val="nil"/>
                <w:bottom w:val="nil"/>
                <w:right w:val="nil"/>
                <w:between w:val="nil"/>
              </w:pBdr>
              <w:jc w:val="left"/>
              <w:rPr>
                <w:b/>
                <w:i/>
              </w:rPr>
            </w:pPr>
            <w:r w:rsidRPr="009C12F8">
              <w:rPr>
                <w:b/>
                <w:i/>
              </w:rPr>
              <w:t xml:space="preserve">Allegation </w:t>
            </w:r>
          </w:p>
          <w:p w14:paraId="003489FE" w14:textId="77777777" w:rsidR="00413283" w:rsidRPr="009C12F8" w:rsidRDefault="009C12F8">
            <w:r w:rsidRPr="009C12F8">
              <w:t xml:space="preserve">Brand image disturbed due to US foreign bribery charges and GSK had to pay $20 million to settle the case (Reuters, 2016). </w:t>
            </w:r>
          </w:p>
          <w:p w14:paraId="7A9E95EF" w14:textId="77777777" w:rsidR="00413283" w:rsidRPr="009C12F8" w:rsidRDefault="009C12F8">
            <w:pPr>
              <w:widowControl w:val="0"/>
              <w:numPr>
                <w:ilvl w:val="0"/>
                <w:numId w:val="3"/>
              </w:numPr>
              <w:pBdr>
                <w:top w:val="nil"/>
                <w:left w:val="nil"/>
                <w:bottom w:val="nil"/>
                <w:right w:val="nil"/>
                <w:between w:val="nil"/>
              </w:pBdr>
              <w:jc w:val="left"/>
              <w:rPr>
                <w:b/>
                <w:i/>
              </w:rPr>
            </w:pPr>
            <w:r w:rsidRPr="009C12F8">
              <w:rPr>
                <w:b/>
                <w:i/>
              </w:rPr>
              <w:t xml:space="preserve">Rise of Generic Medicine </w:t>
            </w:r>
          </w:p>
          <w:p w14:paraId="30EAE8AA" w14:textId="77777777" w:rsidR="00413283" w:rsidRPr="009C12F8" w:rsidRDefault="009C12F8">
            <w:r w:rsidRPr="009C12F8">
              <w:t xml:space="preserve">Competitive pharmaceutical industry is exposed to low-cost generic medicines. </w:t>
            </w:r>
          </w:p>
          <w:p w14:paraId="3EEC86C4" w14:textId="77777777" w:rsidR="00413283" w:rsidRPr="009C12F8" w:rsidRDefault="009C12F8">
            <w:pPr>
              <w:widowControl w:val="0"/>
              <w:numPr>
                <w:ilvl w:val="0"/>
                <w:numId w:val="3"/>
              </w:numPr>
              <w:pBdr>
                <w:top w:val="nil"/>
                <w:left w:val="nil"/>
                <w:bottom w:val="nil"/>
                <w:right w:val="nil"/>
                <w:between w:val="nil"/>
              </w:pBdr>
              <w:jc w:val="left"/>
              <w:rPr>
                <w:b/>
                <w:i/>
              </w:rPr>
            </w:pPr>
            <w:r w:rsidRPr="009C12F8">
              <w:rPr>
                <w:b/>
                <w:i/>
              </w:rPr>
              <w:t xml:space="preserve">Improper Forecasting </w:t>
            </w:r>
          </w:p>
          <w:p w14:paraId="12FAF236" w14:textId="77777777" w:rsidR="00413283" w:rsidRPr="009C12F8" w:rsidRDefault="009C12F8">
            <w:r w:rsidRPr="009C12F8">
              <w:t xml:space="preserve">Less sales rate compared to Pfizer occurs due to losing opportunity by improper forecasting (Kollewe, 2022). </w:t>
            </w:r>
          </w:p>
        </w:tc>
      </w:tr>
      <w:tr w:rsidR="00413283" w:rsidRPr="009C12F8" w14:paraId="5C9DB5A8" w14:textId="77777777" w:rsidTr="000071F8">
        <w:tc>
          <w:tcPr>
            <w:tcW w:w="2508" w:type="pct"/>
            <w:shd w:val="clear" w:color="auto" w:fill="FFF2CC"/>
            <w:tcMar>
              <w:top w:w="100" w:type="dxa"/>
              <w:left w:w="100" w:type="dxa"/>
              <w:bottom w:w="100" w:type="dxa"/>
              <w:right w:w="100" w:type="dxa"/>
            </w:tcMar>
          </w:tcPr>
          <w:p w14:paraId="4097B538" w14:textId="77777777" w:rsidR="00413283" w:rsidRPr="009C12F8" w:rsidRDefault="009C12F8">
            <w:pPr>
              <w:widowControl w:val="0"/>
              <w:pBdr>
                <w:top w:val="nil"/>
                <w:left w:val="nil"/>
                <w:bottom w:val="nil"/>
                <w:right w:val="nil"/>
                <w:between w:val="nil"/>
              </w:pBdr>
              <w:jc w:val="center"/>
              <w:rPr>
                <w:b/>
                <w:i/>
              </w:rPr>
            </w:pPr>
            <w:r w:rsidRPr="009C12F8">
              <w:rPr>
                <w:b/>
                <w:i/>
              </w:rPr>
              <w:lastRenderedPageBreak/>
              <w:t xml:space="preserve">Opportunities </w:t>
            </w:r>
          </w:p>
        </w:tc>
        <w:tc>
          <w:tcPr>
            <w:tcW w:w="2492" w:type="pct"/>
            <w:shd w:val="clear" w:color="auto" w:fill="FFF2CC"/>
            <w:tcMar>
              <w:top w:w="100" w:type="dxa"/>
              <w:left w:w="100" w:type="dxa"/>
              <w:bottom w:w="100" w:type="dxa"/>
              <w:right w:w="100" w:type="dxa"/>
            </w:tcMar>
          </w:tcPr>
          <w:p w14:paraId="17100508" w14:textId="77777777" w:rsidR="00413283" w:rsidRPr="009C12F8" w:rsidRDefault="009C12F8">
            <w:pPr>
              <w:widowControl w:val="0"/>
              <w:pBdr>
                <w:top w:val="nil"/>
                <w:left w:val="nil"/>
                <w:bottom w:val="nil"/>
                <w:right w:val="nil"/>
                <w:between w:val="nil"/>
              </w:pBdr>
              <w:jc w:val="center"/>
              <w:rPr>
                <w:b/>
                <w:i/>
              </w:rPr>
            </w:pPr>
            <w:r w:rsidRPr="009C12F8">
              <w:rPr>
                <w:b/>
                <w:i/>
              </w:rPr>
              <w:t xml:space="preserve">Threats </w:t>
            </w:r>
          </w:p>
        </w:tc>
      </w:tr>
      <w:tr w:rsidR="00413283" w:rsidRPr="009C12F8" w14:paraId="3667030C" w14:textId="77777777" w:rsidTr="000071F8">
        <w:tc>
          <w:tcPr>
            <w:tcW w:w="2508" w:type="pct"/>
            <w:shd w:val="clear" w:color="auto" w:fill="auto"/>
            <w:tcMar>
              <w:top w:w="100" w:type="dxa"/>
              <w:left w:w="100" w:type="dxa"/>
              <w:bottom w:w="100" w:type="dxa"/>
              <w:right w:w="100" w:type="dxa"/>
            </w:tcMar>
          </w:tcPr>
          <w:p w14:paraId="294EDF40" w14:textId="77777777" w:rsidR="00413283" w:rsidRPr="009C12F8" w:rsidRDefault="009C12F8">
            <w:pPr>
              <w:widowControl w:val="0"/>
              <w:numPr>
                <w:ilvl w:val="0"/>
                <w:numId w:val="4"/>
              </w:numPr>
              <w:pBdr>
                <w:top w:val="nil"/>
                <w:left w:val="nil"/>
                <w:bottom w:val="nil"/>
                <w:right w:val="nil"/>
                <w:between w:val="nil"/>
              </w:pBdr>
              <w:jc w:val="left"/>
              <w:rPr>
                <w:b/>
                <w:i/>
              </w:rPr>
            </w:pPr>
            <w:r w:rsidRPr="009C12F8">
              <w:rPr>
                <w:b/>
                <w:i/>
              </w:rPr>
              <w:t xml:space="preserve">Growth through collaboration and acquisition </w:t>
            </w:r>
          </w:p>
          <w:p w14:paraId="51D75F55" w14:textId="77777777" w:rsidR="00413283" w:rsidRPr="009C12F8" w:rsidRDefault="009C12F8">
            <w:r w:rsidRPr="009C12F8">
              <w:t xml:space="preserve">GSK signed an agreement with Novartis for  a Joint Venture for $13 billion (GSK Plc, 2018). </w:t>
            </w:r>
          </w:p>
          <w:p w14:paraId="4E712BDA" w14:textId="77777777" w:rsidR="00413283" w:rsidRPr="009C12F8" w:rsidRDefault="009C12F8">
            <w:pPr>
              <w:widowControl w:val="0"/>
              <w:numPr>
                <w:ilvl w:val="0"/>
                <w:numId w:val="4"/>
              </w:numPr>
              <w:pBdr>
                <w:top w:val="nil"/>
                <w:left w:val="nil"/>
                <w:bottom w:val="nil"/>
                <w:right w:val="nil"/>
                <w:between w:val="nil"/>
              </w:pBdr>
              <w:jc w:val="left"/>
              <w:rPr>
                <w:b/>
                <w:i/>
              </w:rPr>
            </w:pPr>
            <w:r w:rsidRPr="009C12F8">
              <w:rPr>
                <w:b/>
                <w:i/>
              </w:rPr>
              <w:t xml:space="preserve">New Technology usage </w:t>
            </w:r>
          </w:p>
          <w:p w14:paraId="66AC1A37" w14:textId="77777777" w:rsidR="00413283" w:rsidRPr="009C12F8" w:rsidRDefault="009C12F8">
            <w:r w:rsidRPr="009C12F8">
              <w:t xml:space="preserve">GSK has earned expertise in Artificial Intelligence (AI) and functional genomics to unlock complex genetic data (GSK Plc, 2022). </w:t>
            </w:r>
          </w:p>
          <w:p w14:paraId="7376AFE1" w14:textId="77777777" w:rsidR="00413283" w:rsidRPr="009C12F8" w:rsidRDefault="009C12F8">
            <w:pPr>
              <w:widowControl w:val="0"/>
              <w:numPr>
                <w:ilvl w:val="0"/>
                <w:numId w:val="4"/>
              </w:numPr>
              <w:pBdr>
                <w:top w:val="nil"/>
                <w:left w:val="nil"/>
                <w:bottom w:val="nil"/>
                <w:right w:val="nil"/>
                <w:between w:val="nil"/>
              </w:pBdr>
              <w:jc w:val="left"/>
              <w:rPr>
                <w:b/>
                <w:i/>
              </w:rPr>
            </w:pPr>
            <w:r w:rsidRPr="009C12F8">
              <w:rPr>
                <w:b/>
                <w:i/>
              </w:rPr>
              <w:t>Spread activities in vaccine industry</w:t>
            </w:r>
          </w:p>
          <w:p w14:paraId="2B464D44" w14:textId="77777777" w:rsidR="00413283" w:rsidRPr="009C12F8" w:rsidRDefault="009C12F8">
            <w:r w:rsidRPr="009C12F8">
              <w:t xml:space="preserve">GSK acquired Affinivax Inc., a biopharmaceutical company to develop a next generation vaccine through a technology platform known as Multiple Antigen Presentation System (GSK Plc, 2022).  </w:t>
            </w:r>
          </w:p>
          <w:p w14:paraId="430EED5D" w14:textId="77777777" w:rsidR="00413283" w:rsidRPr="009C12F8" w:rsidRDefault="009C12F8">
            <w:pPr>
              <w:widowControl w:val="0"/>
              <w:numPr>
                <w:ilvl w:val="0"/>
                <w:numId w:val="4"/>
              </w:numPr>
              <w:pBdr>
                <w:top w:val="nil"/>
                <w:left w:val="nil"/>
                <w:bottom w:val="nil"/>
                <w:right w:val="nil"/>
                <w:between w:val="nil"/>
              </w:pBdr>
              <w:jc w:val="left"/>
              <w:rPr>
                <w:b/>
                <w:i/>
              </w:rPr>
            </w:pPr>
            <w:r w:rsidRPr="009C12F8">
              <w:rPr>
                <w:b/>
                <w:i/>
              </w:rPr>
              <w:t xml:space="preserve">Increasing Demand through marketing </w:t>
            </w:r>
          </w:p>
          <w:p w14:paraId="2EB4E373" w14:textId="77777777" w:rsidR="00413283" w:rsidRPr="009C12F8" w:rsidRDefault="009C12F8">
            <w:r w:rsidRPr="009C12F8">
              <w:t xml:space="preserve">Promotion and marketing by GSK is fully validated on scientific evidence along with national prescribing information. </w:t>
            </w:r>
          </w:p>
        </w:tc>
        <w:tc>
          <w:tcPr>
            <w:tcW w:w="2492" w:type="pct"/>
            <w:shd w:val="clear" w:color="auto" w:fill="auto"/>
            <w:tcMar>
              <w:top w:w="100" w:type="dxa"/>
              <w:left w:w="100" w:type="dxa"/>
              <w:bottom w:w="100" w:type="dxa"/>
              <w:right w:w="100" w:type="dxa"/>
            </w:tcMar>
          </w:tcPr>
          <w:p w14:paraId="6C86845F" w14:textId="77777777" w:rsidR="00413283" w:rsidRPr="009C12F8" w:rsidRDefault="009C12F8">
            <w:pPr>
              <w:widowControl w:val="0"/>
              <w:numPr>
                <w:ilvl w:val="0"/>
                <w:numId w:val="5"/>
              </w:numPr>
              <w:pBdr>
                <w:top w:val="nil"/>
                <w:left w:val="nil"/>
                <w:bottom w:val="nil"/>
                <w:right w:val="nil"/>
                <w:between w:val="nil"/>
              </w:pBdr>
              <w:jc w:val="left"/>
              <w:rPr>
                <w:b/>
                <w:i/>
              </w:rPr>
            </w:pPr>
            <w:r w:rsidRPr="009C12F8">
              <w:rPr>
                <w:b/>
                <w:i/>
              </w:rPr>
              <w:t xml:space="preserve">Inflation and price control </w:t>
            </w:r>
          </w:p>
          <w:p w14:paraId="7F91294B" w14:textId="77777777" w:rsidR="00413283" w:rsidRPr="009C12F8" w:rsidRDefault="009C12F8">
            <w:r w:rsidRPr="009C12F8">
              <w:t xml:space="preserve">Rising inflation and pricing management strategy differs in each operative market resulting in constant changes in price control. </w:t>
            </w:r>
          </w:p>
          <w:p w14:paraId="7EEA1AF4" w14:textId="77777777" w:rsidR="00413283" w:rsidRPr="009C12F8" w:rsidRDefault="009C12F8">
            <w:pPr>
              <w:widowControl w:val="0"/>
              <w:numPr>
                <w:ilvl w:val="0"/>
                <w:numId w:val="5"/>
              </w:numPr>
              <w:jc w:val="left"/>
            </w:pPr>
            <w:r w:rsidRPr="009C12F8">
              <w:rPr>
                <w:b/>
                <w:i/>
              </w:rPr>
              <w:t xml:space="preserve">Industry Competition </w:t>
            </w:r>
          </w:p>
          <w:p w14:paraId="7618F474" w14:textId="77777777" w:rsidR="00413283" w:rsidRPr="009C12F8" w:rsidRDefault="009C12F8">
            <w:r w:rsidRPr="009C12F8">
              <w:t xml:space="preserve">Pfizer, AstraZeneca, Shire, Roche, Novartis are prominent UK-based pharmaceutical companies creating a cut-throat competition. </w:t>
            </w:r>
          </w:p>
        </w:tc>
      </w:tr>
    </w:tbl>
    <w:p w14:paraId="28ECB568" w14:textId="77777777" w:rsidR="00413283" w:rsidRPr="009C12F8" w:rsidRDefault="009C12F8">
      <w:pPr>
        <w:jc w:val="center"/>
        <w:rPr>
          <w:b/>
          <w:i/>
        </w:rPr>
      </w:pPr>
      <w:r w:rsidRPr="009C12F8">
        <w:rPr>
          <w:b/>
          <w:i/>
        </w:rPr>
        <w:t>Table 2: SWOT Analysis of GSK</w:t>
      </w:r>
    </w:p>
    <w:p w14:paraId="1BF82CA7" w14:textId="77777777" w:rsidR="00413283" w:rsidRPr="009C12F8" w:rsidRDefault="009C12F8">
      <w:pPr>
        <w:pStyle w:val="Heading1"/>
      </w:pPr>
      <w:bookmarkStart w:id="11" w:name="_bq5pvqv3suo0" w:colFirst="0" w:colLast="0"/>
      <w:bookmarkStart w:id="12" w:name="_Toc113493897"/>
      <w:bookmarkEnd w:id="11"/>
      <w:r w:rsidRPr="009C12F8">
        <w:t>4. Significant Role of Marketing on the internal and external influencers of  GlaxoSmithKline (GSK) Plc.</w:t>
      </w:r>
      <w:bookmarkEnd w:id="12"/>
    </w:p>
    <w:p w14:paraId="1AD5BC4A" w14:textId="77777777" w:rsidR="00413283" w:rsidRPr="009C12F8" w:rsidRDefault="009C12F8">
      <w:r w:rsidRPr="009C12F8">
        <w:t xml:space="preserve">In the view of Butarbutar and Lisdayanti (2020), a company formulates its marketing technique and strategy while  overviewing external and internal influences in order to build relations with its consumers. Though these factors are uncontrollable by a company to an extent, building relationship marketing helps to analyse these factors and modifies their strategy. As per the study of Razmadze (2020), the pharmaceutical companies face various challenges due to consistent investment in the Research and Development, patent expiration issues and adding value to the </w:t>
      </w:r>
      <w:r w:rsidRPr="009C12F8">
        <w:lastRenderedPageBreak/>
        <w:t xml:space="preserve">consumers. Since the goal of the GSK Limited is to add value to human life, the company incorporates relationship marketing which helps to retain their consumers after analysing the defective area and structuring switching cost. </w:t>
      </w:r>
    </w:p>
    <w:p w14:paraId="14A53083" w14:textId="77777777" w:rsidR="00413283" w:rsidRPr="009C12F8" w:rsidRDefault="009C12F8">
      <w:r w:rsidRPr="009C12F8">
        <w:rPr>
          <w:noProof/>
        </w:rPr>
        <w:drawing>
          <wp:inline distT="114300" distB="114300" distL="114300" distR="114300" wp14:anchorId="3178524B" wp14:editId="6FF9D64B">
            <wp:extent cx="5943600" cy="2678745"/>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t="5986" b="12939"/>
                    <a:stretch>
                      <a:fillRect/>
                    </a:stretch>
                  </pic:blipFill>
                  <pic:spPr>
                    <a:xfrm>
                      <a:off x="0" y="0"/>
                      <a:ext cx="5943600" cy="2678745"/>
                    </a:xfrm>
                    <a:prstGeom prst="rect">
                      <a:avLst/>
                    </a:prstGeom>
                    <a:ln w="12700">
                      <a:solidFill>
                        <a:srgbClr val="000000"/>
                      </a:solidFill>
                      <a:prstDash val="solid"/>
                    </a:ln>
                  </pic:spPr>
                </pic:pic>
              </a:graphicData>
            </a:graphic>
          </wp:inline>
        </w:drawing>
      </w:r>
    </w:p>
    <w:p w14:paraId="2042CBF6" w14:textId="6B8ACDE0" w:rsidR="00413283" w:rsidRPr="009C12F8" w:rsidRDefault="009C12F8">
      <w:pPr>
        <w:jc w:val="center"/>
        <w:rPr>
          <w:b/>
          <w:i/>
        </w:rPr>
      </w:pPr>
      <w:r w:rsidRPr="009C12F8">
        <w:rPr>
          <w:b/>
          <w:i/>
        </w:rPr>
        <w:t xml:space="preserve">Figure </w:t>
      </w:r>
      <w:r w:rsidR="000F3CD5">
        <w:rPr>
          <w:b/>
          <w:i/>
        </w:rPr>
        <w:t>3</w:t>
      </w:r>
      <w:r w:rsidRPr="009C12F8">
        <w:rPr>
          <w:b/>
          <w:i/>
        </w:rPr>
        <w:t xml:space="preserve">: Relationship Marketing Model </w:t>
      </w:r>
    </w:p>
    <w:p w14:paraId="3D9762F3" w14:textId="77777777" w:rsidR="00413283" w:rsidRPr="009C12F8" w:rsidRDefault="009C12F8">
      <w:pPr>
        <w:jc w:val="center"/>
      </w:pPr>
      <w:r w:rsidRPr="009C12F8">
        <w:t>(Source: Byrnes and Mujtaba, 2011)</w:t>
      </w:r>
    </w:p>
    <w:p w14:paraId="73BBE229" w14:textId="77777777" w:rsidR="00413283" w:rsidRPr="009C12F8" w:rsidRDefault="009C12F8">
      <w:pPr>
        <w:jc w:val="left"/>
      </w:pPr>
      <w:r w:rsidRPr="009C12F8">
        <w:t>According to Relationship Marketing Model, the marketing strategy of a company goes beyond the operational goal of a company while focussing on the relationship with suppliers, consumer, influencers, referral and internal environment (Sarwari, 2018). Thus, the relationship marketing aided GSK Plc. in developing the internal and external influencers with relationship marketing while influencing the following factors:</w:t>
      </w:r>
    </w:p>
    <w:p w14:paraId="09E02F97" w14:textId="77777777" w:rsidR="00413283" w:rsidRPr="009C12F8" w:rsidRDefault="009C12F8">
      <w:pPr>
        <w:numPr>
          <w:ilvl w:val="0"/>
          <w:numId w:val="1"/>
        </w:numPr>
      </w:pPr>
      <w:r w:rsidRPr="009C12F8">
        <w:rPr>
          <w:b/>
          <w:i/>
        </w:rPr>
        <w:t>Environmental Sustainability:</w:t>
      </w:r>
      <w:r w:rsidRPr="009C12F8">
        <w:t xml:space="preserve"> After considering the report of Watts et al. (2019), the company formulated its marketing and sustainable goals for gaining healthcare resilience objectives. The relationship marketing strategy of GSK Plc. build while delivering the various programmes facilitating education and safety of children (GSK Plc., 2021b). This helps the company to promote their products while educating mitigation measures to control the climate effect on children's safety. </w:t>
      </w:r>
    </w:p>
    <w:p w14:paraId="788E6E85" w14:textId="77777777" w:rsidR="00413283" w:rsidRPr="009C12F8" w:rsidRDefault="009C12F8">
      <w:pPr>
        <w:numPr>
          <w:ilvl w:val="0"/>
          <w:numId w:val="1"/>
        </w:numPr>
      </w:pPr>
      <w:r w:rsidRPr="009C12F8">
        <w:rPr>
          <w:b/>
          <w:i/>
        </w:rPr>
        <w:t>Diverse Supplier Chain Management:</w:t>
      </w:r>
      <w:r w:rsidRPr="009C12F8">
        <w:t xml:space="preserve"> As GSK Plc. build a collaborative relationship with the suppliers with its marketing techniques, it enhances the flexibility and agility while increasing the demand of products. As a result, the company is able to expand its supplies </w:t>
      </w:r>
      <w:r w:rsidRPr="009C12F8">
        <w:lastRenderedPageBreak/>
        <w:t xml:space="preserve">to 160 countries which are inclusive of Historically Underutilised Business Zone (HUBZ), LGBT community and Disabled-owned businesses (GSK Plc., 2022d). </w:t>
      </w:r>
    </w:p>
    <w:p w14:paraId="0B32ED24" w14:textId="77777777" w:rsidR="00413283" w:rsidRPr="009C12F8" w:rsidRDefault="009C12F8">
      <w:pPr>
        <w:numPr>
          <w:ilvl w:val="0"/>
          <w:numId w:val="1"/>
        </w:numPr>
      </w:pPr>
      <w:r w:rsidRPr="009C12F8">
        <w:rPr>
          <w:b/>
          <w:i/>
        </w:rPr>
        <w:t>Workforce and Consumer Engagement:</w:t>
      </w:r>
      <w:r w:rsidRPr="009C12F8">
        <w:t xml:space="preserve"> As per the ESG Performance Report of GSK Plc, it was observed that the relationship marketing forced the company to build an Employee Resource Group (ERGs) which prioritises the perspective and ideas of employees (GSK Plc., 2021a). This helps the company to advertise their medicine and vaccines after appropriate demographic planning.</w:t>
      </w:r>
    </w:p>
    <w:p w14:paraId="3BC02544" w14:textId="77777777" w:rsidR="00413283" w:rsidRPr="009C12F8" w:rsidRDefault="009C12F8">
      <w:pPr>
        <w:pStyle w:val="Heading1"/>
      </w:pPr>
      <w:bookmarkStart w:id="13" w:name="_2kdhlwnaxl11" w:colFirst="0" w:colLast="0"/>
      <w:bookmarkStart w:id="14" w:name="_Toc113493898"/>
      <w:bookmarkEnd w:id="13"/>
      <w:r w:rsidRPr="009C12F8">
        <w:t>5. Prospective Risk faced by the influencing marketing drivers of GSK Plc</w:t>
      </w:r>
      <w:bookmarkEnd w:id="14"/>
    </w:p>
    <w:p w14:paraId="55627B77" w14:textId="77777777" w:rsidR="00413283" w:rsidRPr="009C12F8" w:rsidRDefault="009C12F8">
      <w:r w:rsidRPr="009C12F8">
        <w:t xml:space="preserve">The growth of GSK sales is in challenging terms as the overall pharma market has gone up by 5% whereas the sales of this business falls by 8% in 2020 (Sahu, 2020). The reason for the </w:t>
      </w:r>
      <w:r w:rsidRPr="009C12F8">
        <w:rPr>
          <w:b/>
          <w:i/>
        </w:rPr>
        <w:t>downfall of sales rate</w:t>
      </w:r>
      <w:r w:rsidRPr="009C12F8">
        <w:t xml:space="preserve"> is GSK was unable to beat the profit levels achieved by its competitors during the peak phase of COVID-19 (Aripaka and Smout, 2021). Furthermore, the business was not able to secure the trust of its investors, resulting in less investment and fall of share purchases. Therefore, the firm is banking on recovery as this challenge occurs due to new launches of products by top brands, and this company fails in incorporating advanced biochemical technology to meet current customer requirements. </w:t>
      </w:r>
      <w:r w:rsidRPr="009C12F8">
        <w:rPr>
          <w:b/>
          <w:i/>
        </w:rPr>
        <w:t>Improper deployment of non-marketing strategies</w:t>
      </w:r>
      <w:r w:rsidRPr="009C12F8">
        <w:t xml:space="preserve"> creating a barrier for the company in making an alignment with </w:t>
      </w:r>
      <w:r w:rsidRPr="009C12F8">
        <w:rPr>
          <w:b/>
          <w:i/>
        </w:rPr>
        <w:t>local CSR initiatives</w:t>
      </w:r>
      <w:r w:rsidRPr="009C12F8">
        <w:t xml:space="preserve"> especially in emerging markets such as China (Saïd, Sevic and Phillips, 2019). GSK incorporates worldwide professionals and expertise for building up its workforce. This proactive action creates a contrasting perspective within the workplace leading to a failure in building up a sharper corporate culture (Neville, 2017). Difference in views and beliefs in the workplace creates a confusion in interpreting the customer perception of this business and unable to use the </w:t>
      </w:r>
      <w:r w:rsidRPr="009C12F8">
        <w:rPr>
          <w:b/>
          <w:i/>
        </w:rPr>
        <w:t>corporate culture</w:t>
      </w:r>
      <w:r w:rsidRPr="009C12F8">
        <w:t xml:space="preserve"> as an influencing marketing driver. As per the study of Dominici (2017), GSK comes across through Brexit referendum and this leads the business in exploring </w:t>
      </w:r>
      <w:r w:rsidRPr="009C12F8">
        <w:rPr>
          <w:b/>
          <w:i/>
        </w:rPr>
        <w:t>financial struggle</w:t>
      </w:r>
      <w:r w:rsidRPr="009C12F8">
        <w:t xml:space="preserve"> and recession in the industry. Occurrence of this situation, the firm has to face a less competitive business environment with poorer marketing scope in upcoming few decades. Overall, both external and internal circumstances created a rough space for GSK to use the marketing driver properly. </w:t>
      </w:r>
    </w:p>
    <w:p w14:paraId="3E27754C" w14:textId="77777777" w:rsidR="00413283" w:rsidRPr="009C12F8" w:rsidRDefault="009C12F8">
      <w:pPr>
        <w:pStyle w:val="Heading1"/>
      </w:pPr>
      <w:bookmarkStart w:id="15" w:name="_vmlukryr9n0y" w:colFirst="0" w:colLast="0"/>
      <w:bookmarkStart w:id="16" w:name="_Toc113493899"/>
      <w:bookmarkEnd w:id="15"/>
      <w:r w:rsidRPr="009C12F8">
        <w:t>6. Suggestive actions for mitigating the issues of marketing drivers of GSK Plc.</w:t>
      </w:r>
      <w:bookmarkEnd w:id="16"/>
    </w:p>
    <w:p w14:paraId="0ACBC220" w14:textId="77777777" w:rsidR="00413283" w:rsidRPr="009C12F8" w:rsidRDefault="009C12F8">
      <w:r w:rsidRPr="009C12F8">
        <w:t xml:space="preserve">As per the views of Bokhari, Mariuzzo and Bennato (2020), innovation and extensive research and developmental activities can be beneficial for the UK pharmaceutical industry in terms of </w:t>
      </w:r>
      <w:r w:rsidRPr="009C12F8">
        <w:lastRenderedPageBreak/>
        <w:t xml:space="preserve">generating more revenue. In that context, GSK Plc. can enhance its revenue by innovating new products and services considering the increasing needs of medical equipment and medicines according to the emerging health issues. Moreover, innovative approaches for the development of cost-effective products can be beneficial for the company. In that context, Ozawa et al. (2020), mentioned that the need for high-quality and cost-effective medicines has been increasing due to the global economic recessions. Furthermore, extensive digital marketing strategy can be implemented for  prompting these developmental activities. Additionally, consideration of cross-cultural product developmental activities can be helpful in order to understand and enter the international markets.    </w:t>
      </w:r>
    </w:p>
    <w:p w14:paraId="45E2ED1D" w14:textId="77777777" w:rsidR="00413283" w:rsidRPr="009C12F8" w:rsidRDefault="009C12F8">
      <w:pPr>
        <w:pStyle w:val="Heading1"/>
      </w:pPr>
      <w:bookmarkStart w:id="17" w:name="_osg39rnui3l" w:colFirst="0" w:colLast="0"/>
      <w:bookmarkStart w:id="18" w:name="_Toc113493900"/>
      <w:bookmarkEnd w:id="17"/>
      <w:r w:rsidRPr="009C12F8">
        <w:t>7. Conclusion</w:t>
      </w:r>
      <w:bookmarkEnd w:id="18"/>
    </w:p>
    <w:p w14:paraId="2DAF40D0" w14:textId="77777777" w:rsidR="00413283" w:rsidRPr="009C12F8" w:rsidRDefault="009C12F8">
      <w:r w:rsidRPr="009C12F8">
        <w:t>As the report majorly focussed on the marketing management drivers, the relationship marketing strategy of GlaxoSmithKline (GSK) Plc. was considered for evaluating internal and external environments. As the pharmaceutical industry holds distinctive actions, the PESTEL and SWOT Analysis found that the political and economic effects could majorly impact the demographic condition. In addition, the rise of generic medicines could become a major threat for the company. However, the positive influence of relationship marketing strategy of GSK Plc. in environment, workforce and supply management help to achieve its objectives.</w:t>
      </w:r>
    </w:p>
    <w:p w14:paraId="375625C8" w14:textId="77777777" w:rsidR="00413283" w:rsidRPr="009C12F8" w:rsidRDefault="009C12F8">
      <w:r w:rsidRPr="009C12F8">
        <w:br w:type="page"/>
      </w:r>
    </w:p>
    <w:p w14:paraId="7EF448A9" w14:textId="77777777" w:rsidR="00413283" w:rsidRPr="009C12F8" w:rsidRDefault="009C12F8">
      <w:pPr>
        <w:pStyle w:val="Heading1"/>
        <w:rPr>
          <w:sz w:val="36"/>
          <w:szCs w:val="36"/>
        </w:rPr>
      </w:pPr>
      <w:bookmarkStart w:id="19" w:name="_mer7afzdwylf" w:colFirst="0" w:colLast="0"/>
      <w:bookmarkStart w:id="20" w:name="_Toc113493901"/>
      <w:bookmarkEnd w:id="19"/>
      <w:r w:rsidRPr="009C12F8">
        <w:lastRenderedPageBreak/>
        <w:t>References</w:t>
      </w:r>
      <w:bookmarkEnd w:id="20"/>
    </w:p>
    <w:p w14:paraId="42E819BA" w14:textId="77777777" w:rsidR="00390046" w:rsidRPr="009C12F8" w:rsidRDefault="00390046">
      <w:pPr>
        <w:spacing w:after="240"/>
      </w:pPr>
      <w:r w:rsidRPr="009C12F8">
        <w:t xml:space="preserve">Arimie, J.C. and Oronsaye, A.O. (2020). Assessing Employee Relations and Organizational Performance: A Literature Review. </w:t>
      </w:r>
      <w:r w:rsidRPr="009C12F8">
        <w:rPr>
          <w:i/>
        </w:rPr>
        <w:t>International Journal of Applied Research in Business and Management</w:t>
      </w:r>
      <w:r w:rsidRPr="009C12F8">
        <w:t>, 1(1), pp.1–17. doi:10.51137/ijarbm.2020.1.1.1.</w:t>
      </w:r>
    </w:p>
    <w:p w14:paraId="5D2FD992" w14:textId="77777777" w:rsidR="00390046" w:rsidRPr="009C12F8" w:rsidRDefault="00390046">
      <w:pPr>
        <w:spacing w:after="240"/>
      </w:pPr>
      <w:r w:rsidRPr="009C12F8">
        <w:t xml:space="preserve">Aripaka, P. and Smout, A. (2021). GSK more upbeat on profits and COVID, investors not sure. </w:t>
      </w:r>
      <w:r w:rsidRPr="009C12F8">
        <w:rPr>
          <w:i/>
        </w:rPr>
        <w:t>Reuters</w:t>
      </w:r>
      <w:r w:rsidRPr="009C12F8">
        <w:t>. [online] 28 Jul. Available at: https://www.reuters.com/business/healthcare-pharmaceuticals/gsk-sees-smaller-2021-profit-fall-after-q2-beat-2021-07-28/.</w:t>
      </w:r>
    </w:p>
    <w:p w14:paraId="0FBAB08D" w14:textId="77777777" w:rsidR="00390046" w:rsidRPr="009C12F8" w:rsidRDefault="00390046">
      <w:pPr>
        <w:spacing w:after="240"/>
      </w:pPr>
      <w:r w:rsidRPr="009C12F8">
        <w:t xml:space="preserve">Avdeychik, S. (2022). </w:t>
      </w:r>
      <w:r w:rsidRPr="009C12F8">
        <w:rPr>
          <w:i/>
        </w:rPr>
        <w:t>Council Post: The Role Of Modern Digital Solutions In The Pharmaceutical Industry</w:t>
      </w:r>
      <w:r w:rsidRPr="009C12F8">
        <w:t>. [online] Forbes. Available at: https://www.forbes.com/sites/forbesbusinessdevelopmentcouncil/2022/02/15/the-role-of-modern-digital-solutions-in-the-pharmaceutical-industry/ [Accessed 7 Sep. 2022].</w:t>
      </w:r>
    </w:p>
    <w:p w14:paraId="0813C407" w14:textId="77777777" w:rsidR="00390046" w:rsidRPr="009C12F8" w:rsidRDefault="00390046">
      <w:pPr>
        <w:spacing w:after="240"/>
      </w:pPr>
      <w:r w:rsidRPr="009C12F8">
        <w:t xml:space="preserve">Bokhari, F.A.S., Mariuzzo, F. and Bennato, A.R. (2020). Innovation and growth in the UK pharmaceuticals: the case of product and marketing introductions. </w:t>
      </w:r>
      <w:r w:rsidRPr="009C12F8">
        <w:rPr>
          <w:i/>
        </w:rPr>
        <w:t>Small Business Economics</w:t>
      </w:r>
      <w:r w:rsidRPr="009C12F8">
        <w:t>. [online] doi:10.1007/s11187-019-00307-w.</w:t>
      </w:r>
    </w:p>
    <w:p w14:paraId="7953F9DC" w14:textId="77777777" w:rsidR="00390046" w:rsidRPr="009C12F8" w:rsidRDefault="00390046">
      <w:pPr>
        <w:spacing w:after="240"/>
      </w:pPr>
      <w:r w:rsidRPr="009C12F8">
        <w:t xml:space="preserve">Butarbutar, D.J.A. and Lisdayanti, A. (2020). The impact of internal business environment on marketing strategies effecting marketing performance. </w:t>
      </w:r>
      <w:r w:rsidRPr="009C12F8">
        <w:rPr>
          <w:i/>
        </w:rPr>
        <w:t>International Journal of Research in Business and Social Science (2147- 4478)</w:t>
      </w:r>
      <w:r w:rsidRPr="009C12F8">
        <w:t>, [online] 9(4), pp.385–391. doi:10.20525/ijrbs.v9i4.778.</w:t>
      </w:r>
    </w:p>
    <w:p w14:paraId="25A56B67" w14:textId="77777777" w:rsidR="00390046" w:rsidRPr="009C12F8" w:rsidRDefault="00390046">
      <w:pPr>
        <w:spacing w:after="240"/>
      </w:pPr>
      <w:r w:rsidRPr="009C12F8">
        <w:t xml:space="preserve">Byrnes, T.J. and Mujtaba, B.G. (2011). The Value Of B2B Face-To-Face Sales Interaction In The United States, Canada And Latin America. </w:t>
      </w:r>
      <w:r w:rsidRPr="009C12F8">
        <w:rPr>
          <w:i/>
        </w:rPr>
        <w:t>International Business &amp; Economics Research Journal (IBER)</w:t>
      </w:r>
      <w:r w:rsidRPr="009C12F8">
        <w:t>, [online] 7(3). doi:10.19030/iber.v7i3.3236.</w:t>
      </w:r>
    </w:p>
    <w:p w14:paraId="56161945" w14:textId="77777777" w:rsidR="00390046" w:rsidRPr="009C12F8" w:rsidRDefault="00390046">
      <w:pPr>
        <w:spacing w:after="240"/>
      </w:pPr>
      <w:r w:rsidRPr="009C12F8">
        <w:rPr>
          <w:rFonts w:eastAsia="Arial Unicode MS"/>
        </w:rPr>
        <w:t>Cussans, A., Harvey, G., Kemple, T. and Tomson, M. (2021). Interventions to Reduce the Environmental Impact of Medicines: A UK perspective</w:t>
      </w:r>
      <w:r w:rsidRPr="009C12F8">
        <w:rPr>
          <w:rFonts w:ascii="Segoe UI Symbol" w:eastAsia="Arial Unicode MS" w:hAnsi="Segoe UI Symbol" w:cs="Segoe UI Symbol"/>
        </w:rPr>
        <w:t>✰</w:t>
      </w:r>
      <w:r w:rsidRPr="009C12F8">
        <w:rPr>
          <w:rFonts w:eastAsia="Arial Unicode MS"/>
        </w:rPr>
        <w:t xml:space="preserve">. </w:t>
      </w:r>
      <w:r w:rsidRPr="009C12F8">
        <w:rPr>
          <w:i/>
        </w:rPr>
        <w:t>The Journal of Climate Change and Health</w:t>
      </w:r>
      <w:r w:rsidRPr="009C12F8">
        <w:t>, [online] 4, p.100079. doi:10.1016/j.joclim.2021.100079.</w:t>
      </w:r>
    </w:p>
    <w:p w14:paraId="28D45784" w14:textId="77777777" w:rsidR="00390046" w:rsidRPr="009C12F8" w:rsidRDefault="00390046">
      <w:pPr>
        <w:spacing w:after="240"/>
      </w:pPr>
      <w:r w:rsidRPr="009C12F8">
        <w:t>Dominici, M. (2017). Report GSK: risk exposure and hedging techinques. doi:10.13140/RG.2.2.16225.30566.</w:t>
      </w:r>
    </w:p>
    <w:p w14:paraId="752E288F" w14:textId="77777777" w:rsidR="00390046" w:rsidRPr="009C12F8" w:rsidRDefault="00390046">
      <w:pPr>
        <w:spacing w:after="240"/>
      </w:pPr>
      <w:r w:rsidRPr="009C12F8">
        <w:lastRenderedPageBreak/>
        <w:t xml:space="preserve">GSK Plc (2018). </w:t>
      </w:r>
      <w:r w:rsidRPr="009C12F8">
        <w:rPr>
          <w:i/>
        </w:rPr>
        <w:t>GSK reaches agreement with Novartis to acquire full ownership of Consumer Healthcare Business | GSK</w:t>
      </w:r>
      <w:r w:rsidRPr="009C12F8">
        <w:t>. [online] Gsk.com. Available at: https://www.gsk.com/en-gb/media/press-releases/gsk-reaches-agreement-with-novartis-to-acquire-full-ownership-of-consumer-healthcare-business/ [Accessed 7 Sep. 2022].</w:t>
      </w:r>
    </w:p>
    <w:p w14:paraId="06D6EC57" w14:textId="77777777" w:rsidR="00390046" w:rsidRPr="009C12F8" w:rsidRDefault="00390046">
      <w:pPr>
        <w:spacing w:after="240"/>
      </w:pPr>
      <w:r w:rsidRPr="009C12F8">
        <w:t xml:space="preserve">GSK PLc (2022). </w:t>
      </w:r>
      <w:r w:rsidRPr="009C12F8">
        <w:rPr>
          <w:i/>
        </w:rPr>
        <w:t>GSK to acquire clinical-stage biopharmaceutical company Affinivax, Inc. | GSK</w:t>
      </w:r>
      <w:r w:rsidRPr="009C12F8">
        <w:t>. [online] www.gsk.com. Available at: https://www.gsk.com/en-gb/media/press-releases/gsk-to-acquire-clinical-stage-biopharmaceutical-company-affinivax-inc/ [Accessed 7 Sep. 2022].</w:t>
      </w:r>
    </w:p>
    <w:p w14:paraId="7E3578C7" w14:textId="77777777" w:rsidR="00390046" w:rsidRPr="009C12F8" w:rsidRDefault="00390046">
      <w:pPr>
        <w:spacing w:after="240"/>
      </w:pPr>
      <w:r w:rsidRPr="009C12F8">
        <w:t xml:space="preserve">GSK Plc (2022). </w:t>
      </w:r>
      <w:r w:rsidRPr="009C12F8">
        <w:rPr>
          <w:i/>
        </w:rPr>
        <w:t>Technologies | GSK</w:t>
      </w:r>
      <w:r w:rsidRPr="009C12F8">
        <w:t>. [online] www.gsk.com. Available at: https://www.gsk.com/en-gb/innovation/technologies/#:~:text=Advanced%20technology%20platforms%20are%20central [Accessed 7 Sep. 2022].</w:t>
      </w:r>
    </w:p>
    <w:p w14:paraId="64676CD1" w14:textId="77777777" w:rsidR="00390046" w:rsidRPr="009C12F8" w:rsidRDefault="00390046">
      <w:pPr>
        <w:spacing w:after="240"/>
      </w:pPr>
      <w:r w:rsidRPr="009C12F8">
        <w:t xml:space="preserve">GSK Plc. (2021a). </w:t>
      </w:r>
      <w:r w:rsidRPr="009C12F8">
        <w:rPr>
          <w:i/>
        </w:rPr>
        <w:t>ESG Performance Report</w:t>
      </w:r>
      <w:r w:rsidRPr="009C12F8">
        <w:t xml:space="preserve">. [online] </w:t>
      </w:r>
      <w:r w:rsidRPr="009C12F8">
        <w:rPr>
          <w:i/>
        </w:rPr>
        <w:t>https://www.gsk.com/media/7473/esg-performance-report-2021.pdf</w:t>
      </w:r>
      <w:r w:rsidRPr="009C12F8">
        <w:t>. GSK. Available at: https://www.gsk.com/media/7473/esg-performance-report-2021.pdf [Accessed 7 Sep. 2022].</w:t>
      </w:r>
    </w:p>
    <w:p w14:paraId="6EC677F2" w14:textId="77777777" w:rsidR="00390046" w:rsidRPr="009C12F8" w:rsidRDefault="00390046">
      <w:pPr>
        <w:spacing w:after="240"/>
      </w:pPr>
      <w:r w:rsidRPr="009C12F8">
        <w:t xml:space="preserve">GSK Plc. (2021b). </w:t>
      </w:r>
      <w:r w:rsidRPr="009C12F8">
        <w:rPr>
          <w:i/>
        </w:rPr>
        <w:t>GSK Environmental Action Report</w:t>
      </w:r>
      <w:r w:rsidRPr="009C12F8">
        <w:t>. [online] GSK. Available at: https://www.gsk.com/media/9261/6731_gsk_environmental_action_report_2022-final.pdf [Accessed 7 Sep. 2022].</w:t>
      </w:r>
    </w:p>
    <w:p w14:paraId="4EF47FF1" w14:textId="77777777" w:rsidR="00390046" w:rsidRPr="009C12F8" w:rsidRDefault="00390046">
      <w:pPr>
        <w:spacing w:after="240"/>
      </w:pPr>
      <w:r w:rsidRPr="009C12F8">
        <w:t xml:space="preserve">GSK Plc. (2021c). </w:t>
      </w:r>
      <w:r w:rsidRPr="009C12F8">
        <w:rPr>
          <w:i/>
        </w:rPr>
        <w:t>Press release Full year and fourth quarter 2021 Q4 Results summary Total and Adjusted results Full year performance Quarterly performance Financial information</w:t>
      </w:r>
      <w:r w:rsidRPr="009C12F8">
        <w:t>. [online] Available at: https://www.gsk.com/media/7377/fy-2021-results-announcement.pdf [Accessed 7 Sep. 2022].</w:t>
      </w:r>
    </w:p>
    <w:p w14:paraId="14DD124D" w14:textId="77777777" w:rsidR="00390046" w:rsidRPr="009C12F8" w:rsidRDefault="00390046">
      <w:pPr>
        <w:spacing w:after="240"/>
      </w:pPr>
      <w:r w:rsidRPr="009C12F8">
        <w:t xml:space="preserve">GSK Plc. (2022a). </w:t>
      </w:r>
      <w:r w:rsidRPr="009C12F8">
        <w:rPr>
          <w:i/>
        </w:rPr>
        <w:t>GlaxoSmithKline Merger</w:t>
      </w:r>
      <w:r w:rsidRPr="009C12F8">
        <w:t>. [online] Gsk.com. Available at: https://www.gsk.com/media/7784/merger.png?anchor=center&amp;mode=crop&amp;quality=90&amp;width=624&amp;height=416&amp;rnd=133003724400000000 [Accessed 7 Sep. 2022].</w:t>
      </w:r>
    </w:p>
    <w:p w14:paraId="0013CDF9" w14:textId="77777777" w:rsidR="00390046" w:rsidRPr="009C12F8" w:rsidRDefault="00390046">
      <w:pPr>
        <w:spacing w:after="240"/>
      </w:pPr>
      <w:r w:rsidRPr="009C12F8">
        <w:t xml:space="preserve">GSK Plc. (2022b). </w:t>
      </w:r>
      <w:r w:rsidRPr="009C12F8">
        <w:rPr>
          <w:i/>
        </w:rPr>
        <w:t>Our product areas | GSK</w:t>
      </w:r>
      <w:r w:rsidRPr="009C12F8">
        <w:t>. [online] www.gsk.com. Available at: https://www.gsk.com/en-gb/products/our-product-areas/ [Accessed 7 Sep. 2022].</w:t>
      </w:r>
    </w:p>
    <w:p w14:paraId="12D16D33" w14:textId="77777777" w:rsidR="00390046" w:rsidRPr="009C12F8" w:rsidRDefault="00390046">
      <w:pPr>
        <w:spacing w:after="240"/>
      </w:pPr>
      <w:r w:rsidRPr="009C12F8">
        <w:lastRenderedPageBreak/>
        <w:t xml:space="preserve">GSK Plc. (2022c). </w:t>
      </w:r>
      <w:r w:rsidRPr="009C12F8">
        <w:rPr>
          <w:i/>
        </w:rPr>
        <w:t>Purpose, strategy and culture | GSK</w:t>
      </w:r>
      <w:r w:rsidRPr="009C12F8">
        <w:t>. [online] www.gsk.com. Available at: https://www.gsk.com/en-gb/company/purpose-strategy-and-culture/ [Accessed 7 Sep. 2022].</w:t>
      </w:r>
    </w:p>
    <w:p w14:paraId="075709A9" w14:textId="77777777" w:rsidR="00390046" w:rsidRPr="009C12F8" w:rsidRDefault="00390046">
      <w:pPr>
        <w:spacing w:after="240"/>
      </w:pPr>
      <w:r w:rsidRPr="009C12F8">
        <w:t xml:space="preserve">GSK Plc. (2022d). </w:t>
      </w:r>
      <w:r w:rsidRPr="009C12F8">
        <w:rPr>
          <w:i/>
        </w:rPr>
        <w:t>SupplierOne</w:t>
      </w:r>
      <w:r w:rsidRPr="009C12F8">
        <w:t>. [online] gsk.supplierone.co. Available at: https://gsk.supplierone.co/ [Accessed 7 Sep. 2022].</w:t>
      </w:r>
    </w:p>
    <w:p w14:paraId="311A4825" w14:textId="77777777" w:rsidR="00390046" w:rsidRPr="009C12F8" w:rsidRDefault="00390046">
      <w:pPr>
        <w:spacing w:after="240"/>
      </w:pPr>
      <w:r w:rsidRPr="009C12F8">
        <w:t xml:space="preserve">Kollewe, J. (2022). </w:t>
      </w:r>
      <w:r w:rsidRPr="009C12F8">
        <w:rPr>
          <w:i/>
        </w:rPr>
        <w:t>GSK banks on stronger offer for its consumer healthcare business</w:t>
      </w:r>
      <w:r w:rsidRPr="009C12F8">
        <w:t>. [online] the Guardian. Available at: https://www.theguardian.com/business/2022/jan/16/gsk-consumer-healthcare-business-unilever-analysis [Accessed 7 Sep. 2022].</w:t>
      </w:r>
    </w:p>
    <w:p w14:paraId="584E7A1E" w14:textId="77777777" w:rsidR="00390046" w:rsidRPr="009C12F8" w:rsidRDefault="00390046">
      <w:pPr>
        <w:spacing w:after="240"/>
      </w:pPr>
      <w:r w:rsidRPr="009C12F8">
        <w:t xml:space="preserve">Kumar, B.R. (2018). GlaxoSmithKline Merger. </w:t>
      </w:r>
      <w:r w:rsidRPr="009C12F8">
        <w:rPr>
          <w:i/>
        </w:rPr>
        <w:t>Wealth Creation in the World’s Largest Mergers and Acquisitions</w:t>
      </w:r>
      <w:r w:rsidRPr="009C12F8">
        <w:t>, [online] pp.137–145. doi:10.1007/978-3-030-02363-8_13.</w:t>
      </w:r>
    </w:p>
    <w:p w14:paraId="55AFADE2" w14:textId="77777777" w:rsidR="00390046" w:rsidRPr="009C12F8" w:rsidRDefault="00390046">
      <w:pPr>
        <w:spacing w:after="240"/>
      </w:pPr>
      <w:r w:rsidRPr="009C12F8">
        <w:t xml:space="preserve">McKee, M., Dunnell, K., Anderson, M., Brayne, C., Charlesworth, A., Johnston-Webber, C., Knapp, M., McGuire, A., Newton, J.N., Taylor, D. and Watt, R.G. (2021). The changing health needs of the UK population. </w:t>
      </w:r>
      <w:r w:rsidRPr="009C12F8">
        <w:rPr>
          <w:i/>
        </w:rPr>
        <w:t>The Lancet</w:t>
      </w:r>
      <w:r w:rsidRPr="009C12F8">
        <w:t>, [online] pp.1979–1991. doi:10.1016/s0140-6736(21)00229-4.</w:t>
      </w:r>
    </w:p>
    <w:p w14:paraId="4FAEA0E6" w14:textId="77777777" w:rsidR="00390046" w:rsidRPr="009C12F8" w:rsidRDefault="00390046">
      <w:pPr>
        <w:spacing w:after="240"/>
      </w:pPr>
      <w:r w:rsidRPr="009C12F8">
        <w:t xml:space="preserve">Mikulic, M. (2020). </w:t>
      </w:r>
      <w:r w:rsidRPr="009C12F8">
        <w:rPr>
          <w:i/>
        </w:rPr>
        <w:t>Top pharma markets by country market share 2018</w:t>
      </w:r>
      <w:r w:rsidRPr="009C12F8">
        <w:t>. [online] Statista. Available at: https://www.statista.com/statistics/245473/market-share-of-the-leading-10-global-pharmaceutical-markets/ [Accessed 7 Sep. 2022].</w:t>
      </w:r>
    </w:p>
    <w:p w14:paraId="795F83AC" w14:textId="77777777" w:rsidR="00390046" w:rsidRPr="009C12F8" w:rsidRDefault="00390046">
      <w:pPr>
        <w:spacing w:after="240"/>
      </w:pPr>
      <w:r w:rsidRPr="009C12F8">
        <w:t xml:space="preserve">Morgan, N.A., Whitler, K.A., Feng, H. and Chari, S. (2018). Research in marketing strategy. </w:t>
      </w:r>
      <w:r w:rsidRPr="009C12F8">
        <w:rPr>
          <w:i/>
        </w:rPr>
        <w:t>Journal of the Academy of Marketing Science</w:t>
      </w:r>
      <w:r w:rsidRPr="009C12F8">
        <w:t>, [online] 47(1), pp.4–29. doi:10.1007/s11747-018-0598-1.</w:t>
      </w:r>
    </w:p>
    <w:p w14:paraId="604B61CE" w14:textId="77777777" w:rsidR="00390046" w:rsidRPr="009C12F8" w:rsidRDefault="00390046">
      <w:pPr>
        <w:spacing w:after="240"/>
      </w:pPr>
      <w:r w:rsidRPr="009C12F8">
        <w:t xml:space="preserve">National Health Services (2022). </w:t>
      </w:r>
      <w:r w:rsidRPr="009C12F8">
        <w:rPr>
          <w:i/>
        </w:rPr>
        <w:t>Accessibility statement for Pharmaceutical Price Regulation Scheme (PPRS), Quarterly Drug Collection (QDC) website | NHSBSA</w:t>
      </w:r>
      <w:r w:rsidRPr="009C12F8">
        <w:t>. [online] National Health Services. Available at: https://www.nhsbsa.nhs.uk/accessibility-statement-pharmaceutical-price-regulation-scheme-pprs-quarterly-drug-collection-qdc [Accessed 7 Sep. 2022].</w:t>
      </w:r>
    </w:p>
    <w:p w14:paraId="46F413A5" w14:textId="77777777" w:rsidR="00390046" w:rsidRPr="009C12F8" w:rsidRDefault="00390046">
      <w:pPr>
        <w:spacing w:after="240"/>
      </w:pPr>
      <w:r w:rsidRPr="009C12F8">
        <w:t xml:space="preserve">Neville, S. (2017). </w:t>
      </w:r>
      <w:r w:rsidRPr="009C12F8">
        <w:rPr>
          <w:i/>
        </w:rPr>
        <w:t>GSK chief plans to shake up culture and competitiveness</w:t>
      </w:r>
      <w:r w:rsidRPr="009C12F8">
        <w:t>. [online] Financial Times. Available at: https://www.ft.com/content/8edd1054-6c9d-11e7-b9c7-15af748b60d0 [Accessed 7 Sep. 2022].</w:t>
      </w:r>
    </w:p>
    <w:p w14:paraId="1CA28BCB" w14:textId="77777777" w:rsidR="00390046" w:rsidRPr="009C12F8" w:rsidRDefault="00390046">
      <w:pPr>
        <w:spacing w:after="240"/>
      </w:pPr>
      <w:r w:rsidRPr="009C12F8">
        <w:lastRenderedPageBreak/>
        <w:t xml:space="preserve">Ozawa, S., Higgins, C.R., Yemeke, T.T., Nwokike, J.I., Evans, L., Hajjou, M. and Pribluda, V.S. (2020). Importance of medicine quality in achieving universal health coverage. </w:t>
      </w:r>
      <w:r w:rsidRPr="009C12F8">
        <w:rPr>
          <w:i/>
        </w:rPr>
        <w:t>PLOS ONE</w:t>
      </w:r>
      <w:r w:rsidRPr="009C12F8">
        <w:t>, [online] 15(7), p.e0232966. doi:10.1371/journal.pone.0232966.</w:t>
      </w:r>
    </w:p>
    <w:p w14:paraId="22D99EF9" w14:textId="77777777" w:rsidR="00390046" w:rsidRPr="009C12F8" w:rsidRDefault="00390046">
      <w:pPr>
        <w:spacing w:after="240"/>
      </w:pPr>
      <w:r w:rsidRPr="009C12F8">
        <w:t xml:space="preserve">Parliament of the UK (2018). </w:t>
      </w:r>
      <w:r w:rsidRPr="009C12F8">
        <w:rPr>
          <w:i/>
        </w:rPr>
        <w:t>The impact of Brexit on the pharmaceutical sector Ninth Report of Session 2017-19 HC 382</w:t>
      </w:r>
      <w:r w:rsidRPr="009C12F8">
        <w:t xml:space="preserve">. [online] </w:t>
      </w:r>
      <w:r w:rsidRPr="009C12F8">
        <w:rPr>
          <w:i/>
        </w:rPr>
        <w:t>Parliament of the UK</w:t>
      </w:r>
      <w:r w:rsidRPr="009C12F8">
        <w:t>. publications.parliament.uk: Parliament of the UK. Available at: https://publications.parliament.uk/pa/cm201719/cmselect/cmbeis/382/382.pdf [Accessed 7 Sep. 2022].</w:t>
      </w:r>
    </w:p>
    <w:p w14:paraId="11B48117" w14:textId="77777777" w:rsidR="00390046" w:rsidRPr="009C12F8" w:rsidRDefault="00390046">
      <w:pPr>
        <w:spacing w:after="240"/>
      </w:pPr>
      <w:r w:rsidRPr="009C12F8">
        <w:t xml:space="preserve">Ray, A., Sharma, S. and Sadasivam, B. (2021). Carbovigilance: curtailing the global pharmaceutical carbon footprint. </w:t>
      </w:r>
      <w:r w:rsidRPr="009C12F8">
        <w:rPr>
          <w:i/>
        </w:rPr>
        <w:t>Future Healthc J</w:t>
      </w:r>
      <w:r w:rsidRPr="009C12F8">
        <w:t>, [online] 8(3), pp.e683–e685. doi:10.7861/fhj.2021-0071.</w:t>
      </w:r>
    </w:p>
    <w:p w14:paraId="54C8FF89" w14:textId="77777777" w:rsidR="00390046" w:rsidRPr="009C12F8" w:rsidRDefault="00390046">
      <w:pPr>
        <w:spacing w:after="240"/>
      </w:pPr>
      <w:r w:rsidRPr="009C12F8">
        <w:t xml:space="preserve">Reuters (2016). GlaxoSmithKline to pay $20 million to settle U.S. foreign bribery case. </w:t>
      </w:r>
      <w:r w:rsidRPr="009C12F8">
        <w:rPr>
          <w:i/>
        </w:rPr>
        <w:t>Reuters</w:t>
      </w:r>
      <w:r w:rsidRPr="009C12F8">
        <w:t>. [online] 30 Sep. Available at: https://www.reuters.com/article/us-sec-glaxosmithkline-corruption-idUSKCN1202F3 [Accessed 7 Sep. 2022].</w:t>
      </w:r>
    </w:p>
    <w:p w14:paraId="3DFFFCBE" w14:textId="77777777" w:rsidR="00390046" w:rsidRPr="009C12F8" w:rsidRDefault="00390046">
      <w:pPr>
        <w:spacing w:after="240"/>
      </w:pPr>
      <w:r w:rsidRPr="009C12F8">
        <w:t xml:space="preserve">Rizhamadze, K. (2020). ANALYZING BUSINESS MODEL, NARRATIVE AND NUMBERS OF GSK (GLAXOSMITHKLINE). </w:t>
      </w:r>
      <w:r w:rsidRPr="009C12F8">
        <w:rPr>
          <w:i/>
        </w:rPr>
        <w:t>Eurasian Journal of Social Sciences</w:t>
      </w:r>
      <w:r w:rsidRPr="009C12F8">
        <w:t>, [online] 8(1), pp.35–41. doi:10.15604/ejss.2020.08.01.004.</w:t>
      </w:r>
    </w:p>
    <w:p w14:paraId="208FD3ED" w14:textId="77777777" w:rsidR="00390046" w:rsidRPr="009C12F8" w:rsidRDefault="00390046">
      <w:pPr>
        <w:spacing w:after="240"/>
      </w:pPr>
      <w:r w:rsidRPr="009C12F8">
        <w:t xml:space="preserve">Sahu, R.P. (2020). </w:t>
      </w:r>
      <w:r w:rsidRPr="009C12F8">
        <w:rPr>
          <w:i/>
        </w:rPr>
        <w:t>GSK Pharma’s growth challenges to remain in near term as Covid dents sales</w:t>
      </w:r>
      <w:r w:rsidRPr="009C12F8">
        <w:t>. [online] www.business-standard.com. Available at: https://www.business-standard.com/article/companies/gsk-pharma-s-growth-challenges-to-remain-in-near-term-as-covid-dents-sales-120101100481_1.html [Accessed 7 Sep. 2022].</w:t>
      </w:r>
    </w:p>
    <w:p w14:paraId="48C1E8D7" w14:textId="77777777" w:rsidR="00390046" w:rsidRPr="009C12F8" w:rsidRDefault="00390046">
      <w:pPr>
        <w:spacing w:after="240"/>
      </w:pPr>
      <w:r w:rsidRPr="009C12F8">
        <w:t xml:space="preserve">Saïd, K., Sevic, Z. and Phillips, I.L. (2019). The challenges of addressing stakeholders’ expectations through corporate non-market strategies in emergent countries. </w:t>
      </w:r>
      <w:r w:rsidRPr="009C12F8">
        <w:rPr>
          <w:i/>
        </w:rPr>
        <w:t>Critical perspectives on international business</w:t>
      </w:r>
      <w:r w:rsidRPr="009C12F8">
        <w:t>, 15(1), pp.87–106. doi:10.1108/cpoib-03-2018-0027.</w:t>
      </w:r>
    </w:p>
    <w:p w14:paraId="520E4D5B" w14:textId="77777777" w:rsidR="00390046" w:rsidRPr="009C12F8" w:rsidRDefault="00390046">
      <w:pPr>
        <w:spacing w:after="240"/>
      </w:pPr>
      <w:r w:rsidRPr="009C12F8">
        <w:t xml:space="preserve">Sarwari, S. (2018). Relationship Marketing Model. </w:t>
      </w:r>
      <w:r w:rsidRPr="009C12F8">
        <w:rPr>
          <w:i/>
        </w:rPr>
        <w:t>International Journal of Customer Relationship Marketing and Management</w:t>
      </w:r>
      <w:r w:rsidRPr="009C12F8">
        <w:t>, [online] 9(2), pp.16–32. doi:10.4018/ijcrmm.2018040102.</w:t>
      </w:r>
    </w:p>
    <w:p w14:paraId="09BA8051" w14:textId="77777777" w:rsidR="00390046" w:rsidRPr="009C12F8" w:rsidRDefault="00390046">
      <w:pPr>
        <w:spacing w:after="240"/>
      </w:pPr>
      <w:r w:rsidRPr="009C12F8">
        <w:lastRenderedPageBreak/>
        <w:t xml:space="preserve">Tannoury, M. and Attieh, Z. (2017). The Influence of Emerging Markets on the Pharmaceutical Industry. </w:t>
      </w:r>
      <w:r w:rsidRPr="009C12F8">
        <w:rPr>
          <w:i/>
        </w:rPr>
        <w:t>Current Therapeutic Research</w:t>
      </w:r>
      <w:r w:rsidRPr="009C12F8">
        <w:t>, [online] 86, pp.19–22. doi:10.1016/j.curtheres.2017.04.005.</w:t>
      </w:r>
    </w:p>
    <w:p w14:paraId="703060D1" w14:textId="77777777" w:rsidR="00AE65E7" w:rsidRDefault="00390046" w:rsidP="00390046">
      <w:pPr>
        <w:spacing w:after="240"/>
      </w:pPr>
      <w:r w:rsidRPr="009C12F8">
        <w:t xml:space="preserve">Watts, N., Amann, M., Arnell, N., Ayeb-Karlsson, S., Belesova, K., Boykoff, M., Byass, P., Cai, W., Campbell-Lendrum, D., Capstick, S., Chambers, J., Dalin, C., Daly, M., Dasandi, N., Davies, M., Drummond, P., Dubrow, R., Ebi, K.L., Eckelman, M. and Ekins, P. (2019). The 2019 report of The Lancet Countdown on health and climate change: ensuring that the health of a child born today is not defined by a changing climate. </w:t>
      </w:r>
      <w:r w:rsidRPr="009C12F8">
        <w:rPr>
          <w:i/>
        </w:rPr>
        <w:t>The Lancet</w:t>
      </w:r>
      <w:r w:rsidRPr="009C12F8">
        <w:t>, [online] 394(10211), pp.1836–1878. doi:10.1016/s0140-6736(19)32596-6</w:t>
      </w:r>
    </w:p>
    <w:p w14:paraId="782AD0A6" w14:textId="77777777" w:rsidR="00AE65E7" w:rsidRDefault="00AE65E7" w:rsidP="00390046">
      <w:pPr>
        <w:spacing w:after="240"/>
      </w:pPr>
    </w:p>
    <w:p w14:paraId="3D4FD164" w14:textId="77777777" w:rsidR="00AE65E7" w:rsidRDefault="00AE65E7" w:rsidP="00390046">
      <w:pPr>
        <w:spacing w:after="240"/>
      </w:pPr>
    </w:p>
    <w:p w14:paraId="12A1E030" w14:textId="77777777" w:rsidR="00AE65E7" w:rsidRDefault="00AE65E7" w:rsidP="00390046">
      <w:pPr>
        <w:spacing w:after="240"/>
      </w:pPr>
    </w:p>
    <w:p w14:paraId="2B63D808" w14:textId="77777777" w:rsidR="00AE65E7" w:rsidRDefault="00AE65E7" w:rsidP="00390046">
      <w:pPr>
        <w:spacing w:after="240"/>
      </w:pPr>
    </w:p>
    <w:p w14:paraId="7233A439" w14:textId="77777777" w:rsidR="00AE65E7" w:rsidRDefault="00AE65E7" w:rsidP="00390046">
      <w:pPr>
        <w:spacing w:after="240"/>
      </w:pPr>
    </w:p>
    <w:p w14:paraId="4A698A77" w14:textId="77777777" w:rsidR="00AE65E7" w:rsidRDefault="00AE65E7" w:rsidP="00390046">
      <w:pPr>
        <w:spacing w:after="240"/>
      </w:pPr>
    </w:p>
    <w:p w14:paraId="4F872160" w14:textId="77777777" w:rsidR="00AE65E7" w:rsidRDefault="00AE65E7" w:rsidP="00390046">
      <w:pPr>
        <w:spacing w:after="240"/>
      </w:pPr>
    </w:p>
    <w:p w14:paraId="54CF379B" w14:textId="77777777" w:rsidR="00AE65E7" w:rsidRDefault="00AE65E7" w:rsidP="00390046">
      <w:pPr>
        <w:spacing w:after="240"/>
      </w:pPr>
    </w:p>
    <w:p w14:paraId="6E110F5C" w14:textId="77777777" w:rsidR="00AE65E7" w:rsidRDefault="00AE65E7" w:rsidP="00390046">
      <w:pPr>
        <w:spacing w:after="240"/>
      </w:pPr>
    </w:p>
    <w:p w14:paraId="66354683" w14:textId="7E453EC0" w:rsidR="00413283" w:rsidRDefault="00413283" w:rsidP="00AE65E7"/>
    <w:p w14:paraId="418558FD" w14:textId="33B3CAE3" w:rsidR="00AE65E7" w:rsidRDefault="00AE65E7" w:rsidP="00AE65E7"/>
    <w:p w14:paraId="137B2C4D" w14:textId="775F4489" w:rsidR="00AE65E7" w:rsidRDefault="00AE65E7" w:rsidP="00AE65E7"/>
    <w:p w14:paraId="1CD52F50" w14:textId="3984C723" w:rsidR="00AE65E7" w:rsidRDefault="00AE65E7" w:rsidP="00AE65E7"/>
    <w:p w14:paraId="35D85099" w14:textId="4698D0FA" w:rsidR="00AE65E7" w:rsidRDefault="00AE65E7" w:rsidP="00AE65E7"/>
    <w:p w14:paraId="422A4696" w14:textId="66C37420" w:rsidR="00AE65E7" w:rsidRDefault="00AE65E7" w:rsidP="00AE65E7"/>
    <w:p w14:paraId="3E189659" w14:textId="504CBBE2" w:rsidR="00AE65E7" w:rsidRDefault="00AE65E7" w:rsidP="00AE65E7"/>
    <w:p w14:paraId="21C97B6A" w14:textId="529B283C" w:rsidR="00AE65E7" w:rsidRPr="009C12F8" w:rsidRDefault="00AE65E7" w:rsidP="00AE65E7">
      <w:pPr>
        <w:pStyle w:val="Heading1"/>
        <w:rPr>
          <w:sz w:val="36"/>
          <w:szCs w:val="36"/>
        </w:rPr>
      </w:pPr>
      <w:bookmarkStart w:id="21" w:name="_Toc113493902"/>
      <w:r>
        <w:lastRenderedPageBreak/>
        <w:t>Appendi</w:t>
      </w:r>
      <w:r w:rsidRPr="009C12F8">
        <w:t>ces</w:t>
      </w:r>
      <w:bookmarkEnd w:id="21"/>
    </w:p>
    <w:p w14:paraId="2AD0A7FE" w14:textId="122F61D3" w:rsidR="00AE65E7" w:rsidRDefault="00AE65E7" w:rsidP="00AE65E7">
      <w:pPr>
        <w:rPr>
          <w:b/>
          <w:bCs/>
          <w:sz w:val="28"/>
          <w:szCs w:val="28"/>
        </w:rPr>
      </w:pPr>
      <w:r w:rsidRPr="00AE65E7">
        <w:rPr>
          <w:b/>
          <w:bCs/>
          <w:sz w:val="28"/>
          <w:szCs w:val="28"/>
        </w:rPr>
        <w:t>Appendix 1:</w:t>
      </w:r>
      <w:r>
        <w:rPr>
          <w:b/>
          <w:bCs/>
          <w:sz w:val="28"/>
          <w:szCs w:val="28"/>
        </w:rPr>
        <w:t xml:space="preserve"> Supporting visual in the form of poster</w:t>
      </w:r>
    </w:p>
    <w:p w14:paraId="3EC88563" w14:textId="2DB20779" w:rsidR="00AE65E7" w:rsidRDefault="00AE65E7" w:rsidP="00AE65E7">
      <w:pPr>
        <w:rPr>
          <w:b/>
          <w:bCs/>
          <w:sz w:val="28"/>
          <w:szCs w:val="28"/>
        </w:rPr>
      </w:pPr>
    </w:p>
    <w:p w14:paraId="21D58500" w14:textId="6E931ADF" w:rsidR="00AE65E7" w:rsidRPr="00AE65E7" w:rsidRDefault="00AE65E7" w:rsidP="00AE65E7">
      <w:pPr>
        <w:rPr>
          <w:b/>
          <w:bCs/>
          <w:sz w:val="28"/>
          <w:szCs w:val="28"/>
        </w:rPr>
      </w:pPr>
      <w:r>
        <w:rPr>
          <w:noProof/>
        </w:rPr>
        <w:drawing>
          <wp:inline distT="0" distB="0" distL="0" distR="0" wp14:anchorId="1C7AE05D" wp14:editId="02F01C04">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sectPr w:rsidR="00AE65E7" w:rsidRPr="00AE65E7" w:rsidSect="009C12F8">
      <w:headerReference w:type="default" r:id="rId15"/>
      <w:footerReference w:type="default" r:id="rId16"/>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2D10E" w14:textId="77777777" w:rsidR="00302921" w:rsidRDefault="00302921">
      <w:pPr>
        <w:spacing w:line="240" w:lineRule="auto"/>
      </w:pPr>
      <w:r>
        <w:separator/>
      </w:r>
    </w:p>
  </w:endnote>
  <w:endnote w:type="continuationSeparator" w:id="0">
    <w:p w14:paraId="31BE306C" w14:textId="77777777" w:rsidR="00302921" w:rsidRDefault="003029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7ED86" w14:textId="77777777" w:rsidR="00413283" w:rsidRDefault="009C12F8">
    <w:pPr>
      <w:jc w:val="right"/>
    </w:pPr>
    <w:r>
      <w:fldChar w:fldCharType="begin"/>
    </w:r>
    <w:r>
      <w:instrText>PAGE</w:instrText>
    </w:r>
    <w:r>
      <w:fldChar w:fldCharType="separate"/>
    </w:r>
    <w:r w:rsidR="000071F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1F513" w14:textId="77777777" w:rsidR="00302921" w:rsidRDefault="00302921">
      <w:pPr>
        <w:spacing w:line="240" w:lineRule="auto"/>
      </w:pPr>
      <w:r>
        <w:separator/>
      </w:r>
    </w:p>
  </w:footnote>
  <w:footnote w:type="continuationSeparator" w:id="0">
    <w:p w14:paraId="14CC22F9" w14:textId="77777777" w:rsidR="00302921" w:rsidRDefault="003029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DA8C7" w14:textId="05AE54CB" w:rsidR="00413283" w:rsidRDefault="009C12F8" w:rsidP="000071F8">
    <w:pPr>
      <w:ind w:left="5760"/>
      <w:jc w:val="right"/>
    </w:pPr>
    <w:r>
      <w:t xml:space="preserve">      MARKETING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4803"/>
    <w:multiLevelType w:val="multilevel"/>
    <w:tmpl w:val="B414E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371B47"/>
    <w:multiLevelType w:val="multilevel"/>
    <w:tmpl w:val="4162C0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EF2C8D"/>
    <w:multiLevelType w:val="multilevel"/>
    <w:tmpl w:val="8ED64A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9F654B"/>
    <w:multiLevelType w:val="multilevel"/>
    <w:tmpl w:val="5F5E2C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0B25EC"/>
    <w:multiLevelType w:val="multilevel"/>
    <w:tmpl w:val="1F767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5939148">
    <w:abstractNumId w:val="4"/>
  </w:num>
  <w:num w:numId="2" w16cid:durableId="1253667318">
    <w:abstractNumId w:val="3"/>
  </w:num>
  <w:num w:numId="3" w16cid:durableId="1265722953">
    <w:abstractNumId w:val="2"/>
  </w:num>
  <w:num w:numId="4" w16cid:durableId="2041856465">
    <w:abstractNumId w:val="0"/>
  </w:num>
  <w:num w:numId="5" w16cid:durableId="558638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3283"/>
    <w:rsid w:val="000071F8"/>
    <w:rsid w:val="00090D1D"/>
    <w:rsid w:val="000F3CD5"/>
    <w:rsid w:val="002B12B3"/>
    <w:rsid w:val="002F3BCD"/>
    <w:rsid w:val="00302921"/>
    <w:rsid w:val="00390046"/>
    <w:rsid w:val="00413283"/>
    <w:rsid w:val="0057716A"/>
    <w:rsid w:val="00600C9B"/>
    <w:rsid w:val="006F039C"/>
    <w:rsid w:val="008152D8"/>
    <w:rsid w:val="009B1BD7"/>
    <w:rsid w:val="009C12F8"/>
    <w:rsid w:val="00AE65E7"/>
    <w:rsid w:val="00B4658F"/>
    <w:rsid w:val="00D27DE0"/>
    <w:rsid w:val="00D75FB4"/>
    <w:rsid w:val="00E26B7F"/>
    <w:rsid w:val="00E8002D"/>
    <w:rsid w:val="00F527B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4C8F3"/>
  <w15:docId w15:val="{9683D258-DADD-4161-8FC7-EF5075836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7716A"/>
    <w:pPr>
      <w:keepNext/>
      <w:keepLines/>
      <w:spacing w:before="120" w:after="120"/>
      <w:outlineLvl w:val="0"/>
    </w:pPr>
    <w:rPr>
      <w:b/>
      <w:sz w:val="28"/>
      <w:szCs w:val="28"/>
    </w:rPr>
  </w:style>
  <w:style w:type="paragraph" w:styleId="Heading2">
    <w:name w:val="heading 2"/>
    <w:basedOn w:val="Normal"/>
    <w:next w:val="Normal"/>
    <w:uiPriority w:val="9"/>
    <w:unhideWhenUsed/>
    <w:qFormat/>
    <w:rsid w:val="000071F8"/>
    <w:pPr>
      <w:keepNext/>
      <w:keepLines/>
      <w:spacing w:before="120" w:after="120"/>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rsid w:val="009C12F8"/>
    <w:pPr>
      <w:keepNext/>
      <w:keepLines/>
      <w:spacing w:after="320"/>
      <w:jc w:val="center"/>
    </w:pPr>
    <w:rPr>
      <w:rFonts w:eastAsia="Arial" w:cs="Arial"/>
      <w:b/>
      <w:i/>
      <w:color w:val="666666"/>
      <w:sz w:val="4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0071F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71F8"/>
    <w:pPr>
      <w:spacing w:after="100"/>
    </w:pPr>
  </w:style>
  <w:style w:type="paragraph" w:styleId="TOC2">
    <w:name w:val="toc 2"/>
    <w:basedOn w:val="Normal"/>
    <w:next w:val="Normal"/>
    <w:autoRedefine/>
    <w:uiPriority w:val="39"/>
    <w:unhideWhenUsed/>
    <w:rsid w:val="000071F8"/>
    <w:pPr>
      <w:spacing w:after="100"/>
      <w:ind w:left="240"/>
    </w:pPr>
  </w:style>
  <w:style w:type="character" w:styleId="Hyperlink">
    <w:name w:val="Hyperlink"/>
    <w:basedOn w:val="DefaultParagraphFont"/>
    <w:uiPriority w:val="99"/>
    <w:unhideWhenUsed/>
    <w:rsid w:val="000071F8"/>
    <w:rPr>
      <w:color w:val="0000FF" w:themeColor="hyperlink"/>
      <w:u w:val="single"/>
    </w:rPr>
  </w:style>
  <w:style w:type="paragraph" w:styleId="Header">
    <w:name w:val="header"/>
    <w:basedOn w:val="Normal"/>
    <w:link w:val="HeaderChar"/>
    <w:uiPriority w:val="99"/>
    <w:unhideWhenUsed/>
    <w:rsid w:val="000071F8"/>
    <w:pPr>
      <w:tabs>
        <w:tab w:val="center" w:pos="4513"/>
        <w:tab w:val="right" w:pos="9026"/>
      </w:tabs>
      <w:spacing w:line="240" w:lineRule="auto"/>
    </w:pPr>
  </w:style>
  <w:style w:type="character" w:customStyle="1" w:styleId="HeaderChar">
    <w:name w:val="Header Char"/>
    <w:basedOn w:val="DefaultParagraphFont"/>
    <w:link w:val="Header"/>
    <w:uiPriority w:val="99"/>
    <w:rsid w:val="000071F8"/>
  </w:style>
  <w:style w:type="paragraph" w:styleId="Footer">
    <w:name w:val="footer"/>
    <w:basedOn w:val="Normal"/>
    <w:link w:val="FooterChar"/>
    <w:uiPriority w:val="99"/>
    <w:unhideWhenUsed/>
    <w:rsid w:val="000071F8"/>
    <w:pPr>
      <w:tabs>
        <w:tab w:val="center" w:pos="4513"/>
        <w:tab w:val="right" w:pos="9026"/>
      </w:tabs>
      <w:spacing w:line="240" w:lineRule="auto"/>
    </w:pPr>
  </w:style>
  <w:style w:type="character" w:customStyle="1" w:styleId="FooterChar">
    <w:name w:val="Footer Char"/>
    <w:basedOn w:val="DefaultParagraphFont"/>
    <w:link w:val="Footer"/>
    <w:uiPriority w:val="99"/>
    <w:rsid w:val="000071F8"/>
  </w:style>
  <w:style w:type="paragraph" w:styleId="ListParagraph">
    <w:name w:val="List Paragraph"/>
    <w:basedOn w:val="Normal"/>
    <w:uiPriority w:val="34"/>
    <w:qFormat/>
    <w:rsid w:val="00390046"/>
    <w:pPr>
      <w:ind w:left="720"/>
      <w:contextualSpacing/>
    </w:pPr>
  </w:style>
  <w:style w:type="paragraph" w:styleId="NoSpacing">
    <w:name w:val="No Spacing"/>
    <w:uiPriority w:val="1"/>
    <w:qFormat/>
    <w:rsid w:val="00AE65E7"/>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E9C18-101D-4291-8768-CE0361134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3815</Words>
  <Characters>21750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bhaskhar ruby</cp:lastModifiedBy>
  <cp:revision>3</cp:revision>
  <dcterms:created xsi:type="dcterms:W3CDTF">2022-09-07T20:15:00Z</dcterms:created>
  <dcterms:modified xsi:type="dcterms:W3CDTF">2022-09-07T21:45:00Z</dcterms:modified>
</cp:coreProperties>
</file>