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0EDF81" w14:textId="77777777" w:rsidR="00894850" w:rsidRPr="000C0CD1" w:rsidRDefault="00894850" w:rsidP="00894850">
      <w:pPr>
        <w:rPr>
          <w:b/>
          <w:bCs/>
          <w:sz w:val="24"/>
          <w:szCs w:val="24"/>
        </w:rPr>
      </w:pPr>
      <w:r w:rsidRPr="000C0CD1">
        <w:rPr>
          <w:b/>
          <w:bCs/>
          <w:sz w:val="24"/>
          <w:szCs w:val="24"/>
        </w:rPr>
        <w:t>Blog 1: Setting the Foundation with Aims and Objectives</w:t>
      </w:r>
    </w:p>
    <w:p w14:paraId="19A10C2A" w14:textId="77777777" w:rsidR="00894850" w:rsidRPr="000C0CD1" w:rsidRDefault="00894850" w:rsidP="00894850">
      <w:pPr>
        <w:ind w:firstLine="720"/>
      </w:pPr>
      <w:r w:rsidRPr="000C0CD1">
        <w:t>Hello, dear readers,</w:t>
      </w:r>
    </w:p>
    <w:p w14:paraId="40953BFB" w14:textId="77777777" w:rsidR="00894850" w:rsidRPr="000C0CD1" w:rsidRDefault="00894850" w:rsidP="00894850">
      <w:pPr>
        <w:ind w:firstLine="720"/>
      </w:pPr>
      <w:r w:rsidRPr="000C0CD1">
        <w:t>As we embark on the journey of the Financial Workflow Streamlining (FWS) Project, the value of our foundational training sessions is becoming increasingly apparent. A core tenet of our project management lectures was the indispensability of having precise aims and objectives. Not just for the sake of having goals, but to ensure they are anchored in quantifiable metrics. In the context of the FWS project, this quantification translates to a significant aim: a reduction in process times by a noteworthy 25%.</w:t>
      </w:r>
    </w:p>
    <w:p w14:paraId="5FA7D2C8" w14:textId="77777777" w:rsidR="00894850" w:rsidRPr="000C0CD1" w:rsidRDefault="00894850" w:rsidP="00894850">
      <w:pPr>
        <w:ind w:firstLine="720"/>
      </w:pPr>
      <w:r w:rsidRPr="000C0CD1">
        <w:t>But merely setting these goals isn't the end of it. Our strategy now revolves around how to achieve these goals systematically and efficiently. This is where the insights from the eminent project management expert, Dr. Harold Kerzner, become integral. According to Kerzner (2009), navigating the intricate landscape of a project requires a comprehensive roadmap that is not just clear but is also iterative, adapting to the unique challenges and dynamics of the project environment.</w:t>
      </w:r>
    </w:p>
    <w:p w14:paraId="07DB1572" w14:textId="77777777" w:rsidR="00894850" w:rsidRPr="000C0CD1" w:rsidRDefault="00894850" w:rsidP="00894850">
      <w:pPr>
        <w:ind w:firstLine="720"/>
      </w:pPr>
      <w:r w:rsidRPr="000C0CD1">
        <w:t>Additionally, while our primary objective is set, ancillary objectives are also being fine-tuned to ensure that every aspect of the project, from resource allocation to stakeholder communication, aligns seamlessly. After all, as the saying goes, "a goal without a plan is just a wish," and with the foundational principles we've learned and are applying, our project is poised for success.</w:t>
      </w:r>
    </w:p>
    <w:p w14:paraId="74212DEA" w14:textId="77777777" w:rsidR="00894850" w:rsidRPr="000C0CD1" w:rsidRDefault="00894850" w:rsidP="00894850">
      <w:r w:rsidRPr="000C0CD1">
        <w:t>Reference:</w:t>
      </w:r>
    </w:p>
    <w:p w14:paraId="3CA28FB3" w14:textId="77777777" w:rsidR="00894850" w:rsidRPr="000C0CD1" w:rsidRDefault="00894850" w:rsidP="00894850">
      <w:r w:rsidRPr="000C0CD1">
        <w:t>Kerzner, H. (2009). Project Management: A Systems Approach to Planning, Scheduling, and Controlling. John Wiley &amp; Sons.</w:t>
      </w:r>
    </w:p>
    <w:p w14:paraId="2BFBBD55" w14:textId="77777777" w:rsidR="00894850" w:rsidRPr="000C0CD1" w:rsidRDefault="00894850" w:rsidP="00894850">
      <w:pPr>
        <w:rPr>
          <w:b/>
          <w:bCs/>
          <w:sz w:val="24"/>
          <w:szCs w:val="24"/>
        </w:rPr>
      </w:pPr>
    </w:p>
    <w:p w14:paraId="657DECBE" w14:textId="77777777" w:rsidR="00894850" w:rsidRPr="000C0CD1" w:rsidRDefault="00894850" w:rsidP="00894850">
      <w:pPr>
        <w:rPr>
          <w:b/>
          <w:bCs/>
          <w:sz w:val="24"/>
          <w:szCs w:val="24"/>
        </w:rPr>
      </w:pPr>
      <w:r w:rsidRPr="000C0CD1">
        <w:rPr>
          <w:b/>
          <w:bCs/>
          <w:sz w:val="24"/>
          <w:szCs w:val="24"/>
        </w:rPr>
        <w:t>Blog 2: Charting the Course with Gantt and Risk Analysis</w:t>
      </w:r>
    </w:p>
    <w:p w14:paraId="59906243" w14:textId="77777777" w:rsidR="00894850" w:rsidRPr="000C0CD1" w:rsidRDefault="00894850" w:rsidP="00894850">
      <w:pPr>
        <w:ind w:firstLine="720"/>
      </w:pPr>
      <w:r w:rsidRPr="000C0CD1">
        <w:t>Hello again, dear readers,</w:t>
      </w:r>
    </w:p>
    <w:p w14:paraId="62E7A5E1" w14:textId="77777777" w:rsidR="00894850" w:rsidRPr="000C0CD1" w:rsidRDefault="00894850" w:rsidP="00894850">
      <w:pPr>
        <w:ind w:firstLine="720"/>
      </w:pPr>
      <w:r w:rsidRPr="000C0CD1">
        <w:t>One of the fundamental learnings in project management is the gap that often exists between theory and its real-world application. This chasm, though daunting, can be bridged effectively with the right tools. Enter Gantt Charts. These visual representations, as articulated in Burke's (2013) seminal work, are not mere scheduling tools. They offer a comprehensive perspective on project timelines, resource allocations, and dependencies. For our FWS Project, Gantt Charts have become the visual backbone, providing clarity and alignment, ensuring that every member is synchronized with the project's pulse.</w:t>
      </w:r>
    </w:p>
    <w:p w14:paraId="2DFA25C8" w14:textId="77777777" w:rsidR="00894850" w:rsidRPr="000C0CD1" w:rsidRDefault="00894850" w:rsidP="00894850">
      <w:pPr>
        <w:ind w:firstLine="720"/>
      </w:pPr>
      <w:r w:rsidRPr="000C0CD1">
        <w:t>While Gantt Charts keep us on track, Risk Analysis remains our compass through the unpredictable terrains of project challenges. Drawing inspiration from Hillson's (2002) expertise, we've meticulously assessed potential risks, categorizing them based on their probability and impact. This exercise is not about foreseeing every obstacle - that's an impractical expectation. Instead, it’s about cultivating a mindset of preparedness. By understanding possible setbacks, their implications, and mitigation strategies, we have positioned ourselves to navigate uncertainties more effectively.</w:t>
      </w:r>
    </w:p>
    <w:p w14:paraId="34A3C70E" w14:textId="77777777" w:rsidR="00894850" w:rsidRPr="000C0CD1" w:rsidRDefault="00894850" w:rsidP="00894850">
      <w:pPr>
        <w:ind w:firstLine="720"/>
      </w:pPr>
      <w:r w:rsidRPr="000C0CD1">
        <w:lastRenderedPageBreak/>
        <w:t>It's these tools, backed by proven academic knowledge, that promise a more structured and strategic project management approach, allowing us to tackle challenges head-on and steer our project towards success.</w:t>
      </w:r>
    </w:p>
    <w:p w14:paraId="5BFEA1F2" w14:textId="77777777" w:rsidR="00894850" w:rsidRPr="000C0CD1" w:rsidRDefault="00894850" w:rsidP="00894850">
      <w:r w:rsidRPr="000C0CD1">
        <w:t>References:</w:t>
      </w:r>
    </w:p>
    <w:p w14:paraId="5297A2B2" w14:textId="77777777" w:rsidR="00894850" w:rsidRPr="000C0CD1" w:rsidRDefault="00894850" w:rsidP="00894850">
      <w:r w:rsidRPr="000C0CD1">
        <w:t>Burke, R. (2013). Project Management: Planning and Control Techniques. John Wiley &amp; Sons.</w:t>
      </w:r>
    </w:p>
    <w:p w14:paraId="4A1EBE49" w14:textId="1E496214" w:rsidR="00894850" w:rsidRPr="000C0CD1" w:rsidRDefault="00894850" w:rsidP="00894850">
      <w:r w:rsidRPr="000C0CD1">
        <w:t>Hillson, D. (2002). Effective Opportunity Management for Projects. CRC Press.</w:t>
      </w:r>
    </w:p>
    <w:p w14:paraId="53E1B826" w14:textId="77777777" w:rsidR="00894850" w:rsidRPr="000C0CD1" w:rsidRDefault="00894850" w:rsidP="00894850"/>
    <w:p w14:paraId="7678E428" w14:textId="77777777" w:rsidR="00894850" w:rsidRPr="000C0CD1" w:rsidRDefault="00894850" w:rsidP="00894850">
      <w:pPr>
        <w:rPr>
          <w:b/>
          <w:bCs/>
          <w:sz w:val="24"/>
          <w:szCs w:val="24"/>
        </w:rPr>
      </w:pPr>
      <w:r w:rsidRPr="000C0CD1">
        <w:rPr>
          <w:b/>
          <w:bCs/>
          <w:sz w:val="24"/>
          <w:szCs w:val="24"/>
        </w:rPr>
        <w:t>Blog 3: Reflecting Mid-Way with SWOT and Stakeholder Analysis</w:t>
      </w:r>
    </w:p>
    <w:p w14:paraId="230B132B" w14:textId="77777777" w:rsidR="00894850" w:rsidRPr="000C0CD1" w:rsidRDefault="00894850" w:rsidP="000C0CD1">
      <w:pPr>
        <w:ind w:firstLine="720"/>
      </w:pPr>
      <w:r w:rsidRPr="000C0CD1">
        <w:t>Hello once again from the bustling heart of the FWS project,</w:t>
      </w:r>
    </w:p>
    <w:p w14:paraId="2894B1BA" w14:textId="77777777" w:rsidR="00894850" w:rsidRPr="000C0CD1" w:rsidRDefault="00894850" w:rsidP="000C0CD1">
      <w:pPr>
        <w:ind w:firstLine="720"/>
      </w:pPr>
      <w:r w:rsidRPr="000C0CD1">
        <w:t>Reflection isn't just a mid-project pause; it's a recalibration of our strategies based on a deeper understanding of our internal dynamics and the broader environment. SWOT Analysis, a framework so adeptly discussed by Valentin (2001), has been pivotal for us. This exercise offered a structured lens to evaluate our Strengths, Weaknesses, Opportunities, and Threats. For instance, while our team's cohesion emerged as a marked strength, adapting to rapidly shifting financial regulations became an identified challenge. This clarity has proven instrumental in making informed, strategic decisions as we navigate the project's complexities.</w:t>
      </w:r>
    </w:p>
    <w:p w14:paraId="34235A57" w14:textId="77777777" w:rsidR="00894850" w:rsidRPr="000C0CD1" w:rsidRDefault="00894850" w:rsidP="000C0CD1">
      <w:pPr>
        <w:ind w:firstLine="720"/>
      </w:pPr>
      <w:r w:rsidRPr="000C0CD1">
        <w:t>However, looking inward is just half of the equation. External alignment, particularly with stakeholders, is of paramount importance. Freeman's (2010) work on stakeholder management stresses the significance of understanding and prioritizing stakeholder interests. Through our Stakeholder Analysis, we've been able to map the influence and interest of various entities, from our sponsor to department heads. Such insights ensure that our project not only progresses smoothly but also aligns with the broader organizational vision and meets, if not exceeds, stakeholder expectations.</w:t>
      </w:r>
    </w:p>
    <w:p w14:paraId="76A53389" w14:textId="77777777" w:rsidR="00894850" w:rsidRPr="000C0CD1" w:rsidRDefault="00894850" w:rsidP="000C0CD1">
      <w:pPr>
        <w:ind w:firstLine="720"/>
      </w:pPr>
      <w:r w:rsidRPr="000C0CD1">
        <w:t>Thus, these tools, deeply rooted in academic wisdom, are enabling us to traverse the project landscape with greater clarity and conviction.</w:t>
      </w:r>
    </w:p>
    <w:p w14:paraId="1C3EF2C6" w14:textId="77777777" w:rsidR="00894850" w:rsidRPr="000C0CD1" w:rsidRDefault="00894850" w:rsidP="00894850">
      <w:r w:rsidRPr="000C0CD1">
        <w:t>References:</w:t>
      </w:r>
    </w:p>
    <w:p w14:paraId="35F462A8" w14:textId="77777777" w:rsidR="00894850" w:rsidRPr="000C0CD1" w:rsidRDefault="00894850" w:rsidP="00894850">
      <w:r w:rsidRPr="000C0CD1">
        <w:t>Valentin, E. K. (2001). SWOT analysis from a resource-based view. Journal of Marketing Theory and Practice, 54-69.</w:t>
      </w:r>
    </w:p>
    <w:p w14:paraId="784A49C3" w14:textId="7B79A0DE" w:rsidR="00894850" w:rsidRPr="000C0CD1" w:rsidRDefault="00894850" w:rsidP="00894850">
      <w:r w:rsidRPr="000C0CD1">
        <w:t>Freeman, R. E. (2010). Strategic Management: A Stakeholder Approach. Cambridge University Press.</w:t>
      </w:r>
    </w:p>
    <w:p w14:paraId="28B29589" w14:textId="77777777" w:rsidR="000C0CD1" w:rsidRPr="000C0CD1" w:rsidRDefault="000C0CD1" w:rsidP="00894850"/>
    <w:p w14:paraId="486460DE" w14:textId="77777777" w:rsidR="000C0CD1" w:rsidRPr="000C0CD1" w:rsidRDefault="000C0CD1" w:rsidP="000C0CD1">
      <w:pPr>
        <w:rPr>
          <w:b/>
          <w:bCs/>
          <w:sz w:val="24"/>
          <w:szCs w:val="24"/>
        </w:rPr>
      </w:pPr>
      <w:r w:rsidRPr="000C0CD1">
        <w:rPr>
          <w:b/>
          <w:bCs/>
          <w:sz w:val="24"/>
          <w:szCs w:val="24"/>
        </w:rPr>
        <w:t>Blog 4: Toward the Finish Line: The Balance of Hard and Soft Evaluation</w:t>
      </w:r>
    </w:p>
    <w:p w14:paraId="66AD3FF1" w14:textId="5BA7746B" w:rsidR="000C0CD1" w:rsidRPr="000C0CD1" w:rsidRDefault="000C0CD1" w:rsidP="000C0CD1">
      <w:pPr>
        <w:ind w:firstLine="720"/>
      </w:pPr>
      <w:r w:rsidRPr="000C0CD1">
        <w:t xml:space="preserve">Dear devoted </w:t>
      </w:r>
      <w:r w:rsidRPr="000C0CD1">
        <w:t>readers</w:t>
      </w:r>
      <w:r w:rsidRPr="000C0CD1">
        <w:t>,</w:t>
      </w:r>
    </w:p>
    <w:p w14:paraId="479D3A0D" w14:textId="77777777" w:rsidR="000C0CD1" w:rsidRPr="000C0CD1" w:rsidRDefault="000C0CD1" w:rsidP="000C0CD1">
      <w:pPr>
        <w:ind w:firstLine="720"/>
      </w:pPr>
      <w:r w:rsidRPr="000C0CD1">
        <w:t xml:space="preserve">As the curtain begins to descend on our ambitious FWS project, the importance of comprehensive evaluation becomes increasingly palpable. In project management, it's often tempting to rely purely on quantifiable metrics, the so-called 'hard' data, as they offer tangible evidence of </w:t>
      </w:r>
      <w:r w:rsidRPr="000C0CD1">
        <w:lastRenderedPageBreak/>
        <w:t>performance. However, as our project journey has underlined, this is just one piece of the evaluation puzzle.</w:t>
      </w:r>
    </w:p>
    <w:p w14:paraId="365408E2" w14:textId="77777777" w:rsidR="000C0CD1" w:rsidRPr="000C0CD1" w:rsidRDefault="000C0CD1" w:rsidP="000C0CD1">
      <w:pPr>
        <w:ind w:firstLine="720"/>
      </w:pPr>
      <w:r w:rsidRPr="000C0CD1">
        <w:t xml:space="preserve">The 'hard' evaluations, encompassing aspects like time, budget, and quality metrics, have been essential for tracking our direct progress against the established objectives. Drawing insights from </w:t>
      </w:r>
      <w:proofErr w:type="spellStart"/>
      <w:r w:rsidRPr="000C0CD1">
        <w:t>Shenhar</w:t>
      </w:r>
      <w:proofErr w:type="spellEnd"/>
      <w:r w:rsidRPr="000C0CD1">
        <w:t xml:space="preserve"> et al.'s (2001) exploration of project success, we understood that achieving defined metrics does play a role in the perception of success.</w:t>
      </w:r>
    </w:p>
    <w:p w14:paraId="10D75906" w14:textId="77777777" w:rsidR="000C0CD1" w:rsidRPr="000C0CD1" w:rsidRDefault="000C0CD1" w:rsidP="000C0CD1">
      <w:pPr>
        <w:ind w:firstLine="720"/>
      </w:pPr>
      <w:r w:rsidRPr="000C0CD1">
        <w:t>On the flip side, 'soft' evaluations, emphasizing the human element of project management, are equally vital. The qualitative feedback from team members, stakeholders, and end-users provides a richer, more nuanced understanding of the project's impact. Patton's (2002) work has always stressed the value of qualitative methodologies in unearthing deeper insights, guiding us to recognize the intangible benefits and challenges our project brought forth.</w:t>
      </w:r>
    </w:p>
    <w:p w14:paraId="11D2A67B" w14:textId="77777777" w:rsidR="000C0CD1" w:rsidRPr="000C0CD1" w:rsidRDefault="000C0CD1" w:rsidP="000C0CD1">
      <w:pPr>
        <w:ind w:firstLine="720"/>
      </w:pPr>
      <w:r w:rsidRPr="000C0CD1">
        <w:t>In essence, the synergy of both these evaluation methodologies ensures a holistic understanding of the project, enabling us to draw learnings not just for the project's outcomes but also for the journey that led us there.</w:t>
      </w:r>
    </w:p>
    <w:p w14:paraId="725D9B2F" w14:textId="77777777" w:rsidR="000C0CD1" w:rsidRPr="000C0CD1" w:rsidRDefault="000C0CD1" w:rsidP="000C0CD1">
      <w:r w:rsidRPr="000C0CD1">
        <w:t>References:</w:t>
      </w:r>
    </w:p>
    <w:p w14:paraId="0C174872" w14:textId="77777777" w:rsidR="000C0CD1" w:rsidRPr="000C0CD1" w:rsidRDefault="000C0CD1" w:rsidP="000C0CD1">
      <w:proofErr w:type="spellStart"/>
      <w:r w:rsidRPr="000C0CD1">
        <w:t>Shenhar</w:t>
      </w:r>
      <w:proofErr w:type="spellEnd"/>
      <w:r w:rsidRPr="000C0CD1">
        <w:t>, A. J., Dvir, D., Levy, O., &amp; Maltz, A. C. (2001). Project Success: A Multidimensional Strategic Concept. Long Range Planning, 34(6), 699-725.</w:t>
      </w:r>
    </w:p>
    <w:p w14:paraId="52B7DD69" w14:textId="74430651" w:rsidR="00894850" w:rsidRPr="000C0CD1" w:rsidRDefault="000C0CD1" w:rsidP="000C0CD1">
      <w:r w:rsidRPr="000C0CD1">
        <w:t>Patton, M. Q. (2002). Qualitative Research &amp; Evaluation Methods. SAGE.</w:t>
      </w:r>
    </w:p>
    <w:p w14:paraId="60BDAC62" w14:textId="77777777" w:rsidR="000C0CD1" w:rsidRPr="000C0CD1" w:rsidRDefault="000C0CD1" w:rsidP="000C0CD1"/>
    <w:p w14:paraId="51D21892" w14:textId="77777777" w:rsidR="000C0CD1" w:rsidRPr="000C0CD1" w:rsidRDefault="000C0CD1" w:rsidP="000C0CD1">
      <w:pPr>
        <w:rPr>
          <w:b/>
          <w:bCs/>
          <w:sz w:val="24"/>
          <w:szCs w:val="24"/>
        </w:rPr>
      </w:pPr>
      <w:r w:rsidRPr="000C0CD1">
        <w:rPr>
          <w:b/>
          <w:bCs/>
          <w:sz w:val="24"/>
          <w:szCs w:val="24"/>
        </w:rPr>
        <w:t>Blog 5: Personal Reflections and the Road Ahead</w:t>
      </w:r>
    </w:p>
    <w:p w14:paraId="5EAAC3B4" w14:textId="46AD29B9" w:rsidR="000C0CD1" w:rsidRPr="000C0CD1" w:rsidRDefault="000C0CD1" w:rsidP="000C0CD1">
      <w:pPr>
        <w:ind w:firstLine="720"/>
      </w:pPr>
      <w:r w:rsidRPr="000C0CD1">
        <w:t>Dear</w:t>
      </w:r>
      <w:r w:rsidRPr="000C0CD1">
        <w:t xml:space="preserve"> followers,</w:t>
      </w:r>
    </w:p>
    <w:p w14:paraId="47EBC872" w14:textId="77777777" w:rsidR="000C0CD1" w:rsidRPr="000C0CD1" w:rsidRDefault="000C0CD1" w:rsidP="000C0CD1">
      <w:pPr>
        <w:ind w:firstLine="720"/>
      </w:pPr>
      <w:r w:rsidRPr="000C0CD1">
        <w:t>As the sun sets on our ambitious FWS project, it's time for reflection. The journey has been both fulfilling and riddled with learning opportunities. Navigating the intricacies of the project has deepened my understanding of what it takes to lead, manage, and deliver.</w:t>
      </w:r>
    </w:p>
    <w:p w14:paraId="2A5D9D18" w14:textId="77777777" w:rsidR="000C0CD1" w:rsidRPr="000C0CD1" w:rsidRDefault="000C0CD1" w:rsidP="000C0CD1">
      <w:pPr>
        <w:ind w:firstLine="720"/>
      </w:pPr>
      <w:r w:rsidRPr="000C0CD1">
        <w:t>One area that particularly stood out was the realm of change management. Despite our successes, I recognize that there's much to be enhanced in how we approach, implement, and adapt to change within a project's lifecycle. This realization aligns well with Kotter's (1996) emphasis on the importance of leading change, particularly in projects of this magnitude.</w:t>
      </w:r>
    </w:p>
    <w:p w14:paraId="649EEC8D" w14:textId="77777777" w:rsidR="000C0CD1" w:rsidRPr="000C0CD1" w:rsidRDefault="000C0CD1" w:rsidP="000C0CD1">
      <w:pPr>
        <w:ind w:firstLine="720"/>
      </w:pPr>
      <w:r w:rsidRPr="000C0CD1">
        <w:t>Furthermore, from a broader perspective, Crawford's (2005) research on senior management's perception of project management competence resonated with me. It's not just about executing a project; it's about doing so in a manner that aligns with strategic objectives and garners senior management buy-in.</w:t>
      </w:r>
    </w:p>
    <w:p w14:paraId="6C3960A3" w14:textId="77777777" w:rsidR="000C0CD1" w:rsidRPr="000C0CD1" w:rsidRDefault="000C0CD1" w:rsidP="000C0CD1">
      <w:pPr>
        <w:ind w:firstLine="720"/>
      </w:pPr>
      <w:r w:rsidRPr="000C0CD1">
        <w:t>To further refine my competencies and to better equip myself for future projects, I've earmarked advanced project management courses. Additionally, leadership training is on the horizon to hone my ability to steer teams even more effectively. This project might be winding down, but my commitment to growth and excellence remains evergreen.</w:t>
      </w:r>
    </w:p>
    <w:p w14:paraId="76018AF7" w14:textId="77777777" w:rsidR="000C0CD1" w:rsidRPr="000C0CD1" w:rsidRDefault="000C0CD1" w:rsidP="000C0CD1">
      <w:r w:rsidRPr="000C0CD1">
        <w:lastRenderedPageBreak/>
        <w:t>References:</w:t>
      </w:r>
    </w:p>
    <w:p w14:paraId="343D2BA1" w14:textId="77777777" w:rsidR="000C0CD1" w:rsidRPr="000C0CD1" w:rsidRDefault="000C0CD1" w:rsidP="000C0CD1">
      <w:r w:rsidRPr="000C0CD1">
        <w:t>Kotter, J. P. (1996). Leading Change. Harvard Business Review Press.</w:t>
      </w:r>
    </w:p>
    <w:p w14:paraId="17B3663D" w14:textId="29BF89BE" w:rsidR="0043333E" w:rsidRPr="000C0CD1" w:rsidRDefault="000C0CD1" w:rsidP="000C0CD1">
      <w:r w:rsidRPr="000C0CD1">
        <w:t>Crawford, L. (2005). Senior management perceptions of project management competence. International Journal of Project Management, 23(1), 7-16.</w:t>
      </w:r>
    </w:p>
    <w:sectPr w:rsidR="0043333E" w:rsidRPr="000C0CD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25C"/>
    <w:rsid w:val="000C0CD1"/>
    <w:rsid w:val="00410402"/>
    <w:rsid w:val="005A068B"/>
    <w:rsid w:val="00763E40"/>
    <w:rsid w:val="00840DA8"/>
    <w:rsid w:val="00894850"/>
    <w:rsid w:val="00C5325C"/>
    <w:rsid w:val="00D73858"/>
    <w:rsid w:val="00DE31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A8CA11"/>
  <w15:chartTrackingRefBased/>
  <w15:docId w15:val="{D1C49F3C-2118-4F3C-9593-BF54B21980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4805535">
      <w:bodyDiv w:val="1"/>
      <w:marLeft w:val="0"/>
      <w:marRight w:val="0"/>
      <w:marTop w:val="0"/>
      <w:marBottom w:val="0"/>
      <w:divBdr>
        <w:top w:val="none" w:sz="0" w:space="0" w:color="auto"/>
        <w:left w:val="none" w:sz="0" w:space="0" w:color="auto"/>
        <w:bottom w:val="none" w:sz="0" w:space="0" w:color="auto"/>
        <w:right w:val="none" w:sz="0" w:space="0" w:color="auto"/>
      </w:divBdr>
    </w:div>
    <w:div w:id="96602039">
      <w:bodyDiv w:val="1"/>
      <w:marLeft w:val="0"/>
      <w:marRight w:val="0"/>
      <w:marTop w:val="0"/>
      <w:marBottom w:val="0"/>
      <w:divBdr>
        <w:top w:val="none" w:sz="0" w:space="0" w:color="auto"/>
        <w:left w:val="none" w:sz="0" w:space="0" w:color="auto"/>
        <w:bottom w:val="none" w:sz="0" w:space="0" w:color="auto"/>
        <w:right w:val="none" w:sz="0" w:space="0" w:color="auto"/>
      </w:divBdr>
    </w:div>
    <w:div w:id="707028452">
      <w:bodyDiv w:val="1"/>
      <w:marLeft w:val="0"/>
      <w:marRight w:val="0"/>
      <w:marTop w:val="0"/>
      <w:marBottom w:val="0"/>
      <w:divBdr>
        <w:top w:val="none" w:sz="0" w:space="0" w:color="auto"/>
        <w:left w:val="none" w:sz="0" w:space="0" w:color="auto"/>
        <w:bottom w:val="none" w:sz="0" w:space="0" w:color="auto"/>
        <w:right w:val="none" w:sz="0" w:space="0" w:color="auto"/>
      </w:divBdr>
    </w:div>
    <w:div w:id="929629902">
      <w:bodyDiv w:val="1"/>
      <w:marLeft w:val="0"/>
      <w:marRight w:val="0"/>
      <w:marTop w:val="0"/>
      <w:marBottom w:val="0"/>
      <w:divBdr>
        <w:top w:val="none" w:sz="0" w:space="0" w:color="auto"/>
        <w:left w:val="none" w:sz="0" w:space="0" w:color="auto"/>
        <w:bottom w:val="none" w:sz="0" w:space="0" w:color="auto"/>
        <w:right w:val="none" w:sz="0" w:space="0" w:color="auto"/>
      </w:divBdr>
    </w:div>
    <w:div w:id="1125005849">
      <w:bodyDiv w:val="1"/>
      <w:marLeft w:val="0"/>
      <w:marRight w:val="0"/>
      <w:marTop w:val="0"/>
      <w:marBottom w:val="0"/>
      <w:divBdr>
        <w:top w:val="none" w:sz="0" w:space="0" w:color="auto"/>
        <w:left w:val="none" w:sz="0" w:space="0" w:color="auto"/>
        <w:bottom w:val="none" w:sz="0" w:space="0" w:color="auto"/>
        <w:right w:val="none" w:sz="0" w:space="0" w:color="auto"/>
      </w:divBdr>
    </w:div>
    <w:div w:id="2066761231">
      <w:bodyDiv w:val="1"/>
      <w:marLeft w:val="0"/>
      <w:marRight w:val="0"/>
      <w:marTop w:val="0"/>
      <w:marBottom w:val="0"/>
      <w:divBdr>
        <w:top w:val="none" w:sz="0" w:space="0" w:color="auto"/>
        <w:left w:val="none" w:sz="0" w:space="0" w:color="auto"/>
        <w:bottom w:val="none" w:sz="0" w:space="0" w:color="auto"/>
        <w:right w:val="none" w:sz="0" w:space="0" w:color="auto"/>
      </w:divBdr>
    </w:div>
    <w:div w:id="2097894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4</Pages>
  <Words>1235</Words>
  <Characters>7044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Cosmin Tudureanu</dc:creator>
  <cp:keywords/>
  <dc:description/>
  <cp:lastModifiedBy>Cosmin Tudureanu</cp:lastModifiedBy>
  <cp:revision>1</cp:revision>
  <dcterms:created xsi:type="dcterms:W3CDTF">2023-08-31T10:06:00Z</dcterms:created>
  <dcterms:modified xsi:type="dcterms:W3CDTF">2023-08-31T20:09:00Z</dcterms:modified>
</cp:coreProperties>
</file>