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8AE48" w14:textId="076CC6D5" w:rsidR="007417DE" w:rsidRDefault="007951DE" w:rsidP="00B4704E">
      <w:pPr>
        <w:jc w:val="left"/>
      </w:pPr>
      <w:r>
        <w:rPr>
          <w:noProof/>
        </w:rPr>
        <w:drawing>
          <wp:inline distT="0" distB="0" distL="0" distR="0" wp14:anchorId="4747857A" wp14:editId="0E8DBF8E">
            <wp:extent cx="1832805" cy="81589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3460" cy="820635"/>
                    </a:xfrm>
                    <a:prstGeom prst="rect">
                      <a:avLst/>
                    </a:prstGeom>
                    <a:noFill/>
                  </pic:spPr>
                </pic:pic>
              </a:graphicData>
            </a:graphic>
          </wp:inline>
        </w:drawing>
      </w:r>
    </w:p>
    <w:p w14:paraId="6B861D82" w14:textId="77777777" w:rsidR="007417DE" w:rsidRDefault="007417DE" w:rsidP="00B4704E">
      <w:pPr>
        <w:jc w:val="left"/>
      </w:pPr>
    </w:p>
    <w:p w14:paraId="2B393A3E" w14:textId="77777777" w:rsidR="00B4704E" w:rsidRPr="00B4704E" w:rsidRDefault="00B4704E" w:rsidP="00B4704E">
      <w:pPr>
        <w:spacing w:line="480" w:lineRule="auto"/>
        <w:jc w:val="center"/>
        <w:rPr>
          <w:sz w:val="28"/>
          <w:szCs w:val="28"/>
        </w:rPr>
      </w:pPr>
      <w:r w:rsidRPr="00B4704E">
        <w:rPr>
          <w:b/>
          <w:bCs/>
          <w:sz w:val="28"/>
          <w:szCs w:val="28"/>
        </w:rPr>
        <w:t>International Marketing:</w:t>
      </w:r>
      <w:r w:rsidRPr="00B4704E">
        <w:rPr>
          <w:sz w:val="28"/>
          <w:szCs w:val="28"/>
        </w:rPr>
        <w:t xml:space="preserve"> Principles and Practices</w:t>
      </w:r>
    </w:p>
    <w:p w14:paraId="2C5ED796" w14:textId="77777777" w:rsidR="00B4704E" w:rsidRPr="00B4704E" w:rsidRDefault="00B4704E" w:rsidP="00B4704E">
      <w:pPr>
        <w:spacing w:line="480" w:lineRule="auto"/>
        <w:jc w:val="center"/>
        <w:rPr>
          <w:sz w:val="28"/>
          <w:szCs w:val="28"/>
        </w:rPr>
      </w:pPr>
      <w:r w:rsidRPr="00B4704E">
        <w:rPr>
          <w:b/>
          <w:bCs/>
          <w:sz w:val="28"/>
          <w:szCs w:val="28"/>
        </w:rPr>
        <w:t>Assessment Component 1:</w:t>
      </w:r>
      <w:r w:rsidRPr="00B4704E">
        <w:rPr>
          <w:sz w:val="28"/>
          <w:szCs w:val="28"/>
        </w:rPr>
        <w:t xml:space="preserve"> Individual Report</w:t>
      </w:r>
    </w:p>
    <w:p w14:paraId="4D816058" w14:textId="15A95CCA" w:rsidR="00B4704E" w:rsidRPr="00B4704E" w:rsidRDefault="00B4704E" w:rsidP="00B4704E">
      <w:pPr>
        <w:spacing w:line="480" w:lineRule="auto"/>
        <w:jc w:val="center"/>
        <w:rPr>
          <w:sz w:val="28"/>
          <w:szCs w:val="28"/>
        </w:rPr>
      </w:pPr>
      <w:r w:rsidRPr="00B4704E">
        <w:rPr>
          <w:b/>
          <w:bCs/>
          <w:sz w:val="28"/>
          <w:szCs w:val="28"/>
        </w:rPr>
        <w:t>Title:</w:t>
      </w:r>
      <w:r w:rsidRPr="00B4704E">
        <w:rPr>
          <w:sz w:val="28"/>
          <w:szCs w:val="28"/>
        </w:rPr>
        <w:t xml:space="preserve"> “International Market Entry Strategy and Marketing Mix of </w:t>
      </w:r>
      <w:r>
        <w:rPr>
          <w:sz w:val="28"/>
          <w:szCs w:val="28"/>
        </w:rPr>
        <w:t>Toyota</w:t>
      </w:r>
      <w:r w:rsidRPr="00B4704E">
        <w:rPr>
          <w:sz w:val="28"/>
          <w:szCs w:val="28"/>
        </w:rPr>
        <w:t>”</w:t>
      </w:r>
    </w:p>
    <w:p w14:paraId="299D714E" w14:textId="21F67353" w:rsidR="00B4704E" w:rsidRDefault="00B4704E" w:rsidP="00B4704E">
      <w:pPr>
        <w:jc w:val="center"/>
        <w:rPr>
          <w:sz w:val="28"/>
          <w:szCs w:val="28"/>
        </w:rPr>
      </w:pPr>
      <w:r w:rsidRPr="00B4704E">
        <w:rPr>
          <w:b/>
          <w:bCs/>
          <w:sz w:val="28"/>
          <w:szCs w:val="28"/>
        </w:rPr>
        <w:t>A Two-Country Analysis:</w:t>
      </w:r>
      <w:r w:rsidRPr="00B4704E">
        <w:rPr>
          <w:sz w:val="28"/>
          <w:szCs w:val="28"/>
        </w:rPr>
        <w:t xml:space="preserve"> United States and Brazil</w:t>
      </w:r>
    </w:p>
    <w:p w14:paraId="6A5997F8" w14:textId="6A594C5E" w:rsidR="00801195" w:rsidRDefault="00801195" w:rsidP="00E93986">
      <w:pPr>
        <w:jc w:val="center"/>
        <w:rPr>
          <w:sz w:val="28"/>
          <w:szCs w:val="28"/>
        </w:rPr>
      </w:pPr>
      <w:r>
        <w:rPr>
          <w:sz w:val="28"/>
          <w:szCs w:val="28"/>
        </w:rPr>
        <w:t xml:space="preserve">Lecturer: </w:t>
      </w:r>
      <w:proofErr w:type="spellStart"/>
      <w:r w:rsidRPr="00801195">
        <w:rPr>
          <w:sz w:val="28"/>
          <w:szCs w:val="28"/>
        </w:rPr>
        <w:t>Tushara</w:t>
      </w:r>
      <w:proofErr w:type="spellEnd"/>
      <w:r w:rsidRPr="00801195">
        <w:rPr>
          <w:sz w:val="28"/>
          <w:szCs w:val="28"/>
        </w:rPr>
        <w:t xml:space="preserve"> </w:t>
      </w:r>
      <w:proofErr w:type="spellStart"/>
      <w:r w:rsidRPr="00801195">
        <w:rPr>
          <w:sz w:val="28"/>
          <w:szCs w:val="28"/>
        </w:rPr>
        <w:t>Balendran</w:t>
      </w:r>
      <w:proofErr w:type="spellEnd"/>
    </w:p>
    <w:p w14:paraId="55C4DE74" w14:textId="4C58163A" w:rsidR="00E93986" w:rsidRPr="00E93986" w:rsidRDefault="00E93986" w:rsidP="00E93986">
      <w:pPr>
        <w:jc w:val="center"/>
        <w:rPr>
          <w:sz w:val="28"/>
          <w:szCs w:val="28"/>
        </w:rPr>
      </w:pPr>
      <w:r w:rsidRPr="00E93986">
        <w:rPr>
          <w:sz w:val="28"/>
          <w:szCs w:val="28"/>
        </w:rPr>
        <w:t xml:space="preserve">Name: Md Ismail </w:t>
      </w:r>
      <w:proofErr w:type="spellStart"/>
      <w:r w:rsidRPr="00E93986">
        <w:rPr>
          <w:sz w:val="28"/>
          <w:szCs w:val="28"/>
        </w:rPr>
        <w:t>Hossan</w:t>
      </w:r>
      <w:proofErr w:type="spellEnd"/>
      <w:r w:rsidRPr="00E93986">
        <w:rPr>
          <w:sz w:val="28"/>
          <w:szCs w:val="28"/>
        </w:rPr>
        <w:t xml:space="preserve"> </w:t>
      </w:r>
    </w:p>
    <w:p w14:paraId="06B30442" w14:textId="7ED39008" w:rsidR="00E93986" w:rsidRDefault="00DB225B" w:rsidP="00E93986">
      <w:pPr>
        <w:jc w:val="center"/>
        <w:rPr>
          <w:sz w:val="28"/>
          <w:szCs w:val="28"/>
        </w:rPr>
      </w:pPr>
      <w:r>
        <w:rPr>
          <w:sz w:val="28"/>
          <w:szCs w:val="28"/>
        </w:rPr>
        <w:t>I</w:t>
      </w:r>
      <w:r w:rsidR="00E93986" w:rsidRPr="00E93986">
        <w:rPr>
          <w:sz w:val="28"/>
          <w:szCs w:val="28"/>
        </w:rPr>
        <w:t>d: 2521543</w:t>
      </w:r>
    </w:p>
    <w:p w14:paraId="1549739A" w14:textId="6469D12C" w:rsidR="00801195" w:rsidRDefault="00801195">
      <w:pPr>
        <w:spacing w:line="259" w:lineRule="auto"/>
        <w:jc w:val="left"/>
      </w:pPr>
      <w:r>
        <w:br w:type="page"/>
      </w:r>
    </w:p>
    <w:p w14:paraId="3392A371" w14:textId="77777777" w:rsidR="00801195" w:rsidRDefault="00801195" w:rsidP="00801195">
      <w:pPr>
        <w:jc w:val="center"/>
        <w:rPr>
          <w:rFonts w:eastAsia="Arial" w:cs="Arial"/>
          <w:b/>
          <w:bCs/>
          <w:color w:val="000000"/>
          <w:sz w:val="32"/>
          <w:szCs w:val="32"/>
          <w:lang w:eastAsia="en-GB" w:bidi="hi-IN"/>
        </w:rPr>
      </w:pPr>
      <w:bookmarkStart w:id="0" w:name="_Hlk236936568"/>
      <w:r w:rsidRPr="007D00FC">
        <w:rPr>
          <w:rFonts w:eastAsia="Arial" w:cs="Arial"/>
          <w:b/>
          <w:bCs/>
          <w:color w:val="000000"/>
          <w:sz w:val="32"/>
          <w:szCs w:val="32"/>
          <w:lang w:eastAsia="en-GB" w:bidi="hi-IN"/>
        </w:rPr>
        <w:lastRenderedPageBreak/>
        <w:t>Acknowledgment</w:t>
      </w:r>
    </w:p>
    <w:p w14:paraId="1B94FD32" w14:textId="77777777" w:rsidR="00801195" w:rsidRDefault="00801195" w:rsidP="00801195">
      <w:pPr>
        <w:jc w:val="center"/>
        <w:rPr>
          <w:lang w:bidi="bn-BD"/>
        </w:rPr>
      </w:pPr>
      <w:r w:rsidRPr="007D00FC">
        <w:rPr>
          <w:rFonts w:eastAsia="Arial" w:cs="Arial"/>
          <w:noProof/>
          <w:sz w:val="20"/>
          <w:lang w:eastAsia="en-GB" w:bidi="hi-IN"/>
        </w:rPr>
        <mc:AlternateContent>
          <mc:Choice Requires="wps">
            <w:drawing>
              <wp:inline distT="0" distB="0" distL="0" distR="0" wp14:anchorId="3DC22428" wp14:editId="5BF1E6D3">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4B438B09" w14:textId="77777777" w:rsidR="00801195" w:rsidRDefault="00801195" w:rsidP="00801195">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3DC22428"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4B438B09" w14:textId="77777777" w:rsidR="00801195" w:rsidRDefault="00801195" w:rsidP="00801195">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tbl>
      <w:tblPr>
        <w:tblpPr w:leftFromText="180" w:rightFromText="180" w:vertAnchor="text" w:horzAnchor="margin" w:tblpY="185"/>
        <w:tblW w:w="99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801195" w:rsidRPr="007D00FC" w14:paraId="7367034D" w14:textId="77777777" w:rsidTr="00801195">
        <w:trPr>
          <w:trHeight w:val="1235"/>
        </w:trPr>
        <w:tc>
          <w:tcPr>
            <w:tcW w:w="2675" w:type="dxa"/>
            <w:tcBorders>
              <w:bottom w:val="single" w:sz="4" w:space="0" w:color="000000"/>
              <w:right w:val="single" w:sz="4" w:space="0" w:color="000000"/>
            </w:tcBorders>
            <w:shd w:val="clear" w:color="auto" w:fill="91CF50"/>
          </w:tcPr>
          <w:p w14:paraId="68B06CC0" w14:textId="77777777" w:rsidR="00801195" w:rsidRPr="007D00FC" w:rsidRDefault="00801195" w:rsidP="00801195">
            <w:pPr>
              <w:widowControl w:val="0"/>
              <w:autoSpaceDE w:val="0"/>
              <w:autoSpaceDN w:val="0"/>
              <w:spacing w:after="0" w:line="253" w:lineRule="exact"/>
              <w:ind w:left="105"/>
              <w:rPr>
                <w:rFonts w:ascii="Arial MT" w:eastAsia="Arial MT" w:hAnsi="Arial MT" w:cs="Arial MT"/>
              </w:rPr>
            </w:pPr>
            <w:bookmarkStart w:id="1" w:name="_Hlk236851328"/>
            <w:bookmarkEnd w:id="0"/>
            <w:r w:rsidRPr="007D00FC">
              <w:rPr>
                <w:rFonts w:ascii="Arial MT" w:eastAsia="Arial MT" w:hAnsi="Arial MT" w:cs="Arial MT"/>
                <w:spacing w:val="-2"/>
              </w:rPr>
              <w:t>RESEARCH</w:t>
            </w:r>
          </w:p>
        </w:tc>
        <w:tc>
          <w:tcPr>
            <w:tcW w:w="5397" w:type="dxa"/>
            <w:tcBorders>
              <w:left w:val="single" w:sz="4" w:space="0" w:color="000000"/>
              <w:bottom w:val="single" w:sz="4" w:space="0" w:color="000000"/>
              <w:right w:val="single" w:sz="4" w:space="0" w:color="000000"/>
            </w:tcBorders>
            <w:shd w:val="clear" w:color="auto" w:fill="91CF50"/>
          </w:tcPr>
          <w:p w14:paraId="5348E99A" w14:textId="77777777" w:rsidR="00801195" w:rsidRPr="007D00FC" w:rsidRDefault="00801195" w:rsidP="00801195">
            <w:pPr>
              <w:widowControl w:val="0"/>
              <w:autoSpaceDE w:val="0"/>
              <w:autoSpaceDN w:val="0"/>
              <w:spacing w:after="0"/>
              <w:ind w:left="108"/>
              <w:rPr>
                <w:rFonts w:ascii="Arial MT" w:eastAsia="Arial MT" w:hAnsi="Arial MT" w:cs="Arial MT"/>
              </w:rPr>
            </w:pPr>
            <w:r w:rsidRPr="007D00FC">
              <w:rPr>
                <w:rFonts w:ascii="Arial MT" w:eastAsia="Arial MT" w:hAnsi="Arial MT" w:cs="Arial MT"/>
              </w:rPr>
              <w:t>For</w:t>
            </w:r>
            <w:r w:rsidRPr="007D00FC">
              <w:rPr>
                <w:rFonts w:ascii="Arial MT" w:eastAsia="Arial MT" w:hAnsi="Arial MT" w:cs="Arial MT"/>
                <w:spacing w:val="-4"/>
              </w:rPr>
              <w:t xml:space="preserve"> </w:t>
            </w:r>
            <w:r w:rsidRPr="007D00FC">
              <w:rPr>
                <w:rFonts w:ascii="Arial MT" w:eastAsia="Arial MT" w:hAnsi="Arial MT" w:cs="Arial MT"/>
              </w:rPr>
              <w:t>this</w:t>
            </w:r>
            <w:r w:rsidRPr="007D00FC">
              <w:rPr>
                <w:rFonts w:ascii="Arial MT" w:eastAsia="Arial MT" w:hAnsi="Arial MT" w:cs="Arial MT"/>
                <w:spacing w:val="-4"/>
              </w:rPr>
              <w:t xml:space="preserve"> </w:t>
            </w:r>
            <w:r w:rsidRPr="007D00FC">
              <w:rPr>
                <w:rFonts w:ascii="Arial MT" w:eastAsia="Arial MT" w:hAnsi="Arial MT" w:cs="Arial MT"/>
              </w:rPr>
              <w:t>assessment,</w:t>
            </w:r>
            <w:r w:rsidRPr="007D00FC">
              <w:rPr>
                <w:rFonts w:ascii="Arial MT" w:eastAsia="Arial MT" w:hAnsi="Arial MT" w:cs="Arial MT"/>
                <w:spacing w:val="-6"/>
              </w:rPr>
              <w:t xml:space="preserve"> </w:t>
            </w:r>
            <w:r w:rsidRPr="007D00FC">
              <w:rPr>
                <w:rFonts w:ascii="Arial MT" w:eastAsia="Arial MT" w:hAnsi="Arial MT" w:cs="Arial MT"/>
              </w:rPr>
              <w:t>you</w:t>
            </w:r>
            <w:r w:rsidRPr="007D00FC">
              <w:rPr>
                <w:rFonts w:ascii="Arial MT" w:eastAsia="Arial MT" w:hAnsi="Arial MT" w:cs="Arial MT"/>
                <w:spacing w:val="-5"/>
              </w:rPr>
              <w:t xml:space="preserve"> </w:t>
            </w:r>
            <w:r w:rsidRPr="007D00FC">
              <w:rPr>
                <w:rFonts w:ascii="Arial MT" w:eastAsia="Arial MT" w:hAnsi="Arial MT" w:cs="Arial MT"/>
              </w:rPr>
              <w:t>can</w:t>
            </w:r>
            <w:r w:rsidRPr="007D00FC">
              <w:rPr>
                <w:rFonts w:ascii="Arial MT" w:eastAsia="Arial MT" w:hAnsi="Arial MT" w:cs="Arial MT"/>
                <w:spacing w:val="-4"/>
              </w:rPr>
              <w:t xml:space="preserve"> </w:t>
            </w:r>
            <w:r w:rsidRPr="007D00FC">
              <w:rPr>
                <w:rFonts w:ascii="Arial MT" w:eastAsia="Arial MT" w:hAnsi="Arial MT" w:cs="Arial MT"/>
              </w:rPr>
              <w:t>use</w:t>
            </w:r>
            <w:r w:rsidRPr="007D00FC">
              <w:rPr>
                <w:rFonts w:ascii="Arial MT" w:eastAsia="Arial MT" w:hAnsi="Arial MT" w:cs="Arial MT"/>
                <w:spacing w:val="-7"/>
              </w:rPr>
              <w:t xml:space="preserve"> </w:t>
            </w:r>
            <w:r w:rsidRPr="007D00FC">
              <w:rPr>
                <w:rFonts w:ascii="Arial MT" w:eastAsia="Arial MT" w:hAnsi="Arial MT" w:cs="Arial MT"/>
              </w:rPr>
              <w:t>Generative</w:t>
            </w:r>
            <w:r w:rsidRPr="007D00FC">
              <w:rPr>
                <w:rFonts w:ascii="Arial MT" w:eastAsia="Arial MT" w:hAnsi="Arial MT" w:cs="Arial MT"/>
                <w:spacing w:val="-4"/>
              </w:rPr>
              <w:t xml:space="preserve"> </w:t>
            </w:r>
            <w:r w:rsidRPr="007D00FC">
              <w:rPr>
                <w:rFonts w:ascii="Arial MT" w:eastAsia="Arial MT" w:hAnsi="Arial MT" w:cs="Arial MT"/>
              </w:rPr>
              <w:t>AI</w:t>
            </w:r>
            <w:r w:rsidRPr="007D00FC">
              <w:rPr>
                <w:rFonts w:ascii="Arial MT" w:eastAsia="Arial MT" w:hAnsi="Arial MT" w:cs="Arial MT"/>
                <w:spacing w:val="-6"/>
              </w:rPr>
              <w:t xml:space="preserve"> </w:t>
            </w:r>
            <w:r w:rsidRPr="007D00FC">
              <w:rPr>
                <w:rFonts w:ascii="Arial MT" w:eastAsia="Arial MT" w:hAnsi="Arial MT" w:cs="Arial MT"/>
              </w:rPr>
              <w:t>to support you in research and data analysis.</w:t>
            </w:r>
          </w:p>
        </w:tc>
        <w:tc>
          <w:tcPr>
            <w:tcW w:w="1918" w:type="dxa"/>
            <w:tcBorders>
              <w:left w:val="single" w:sz="4" w:space="0" w:color="000000"/>
              <w:bottom w:val="single" w:sz="4" w:space="0" w:color="000000"/>
            </w:tcBorders>
            <w:shd w:val="clear" w:color="auto" w:fill="91CF50"/>
          </w:tcPr>
          <w:p w14:paraId="2F368958"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5A3FCAFC"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5C5B1377" w14:textId="77777777" w:rsidR="00801195" w:rsidRPr="007D00FC" w:rsidRDefault="00801195" w:rsidP="00801195">
            <w:pPr>
              <w:widowControl w:val="0"/>
              <w:autoSpaceDE w:val="0"/>
              <w:autoSpaceDN w:val="0"/>
              <w:spacing w:before="18" w:after="0" w:line="240" w:lineRule="auto"/>
              <w:rPr>
                <w:rFonts w:ascii="Arial MT" w:eastAsia="Arial MT" w:hAnsi="Arial MT" w:cs="Arial MT"/>
              </w:rPr>
            </w:pPr>
          </w:p>
          <w:p w14:paraId="2D06A7FB" w14:textId="77777777" w:rsidR="00801195" w:rsidRPr="007D00FC" w:rsidRDefault="00801195" w:rsidP="00801195">
            <w:pPr>
              <w:widowControl w:val="0"/>
              <w:autoSpaceDE w:val="0"/>
              <w:autoSpaceDN w:val="0"/>
              <w:spacing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1D2BDFD4" w14:textId="77777777" w:rsidTr="00801195">
        <w:trPr>
          <w:trHeight w:val="1516"/>
        </w:trPr>
        <w:tc>
          <w:tcPr>
            <w:tcW w:w="2675" w:type="dxa"/>
            <w:tcBorders>
              <w:top w:val="single" w:sz="4" w:space="0" w:color="000000"/>
              <w:bottom w:val="single" w:sz="4" w:space="0" w:color="000000"/>
              <w:right w:val="single" w:sz="4" w:space="0" w:color="000000"/>
            </w:tcBorders>
          </w:tcPr>
          <w:p w14:paraId="51F686E0" w14:textId="77777777" w:rsidR="00801195" w:rsidRPr="007D00FC" w:rsidRDefault="00801195" w:rsidP="00801195">
            <w:pPr>
              <w:widowControl w:val="0"/>
              <w:autoSpaceDE w:val="0"/>
              <w:autoSpaceDN w:val="0"/>
              <w:spacing w:after="0" w:line="240" w:lineRule="auto"/>
              <w:ind w:left="105"/>
              <w:rPr>
                <w:rFonts w:ascii="Arial MT" w:eastAsia="Arial MT" w:hAnsi="Arial MT" w:cs="Arial MT"/>
              </w:rPr>
            </w:pPr>
            <w:r w:rsidRPr="007D00FC">
              <w:rPr>
                <w:rFonts w:ascii="Arial MT" w:eastAsia="Arial MT" w:hAnsi="Arial MT" w:cs="Arial MT"/>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79A11A69" w14:textId="77777777" w:rsidR="00801195" w:rsidRPr="007D00FC" w:rsidRDefault="00801195" w:rsidP="00801195">
            <w:pPr>
              <w:widowControl w:val="0"/>
              <w:autoSpaceDE w:val="0"/>
              <w:autoSpaceDN w:val="0"/>
              <w:spacing w:after="0"/>
              <w:ind w:left="108" w:hanging="1"/>
              <w:rPr>
                <w:rFonts w:ascii="Arial MT" w:eastAsia="Arial MT" w:hAnsi="Arial MT" w:cs="Arial MT"/>
              </w:rPr>
            </w:pPr>
            <w:r w:rsidRPr="007D00FC">
              <w:rPr>
                <w:rFonts w:ascii="Arial MT" w:eastAsia="Arial MT" w:hAnsi="Arial MT" w:cs="Arial MT"/>
              </w:rPr>
              <w:t>For this assessment, you can use Generative AI to support</w:t>
            </w:r>
            <w:r w:rsidRPr="007D00FC">
              <w:rPr>
                <w:rFonts w:ascii="Arial MT" w:eastAsia="Arial MT" w:hAnsi="Arial MT" w:cs="Arial MT"/>
                <w:spacing w:val="-8"/>
              </w:rPr>
              <w:t xml:space="preserve"> </w:t>
            </w:r>
            <w:r w:rsidRPr="007D00FC">
              <w:rPr>
                <w:rFonts w:ascii="Arial MT" w:eastAsia="Arial MT" w:hAnsi="Arial MT" w:cs="Arial MT"/>
              </w:rPr>
              <w:t>you</w:t>
            </w:r>
            <w:r w:rsidRPr="007D00FC">
              <w:rPr>
                <w:rFonts w:ascii="Arial MT" w:eastAsia="Arial MT" w:hAnsi="Arial MT" w:cs="Arial MT"/>
                <w:spacing w:val="-5"/>
              </w:rPr>
              <w:t xml:space="preserve"> </w:t>
            </w:r>
            <w:r w:rsidRPr="007D00FC">
              <w:rPr>
                <w:rFonts w:ascii="Arial MT" w:eastAsia="Arial MT" w:hAnsi="Arial MT" w:cs="Arial MT"/>
              </w:rPr>
              <w:t>in</w:t>
            </w:r>
            <w:r w:rsidRPr="007D00FC">
              <w:rPr>
                <w:rFonts w:ascii="Arial MT" w:eastAsia="Arial MT" w:hAnsi="Arial MT" w:cs="Arial MT"/>
                <w:spacing w:val="-8"/>
              </w:rPr>
              <w:t xml:space="preserve"> </w:t>
            </w:r>
            <w:r w:rsidRPr="007D00FC">
              <w:rPr>
                <w:rFonts w:ascii="Arial MT" w:eastAsia="Arial MT" w:hAnsi="Arial MT" w:cs="Arial MT"/>
              </w:rPr>
              <w:t>structuring</w:t>
            </w:r>
            <w:r w:rsidRPr="007D00FC">
              <w:rPr>
                <w:rFonts w:ascii="Arial MT" w:eastAsia="Arial MT" w:hAnsi="Arial MT" w:cs="Arial MT"/>
                <w:spacing w:val="-8"/>
              </w:rPr>
              <w:t xml:space="preserve"> </w:t>
            </w:r>
            <w:r w:rsidRPr="007D00FC">
              <w:rPr>
                <w:rFonts w:ascii="Arial MT" w:eastAsia="Arial MT" w:hAnsi="Arial MT" w:cs="Arial MT"/>
              </w:rPr>
              <w:t>your</w:t>
            </w:r>
            <w:r w:rsidRPr="007D00FC">
              <w:rPr>
                <w:rFonts w:ascii="Arial MT" w:eastAsia="Arial MT" w:hAnsi="Arial MT" w:cs="Arial MT"/>
                <w:spacing w:val="-8"/>
              </w:rPr>
              <w:t xml:space="preserve"> </w:t>
            </w:r>
            <w:r w:rsidRPr="007D00FC">
              <w:rPr>
                <w:rFonts w:ascii="Arial MT" w:eastAsia="Arial MT" w:hAnsi="Arial MT" w:cs="Arial MT"/>
              </w:rPr>
              <w:t>submission,</w:t>
            </w:r>
            <w:r w:rsidRPr="007D00FC">
              <w:rPr>
                <w:rFonts w:ascii="Arial MT" w:eastAsia="Arial MT" w:hAnsi="Arial MT" w:cs="Arial MT"/>
                <w:spacing w:val="-4"/>
              </w:rPr>
              <w:t xml:space="preserve"> </w:t>
            </w:r>
            <w:r w:rsidRPr="007D00FC">
              <w:rPr>
                <w:rFonts w:ascii="Arial MT" w:eastAsia="Arial MT" w:hAnsi="Arial MT" w:cs="Arial MT"/>
              </w:rPr>
              <w:t>including creating a draft argument structure, identifying parts</w:t>
            </w:r>
          </w:p>
          <w:p w14:paraId="347F2296" w14:textId="77777777" w:rsidR="00801195" w:rsidRPr="007D00FC" w:rsidRDefault="00801195" w:rsidP="00801195">
            <w:pPr>
              <w:widowControl w:val="0"/>
              <w:autoSpaceDE w:val="0"/>
              <w:autoSpaceDN w:val="0"/>
              <w:spacing w:after="0" w:line="252" w:lineRule="exact"/>
              <w:ind w:left="108"/>
              <w:rPr>
                <w:rFonts w:ascii="Arial MT" w:eastAsia="Arial MT" w:hAnsi="Arial MT" w:cs="Arial MT"/>
              </w:rPr>
            </w:pPr>
            <w:r w:rsidRPr="007D00FC">
              <w:rPr>
                <w:rFonts w:ascii="Arial MT" w:eastAsia="Arial MT" w:hAnsi="Arial MT" w:cs="Arial MT"/>
              </w:rPr>
              <w:t>and</w:t>
            </w:r>
            <w:r w:rsidRPr="007D00FC">
              <w:rPr>
                <w:rFonts w:ascii="Arial MT" w:eastAsia="Arial MT" w:hAnsi="Arial MT" w:cs="Arial MT"/>
                <w:spacing w:val="-5"/>
              </w:rPr>
              <w:t xml:space="preserve"> </w:t>
            </w:r>
            <w:r w:rsidRPr="007D00FC">
              <w:rPr>
                <w:rFonts w:ascii="Arial MT" w:eastAsia="Arial MT" w:hAnsi="Arial MT" w:cs="Arial MT"/>
              </w:rPr>
              <w:t>headings,</w:t>
            </w:r>
            <w:r w:rsidRPr="007D00FC">
              <w:rPr>
                <w:rFonts w:ascii="Arial MT" w:eastAsia="Arial MT" w:hAnsi="Arial MT" w:cs="Arial MT"/>
                <w:spacing w:val="-2"/>
              </w:rPr>
              <w:t xml:space="preserve"> </w:t>
            </w:r>
            <w:r w:rsidRPr="007D00FC">
              <w:rPr>
                <w:rFonts w:ascii="Arial MT" w:eastAsia="Arial MT" w:hAnsi="Arial MT" w:cs="Arial MT"/>
                <w:spacing w:val="-4"/>
              </w:rPr>
              <w:t>etc.</w:t>
            </w:r>
          </w:p>
        </w:tc>
        <w:tc>
          <w:tcPr>
            <w:tcW w:w="1918" w:type="dxa"/>
            <w:tcBorders>
              <w:top w:val="single" w:sz="4" w:space="0" w:color="000000"/>
              <w:left w:val="single" w:sz="4" w:space="0" w:color="000000"/>
              <w:bottom w:val="single" w:sz="4" w:space="0" w:color="000000"/>
            </w:tcBorders>
          </w:tcPr>
          <w:p w14:paraId="0C5E9276"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232574A9"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6EF94F48" w14:textId="77777777" w:rsidR="00801195" w:rsidRPr="007D00FC" w:rsidRDefault="00801195" w:rsidP="00801195">
            <w:pPr>
              <w:widowControl w:val="0"/>
              <w:autoSpaceDE w:val="0"/>
              <w:autoSpaceDN w:val="0"/>
              <w:spacing w:before="18" w:after="0" w:line="240" w:lineRule="auto"/>
              <w:rPr>
                <w:rFonts w:ascii="Arial MT" w:eastAsia="Arial MT" w:hAnsi="Arial MT" w:cs="Arial MT"/>
              </w:rPr>
            </w:pPr>
          </w:p>
          <w:p w14:paraId="6D637FD4" w14:textId="77777777" w:rsidR="00801195" w:rsidRPr="007D00FC" w:rsidRDefault="00801195" w:rsidP="00801195">
            <w:pPr>
              <w:widowControl w:val="0"/>
              <w:autoSpaceDE w:val="0"/>
              <w:autoSpaceDN w:val="0"/>
              <w:spacing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787A3335" w14:textId="77777777" w:rsidTr="00801195">
        <w:trPr>
          <w:trHeight w:val="1518"/>
        </w:trPr>
        <w:tc>
          <w:tcPr>
            <w:tcW w:w="2675" w:type="dxa"/>
            <w:tcBorders>
              <w:top w:val="single" w:sz="4" w:space="0" w:color="000000"/>
              <w:bottom w:val="single" w:sz="4" w:space="0" w:color="000000"/>
              <w:right w:val="single" w:sz="4" w:space="0" w:color="000000"/>
            </w:tcBorders>
            <w:shd w:val="clear" w:color="auto" w:fill="91CF50"/>
          </w:tcPr>
          <w:p w14:paraId="37368C93" w14:textId="77777777" w:rsidR="00801195" w:rsidRPr="007D00FC" w:rsidRDefault="00801195" w:rsidP="00801195">
            <w:pPr>
              <w:widowControl w:val="0"/>
              <w:autoSpaceDE w:val="0"/>
              <w:autoSpaceDN w:val="0"/>
              <w:spacing w:before="2" w:after="0" w:line="240" w:lineRule="auto"/>
              <w:ind w:left="105"/>
              <w:rPr>
                <w:rFonts w:ascii="Arial MT" w:eastAsia="Arial MT" w:hAnsi="Arial MT" w:cs="Arial MT"/>
              </w:rPr>
            </w:pPr>
            <w:r w:rsidRPr="007D00FC">
              <w:rPr>
                <w:rFonts w:ascii="Arial MT" w:eastAsia="Arial MT" w:hAnsi="Arial MT" w:cs="Arial MT"/>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42BBC4F6" w14:textId="77777777" w:rsidR="00801195" w:rsidRPr="007D00FC" w:rsidRDefault="00801195" w:rsidP="00801195">
            <w:pPr>
              <w:widowControl w:val="0"/>
              <w:autoSpaceDE w:val="0"/>
              <w:autoSpaceDN w:val="0"/>
              <w:spacing w:before="2" w:after="0"/>
              <w:ind w:left="108"/>
              <w:rPr>
                <w:rFonts w:ascii="Arial MT" w:eastAsia="Arial MT" w:hAnsi="Arial MT" w:cs="Arial MT"/>
              </w:rPr>
            </w:pPr>
            <w:r w:rsidRPr="007D00FC">
              <w:rPr>
                <w:rFonts w:ascii="Arial MT" w:eastAsia="Arial MT" w:hAnsi="Arial MT" w:cs="Arial MT"/>
              </w:rPr>
              <w:t>For this assessment, you can use Generative AI to check your own text/creation for grammatical and syntactical</w:t>
            </w:r>
            <w:r w:rsidRPr="007D00FC">
              <w:rPr>
                <w:rFonts w:ascii="Arial MT" w:eastAsia="Arial MT" w:hAnsi="Arial MT" w:cs="Arial MT"/>
                <w:spacing w:val="-7"/>
              </w:rPr>
              <w:t xml:space="preserve"> </w:t>
            </w:r>
            <w:r w:rsidRPr="007D00FC">
              <w:rPr>
                <w:rFonts w:ascii="Arial MT" w:eastAsia="Arial MT" w:hAnsi="Arial MT" w:cs="Arial MT"/>
              </w:rPr>
              <w:t>mistakes,</w:t>
            </w:r>
            <w:r w:rsidRPr="007D00FC">
              <w:rPr>
                <w:rFonts w:ascii="Arial MT" w:eastAsia="Arial MT" w:hAnsi="Arial MT" w:cs="Arial MT"/>
                <w:spacing w:val="-6"/>
              </w:rPr>
              <w:t xml:space="preserve"> </w:t>
            </w:r>
            <w:r w:rsidRPr="007D00FC">
              <w:rPr>
                <w:rFonts w:ascii="Arial MT" w:eastAsia="Arial MT" w:hAnsi="Arial MT" w:cs="Arial MT"/>
              </w:rPr>
              <w:t>including</w:t>
            </w:r>
            <w:r w:rsidRPr="007D00FC">
              <w:rPr>
                <w:rFonts w:ascii="Arial MT" w:eastAsia="Arial MT" w:hAnsi="Arial MT" w:cs="Arial MT"/>
                <w:spacing w:val="-6"/>
              </w:rPr>
              <w:t xml:space="preserve"> </w:t>
            </w:r>
            <w:r w:rsidRPr="007D00FC">
              <w:rPr>
                <w:rFonts w:ascii="Arial MT" w:eastAsia="Arial MT" w:hAnsi="Arial MT" w:cs="Arial MT"/>
              </w:rPr>
              <w:t>getting</w:t>
            </w:r>
            <w:r w:rsidRPr="007D00FC">
              <w:rPr>
                <w:rFonts w:ascii="Arial MT" w:eastAsia="Arial MT" w:hAnsi="Arial MT" w:cs="Arial MT"/>
                <w:spacing w:val="-9"/>
              </w:rPr>
              <w:t xml:space="preserve"> </w:t>
            </w:r>
            <w:r w:rsidRPr="007D00FC">
              <w:rPr>
                <w:rFonts w:ascii="Arial MT" w:eastAsia="Arial MT" w:hAnsi="Arial MT" w:cs="Arial MT"/>
              </w:rPr>
              <w:t>suggestions</w:t>
            </w:r>
            <w:r w:rsidRPr="007D00FC">
              <w:rPr>
                <w:rFonts w:ascii="Arial MT" w:eastAsia="Arial MT" w:hAnsi="Arial MT" w:cs="Arial MT"/>
                <w:spacing w:val="-7"/>
              </w:rPr>
              <w:t xml:space="preserve"> </w:t>
            </w:r>
            <w:r w:rsidRPr="007D00FC">
              <w:rPr>
                <w:rFonts w:ascii="Arial MT" w:eastAsia="Arial MT" w:hAnsi="Arial MT" w:cs="Arial MT"/>
              </w:rPr>
              <w:t>to</w:t>
            </w:r>
          </w:p>
          <w:p w14:paraId="387FD7E0" w14:textId="77777777" w:rsidR="00801195" w:rsidRPr="007D00FC" w:rsidRDefault="00801195" w:rsidP="00801195">
            <w:pPr>
              <w:widowControl w:val="0"/>
              <w:autoSpaceDE w:val="0"/>
              <w:autoSpaceDN w:val="0"/>
              <w:spacing w:after="0" w:line="252" w:lineRule="exact"/>
              <w:ind w:left="108"/>
              <w:rPr>
                <w:rFonts w:ascii="Arial MT" w:eastAsia="Arial MT" w:hAnsi="Arial MT" w:cs="Arial MT"/>
              </w:rPr>
            </w:pPr>
            <w:r w:rsidRPr="007D00FC">
              <w:rPr>
                <w:rFonts w:ascii="Arial MT" w:eastAsia="Arial MT" w:hAnsi="Arial MT" w:cs="Arial MT"/>
              </w:rPr>
              <w:t>rephrase</w:t>
            </w:r>
            <w:r w:rsidRPr="007D00FC">
              <w:rPr>
                <w:rFonts w:ascii="Arial MT" w:eastAsia="Arial MT" w:hAnsi="Arial MT" w:cs="Arial MT"/>
                <w:spacing w:val="-7"/>
              </w:rPr>
              <w:t xml:space="preserve"> </w:t>
            </w:r>
            <w:r w:rsidRPr="007D00FC">
              <w:rPr>
                <w:rFonts w:ascii="Arial MT" w:eastAsia="Arial MT" w:hAnsi="Arial MT" w:cs="Arial MT"/>
              </w:rPr>
              <w:t>your</w:t>
            </w:r>
            <w:r w:rsidRPr="007D00FC">
              <w:rPr>
                <w:rFonts w:ascii="Arial MT" w:eastAsia="Arial MT" w:hAnsi="Arial MT" w:cs="Arial MT"/>
                <w:spacing w:val="-1"/>
              </w:rPr>
              <w:t xml:space="preserve"> </w:t>
            </w:r>
            <w:r w:rsidRPr="007D00FC">
              <w:rPr>
                <w:rFonts w:ascii="Arial MT" w:eastAsia="Arial MT" w:hAnsi="Arial MT" w:cs="Arial MT"/>
                <w:spacing w:val="-4"/>
              </w:rPr>
              <w:t>work.</w:t>
            </w:r>
          </w:p>
        </w:tc>
        <w:tc>
          <w:tcPr>
            <w:tcW w:w="1918" w:type="dxa"/>
            <w:tcBorders>
              <w:top w:val="single" w:sz="4" w:space="0" w:color="000000"/>
              <w:left w:val="single" w:sz="4" w:space="0" w:color="000000"/>
              <w:bottom w:val="single" w:sz="4" w:space="0" w:color="000000"/>
            </w:tcBorders>
            <w:shd w:val="clear" w:color="auto" w:fill="91CF50"/>
          </w:tcPr>
          <w:p w14:paraId="1B89834B" w14:textId="77777777" w:rsidR="00801195" w:rsidRPr="007D00FC" w:rsidRDefault="00801195" w:rsidP="00801195">
            <w:pPr>
              <w:widowControl w:val="0"/>
              <w:autoSpaceDE w:val="0"/>
              <w:autoSpaceDN w:val="0"/>
              <w:spacing w:before="5"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057EA2B3"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66346752" w14:textId="77777777" w:rsidR="00801195" w:rsidRPr="007D00FC" w:rsidRDefault="00801195" w:rsidP="00801195">
            <w:pPr>
              <w:widowControl w:val="0"/>
              <w:autoSpaceDE w:val="0"/>
              <w:autoSpaceDN w:val="0"/>
              <w:spacing w:before="18" w:after="0" w:line="240" w:lineRule="auto"/>
              <w:rPr>
                <w:rFonts w:ascii="Arial MT" w:eastAsia="Arial MT" w:hAnsi="Arial MT" w:cs="Arial MT"/>
              </w:rPr>
            </w:pPr>
          </w:p>
          <w:p w14:paraId="036C9AC5" w14:textId="77777777" w:rsidR="00801195" w:rsidRPr="007D00FC" w:rsidRDefault="00801195" w:rsidP="00801195">
            <w:pPr>
              <w:widowControl w:val="0"/>
              <w:autoSpaceDE w:val="0"/>
              <w:autoSpaceDN w:val="0"/>
              <w:spacing w:before="1"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6A552C14" w14:textId="77777777" w:rsidTr="00801195">
        <w:trPr>
          <w:trHeight w:val="1235"/>
        </w:trPr>
        <w:tc>
          <w:tcPr>
            <w:tcW w:w="2675" w:type="dxa"/>
            <w:tcBorders>
              <w:top w:val="single" w:sz="4" w:space="0" w:color="000000"/>
              <w:bottom w:val="single" w:sz="4" w:space="0" w:color="000000"/>
              <w:right w:val="single" w:sz="4" w:space="0" w:color="000000"/>
            </w:tcBorders>
          </w:tcPr>
          <w:p w14:paraId="030B6893" w14:textId="77777777" w:rsidR="00801195" w:rsidRPr="007D00FC" w:rsidRDefault="00801195" w:rsidP="00801195">
            <w:pPr>
              <w:widowControl w:val="0"/>
              <w:autoSpaceDE w:val="0"/>
              <w:autoSpaceDN w:val="0"/>
              <w:spacing w:after="0" w:line="240" w:lineRule="auto"/>
              <w:ind w:left="105"/>
              <w:rPr>
                <w:rFonts w:ascii="Arial MT" w:eastAsia="Arial MT" w:hAnsi="Arial MT" w:cs="Arial MT"/>
              </w:rPr>
            </w:pPr>
            <w:r w:rsidRPr="007D00FC">
              <w:rPr>
                <w:rFonts w:ascii="Arial MT" w:eastAsia="Arial MT" w:hAnsi="Arial MT" w:cs="Arial MT"/>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67B78DAA" w14:textId="77777777" w:rsidR="00801195" w:rsidRPr="007D00FC" w:rsidRDefault="00801195" w:rsidP="00801195">
            <w:pPr>
              <w:widowControl w:val="0"/>
              <w:autoSpaceDE w:val="0"/>
              <w:autoSpaceDN w:val="0"/>
              <w:spacing w:after="0"/>
              <w:ind w:left="108"/>
              <w:rPr>
                <w:rFonts w:ascii="Arial MT" w:eastAsia="Arial MT" w:hAnsi="Arial MT" w:cs="Arial MT"/>
              </w:rPr>
            </w:pPr>
            <w:r w:rsidRPr="007D00FC">
              <w:rPr>
                <w:rFonts w:ascii="Arial MT" w:eastAsia="Arial MT" w:hAnsi="Arial MT" w:cs="Arial MT"/>
              </w:rPr>
              <w:t>For</w:t>
            </w:r>
            <w:r w:rsidRPr="007D00FC">
              <w:rPr>
                <w:rFonts w:ascii="Arial MT" w:eastAsia="Arial MT" w:hAnsi="Arial MT" w:cs="Arial MT"/>
                <w:spacing w:val="-5"/>
              </w:rPr>
              <w:t xml:space="preserve"> </w:t>
            </w:r>
            <w:r w:rsidRPr="007D00FC">
              <w:rPr>
                <w:rFonts w:ascii="Arial MT" w:eastAsia="Arial MT" w:hAnsi="Arial MT" w:cs="Arial MT"/>
              </w:rPr>
              <w:t>this</w:t>
            </w:r>
            <w:r w:rsidRPr="007D00FC">
              <w:rPr>
                <w:rFonts w:ascii="Arial MT" w:eastAsia="Arial MT" w:hAnsi="Arial MT" w:cs="Arial MT"/>
                <w:spacing w:val="-5"/>
              </w:rPr>
              <w:t xml:space="preserve"> </w:t>
            </w:r>
            <w:r w:rsidRPr="007D00FC">
              <w:rPr>
                <w:rFonts w:ascii="Arial MT" w:eastAsia="Arial MT" w:hAnsi="Arial MT" w:cs="Arial MT"/>
              </w:rPr>
              <w:t>assessment,</w:t>
            </w:r>
            <w:r w:rsidRPr="007D00FC">
              <w:rPr>
                <w:rFonts w:ascii="Arial MT" w:eastAsia="Arial MT" w:hAnsi="Arial MT" w:cs="Arial MT"/>
                <w:spacing w:val="-4"/>
              </w:rPr>
              <w:t xml:space="preserve"> </w:t>
            </w:r>
            <w:r w:rsidRPr="007D00FC">
              <w:rPr>
                <w:rFonts w:ascii="Arial MT" w:eastAsia="Arial MT" w:hAnsi="Arial MT" w:cs="Arial MT"/>
              </w:rPr>
              <w:t>you</w:t>
            </w:r>
            <w:r w:rsidRPr="007D00FC">
              <w:rPr>
                <w:rFonts w:ascii="Arial MT" w:eastAsia="Arial MT" w:hAnsi="Arial MT" w:cs="Arial MT"/>
                <w:spacing w:val="-6"/>
              </w:rPr>
              <w:t xml:space="preserve"> </w:t>
            </w:r>
            <w:r w:rsidRPr="007D00FC">
              <w:rPr>
                <w:rFonts w:ascii="Arial MT" w:eastAsia="Arial MT" w:hAnsi="Arial MT" w:cs="Arial MT"/>
              </w:rPr>
              <w:t>can</w:t>
            </w:r>
            <w:r w:rsidRPr="007D00FC">
              <w:rPr>
                <w:rFonts w:ascii="Arial MT" w:eastAsia="Arial MT" w:hAnsi="Arial MT" w:cs="Arial MT"/>
                <w:spacing w:val="-5"/>
              </w:rPr>
              <w:t xml:space="preserve"> </w:t>
            </w:r>
            <w:r w:rsidRPr="007D00FC">
              <w:rPr>
                <w:rFonts w:ascii="Arial MT" w:eastAsia="Arial MT" w:hAnsi="Arial MT" w:cs="Arial MT"/>
              </w:rPr>
              <w:t>use</w:t>
            </w:r>
            <w:r w:rsidRPr="007D00FC">
              <w:rPr>
                <w:rFonts w:ascii="Arial MT" w:eastAsia="Arial MT" w:hAnsi="Arial MT" w:cs="Arial MT"/>
                <w:spacing w:val="-7"/>
              </w:rPr>
              <w:t xml:space="preserve"> </w:t>
            </w:r>
            <w:r w:rsidRPr="007D00FC">
              <w:rPr>
                <w:rFonts w:ascii="Arial MT" w:eastAsia="Arial MT" w:hAnsi="Arial MT" w:cs="Arial MT"/>
              </w:rPr>
              <w:t>Generative</w:t>
            </w:r>
            <w:r w:rsidRPr="007D00FC">
              <w:rPr>
                <w:rFonts w:ascii="Arial MT" w:eastAsia="Arial MT" w:hAnsi="Arial MT" w:cs="Arial MT"/>
                <w:spacing w:val="-5"/>
              </w:rPr>
              <w:t xml:space="preserve"> </w:t>
            </w:r>
            <w:r w:rsidRPr="007D00FC">
              <w:rPr>
                <w:rFonts w:ascii="Arial MT" w:eastAsia="Arial MT" w:hAnsi="Arial MT" w:cs="Arial MT"/>
              </w:rPr>
              <w:t>AI</w:t>
            </w:r>
            <w:r w:rsidRPr="007D00FC">
              <w:rPr>
                <w:rFonts w:ascii="Arial MT" w:eastAsia="Arial MT" w:hAnsi="Arial MT" w:cs="Arial MT"/>
                <w:spacing w:val="-7"/>
              </w:rPr>
              <w:t xml:space="preserve"> </w:t>
            </w:r>
            <w:r w:rsidRPr="007D00FC">
              <w:rPr>
                <w:rFonts w:ascii="Arial MT" w:eastAsia="Arial MT" w:hAnsi="Arial MT" w:cs="Arial MT"/>
              </w:rPr>
              <w:t>to create text for submission.</w:t>
            </w:r>
          </w:p>
        </w:tc>
        <w:tc>
          <w:tcPr>
            <w:tcW w:w="1918" w:type="dxa"/>
            <w:tcBorders>
              <w:top w:val="single" w:sz="4" w:space="0" w:color="000000"/>
              <w:left w:val="single" w:sz="4" w:space="0" w:color="000000"/>
              <w:bottom w:val="single" w:sz="4" w:space="0" w:color="000000"/>
            </w:tcBorders>
          </w:tcPr>
          <w:p w14:paraId="07C2B0CB"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530513CB"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04D5277E" w14:textId="77777777" w:rsidR="00801195" w:rsidRPr="007D00FC" w:rsidRDefault="00801195" w:rsidP="00801195">
            <w:pPr>
              <w:widowControl w:val="0"/>
              <w:autoSpaceDE w:val="0"/>
              <w:autoSpaceDN w:val="0"/>
              <w:spacing w:before="20" w:after="0" w:line="240" w:lineRule="auto"/>
              <w:rPr>
                <w:rFonts w:ascii="Arial MT" w:eastAsia="Arial MT" w:hAnsi="Arial MT" w:cs="Arial MT"/>
              </w:rPr>
            </w:pPr>
          </w:p>
          <w:p w14:paraId="0058D0F6" w14:textId="77777777" w:rsidR="00801195" w:rsidRPr="007D00FC" w:rsidRDefault="00801195" w:rsidP="00801195">
            <w:pPr>
              <w:widowControl w:val="0"/>
              <w:autoSpaceDE w:val="0"/>
              <w:autoSpaceDN w:val="0"/>
              <w:spacing w:before="1"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6261040F" w14:textId="77777777" w:rsidTr="00801195">
        <w:trPr>
          <w:trHeight w:val="1235"/>
        </w:trPr>
        <w:tc>
          <w:tcPr>
            <w:tcW w:w="2675" w:type="dxa"/>
            <w:tcBorders>
              <w:top w:val="single" w:sz="4" w:space="0" w:color="000000"/>
              <w:bottom w:val="single" w:sz="4" w:space="0" w:color="000000"/>
              <w:right w:val="single" w:sz="4" w:space="0" w:color="000000"/>
            </w:tcBorders>
            <w:shd w:val="clear" w:color="auto" w:fill="91CF50"/>
          </w:tcPr>
          <w:p w14:paraId="6088FCBE" w14:textId="77777777" w:rsidR="00801195" w:rsidRPr="007D00FC" w:rsidRDefault="00801195" w:rsidP="00801195">
            <w:pPr>
              <w:widowControl w:val="0"/>
              <w:autoSpaceDE w:val="0"/>
              <w:autoSpaceDN w:val="0"/>
              <w:spacing w:after="0" w:line="240" w:lineRule="auto"/>
              <w:ind w:left="105"/>
              <w:rPr>
                <w:rFonts w:ascii="Arial MT" w:eastAsia="Arial MT" w:hAnsi="Arial MT" w:cs="Arial MT"/>
              </w:rPr>
            </w:pPr>
            <w:r w:rsidRPr="007D00FC">
              <w:rPr>
                <w:rFonts w:ascii="Arial MT" w:eastAsia="Arial MT" w:hAnsi="Arial MT" w:cs="Arial MT"/>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0254E875" w14:textId="77777777" w:rsidR="00801195" w:rsidRPr="007D00FC" w:rsidRDefault="00801195" w:rsidP="00801195">
            <w:pPr>
              <w:widowControl w:val="0"/>
              <w:autoSpaceDE w:val="0"/>
              <w:autoSpaceDN w:val="0"/>
              <w:spacing w:after="0"/>
              <w:ind w:left="108"/>
              <w:rPr>
                <w:rFonts w:ascii="Arial MT" w:eastAsia="Arial MT" w:hAnsi="Arial MT" w:cs="Arial MT"/>
              </w:rPr>
            </w:pPr>
            <w:r w:rsidRPr="007D00FC">
              <w:rPr>
                <w:rFonts w:ascii="Arial MT" w:eastAsia="Arial MT" w:hAnsi="Arial MT" w:cs="Arial MT"/>
              </w:rPr>
              <w:t>For</w:t>
            </w:r>
            <w:r w:rsidRPr="007D00FC">
              <w:rPr>
                <w:rFonts w:ascii="Arial MT" w:eastAsia="Arial MT" w:hAnsi="Arial MT" w:cs="Arial MT"/>
                <w:spacing w:val="-4"/>
              </w:rPr>
              <w:t xml:space="preserve"> </w:t>
            </w:r>
            <w:r w:rsidRPr="007D00FC">
              <w:rPr>
                <w:rFonts w:ascii="Arial MT" w:eastAsia="Arial MT" w:hAnsi="Arial MT" w:cs="Arial MT"/>
              </w:rPr>
              <w:t>this</w:t>
            </w:r>
            <w:r w:rsidRPr="007D00FC">
              <w:rPr>
                <w:rFonts w:ascii="Arial MT" w:eastAsia="Arial MT" w:hAnsi="Arial MT" w:cs="Arial MT"/>
                <w:spacing w:val="-4"/>
              </w:rPr>
              <w:t xml:space="preserve"> </w:t>
            </w:r>
            <w:r w:rsidRPr="007D00FC">
              <w:rPr>
                <w:rFonts w:ascii="Arial MT" w:eastAsia="Arial MT" w:hAnsi="Arial MT" w:cs="Arial MT"/>
              </w:rPr>
              <w:t>assessment,</w:t>
            </w:r>
            <w:r w:rsidRPr="007D00FC">
              <w:rPr>
                <w:rFonts w:ascii="Arial MT" w:eastAsia="Arial MT" w:hAnsi="Arial MT" w:cs="Arial MT"/>
                <w:spacing w:val="-6"/>
              </w:rPr>
              <w:t xml:space="preserve"> </w:t>
            </w:r>
            <w:r w:rsidRPr="007D00FC">
              <w:rPr>
                <w:rFonts w:ascii="Arial MT" w:eastAsia="Arial MT" w:hAnsi="Arial MT" w:cs="Arial MT"/>
              </w:rPr>
              <w:t>you</w:t>
            </w:r>
            <w:r w:rsidRPr="007D00FC">
              <w:rPr>
                <w:rFonts w:ascii="Arial MT" w:eastAsia="Arial MT" w:hAnsi="Arial MT" w:cs="Arial MT"/>
                <w:spacing w:val="-5"/>
              </w:rPr>
              <w:t xml:space="preserve"> </w:t>
            </w:r>
            <w:r w:rsidRPr="007D00FC">
              <w:rPr>
                <w:rFonts w:ascii="Arial MT" w:eastAsia="Arial MT" w:hAnsi="Arial MT" w:cs="Arial MT"/>
              </w:rPr>
              <w:t>can</w:t>
            </w:r>
            <w:r w:rsidRPr="007D00FC">
              <w:rPr>
                <w:rFonts w:ascii="Arial MT" w:eastAsia="Arial MT" w:hAnsi="Arial MT" w:cs="Arial MT"/>
                <w:spacing w:val="-4"/>
              </w:rPr>
              <w:t xml:space="preserve"> </w:t>
            </w:r>
            <w:r w:rsidRPr="007D00FC">
              <w:rPr>
                <w:rFonts w:ascii="Arial MT" w:eastAsia="Arial MT" w:hAnsi="Arial MT" w:cs="Arial MT"/>
              </w:rPr>
              <w:t>use</w:t>
            </w:r>
            <w:r w:rsidRPr="007D00FC">
              <w:rPr>
                <w:rFonts w:ascii="Arial MT" w:eastAsia="Arial MT" w:hAnsi="Arial MT" w:cs="Arial MT"/>
                <w:spacing w:val="-7"/>
              </w:rPr>
              <w:t xml:space="preserve"> </w:t>
            </w:r>
            <w:r w:rsidRPr="007D00FC">
              <w:rPr>
                <w:rFonts w:ascii="Arial MT" w:eastAsia="Arial MT" w:hAnsi="Arial MT" w:cs="Arial MT"/>
              </w:rPr>
              <w:t>Generative</w:t>
            </w:r>
            <w:r w:rsidRPr="007D00FC">
              <w:rPr>
                <w:rFonts w:ascii="Arial MT" w:eastAsia="Arial MT" w:hAnsi="Arial MT" w:cs="Arial MT"/>
                <w:spacing w:val="-4"/>
              </w:rPr>
              <w:t xml:space="preserve"> </w:t>
            </w:r>
            <w:r w:rsidRPr="007D00FC">
              <w:rPr>
                <w:rFonts w:ascii="Arial MT" w:eastAsia="Arial MT" w:hAnsi="Arial MT" w:cs="Arial MT"/>
              </w:rPr>
              <w:t>AI</w:t>
            </w:r>
            <w:r w:rsidRPr="007D00FC">
              <w:rPr>
                <w:rFonts w:ascii="Arial MT" w:eastAsia="Arial MT" w:hAnsi="Arial MT" w:cs="Arial MT"/>
                <w:spacing w:val="-6"/>
              </w:rPr>
              <w:t xml:space="preserve"> </w:t>
            </w:r>
            <w:r w:rsidRPr="007D00FC">
              <w:rPr>
                <w:rFonts w:ascii="Arial MT" w:eastAsia="Arial MT" w:hAnsi="Arial MT" w:cs="Arial MT"/>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0E668568"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0E18A367"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62416EDF" w14:textId="77777777" w:rsidR="00801195" w:rsidRPr="007D00FC" w:rsidRDefault="00801195" w:rsidP="00801195">
            <w:pPr>
              <w:widowControl w:val="0"/>
              <w:autoSpaceDE w:val="0"/>
              <w:autoSpaceDN w:val="0"/>
              <w:spacing w:before="20" w:after="0" w:line="240" w:lineRule="auto"/>
              <w:rPr>
                <w:rFonts w:ascii="Arial MT" w:eastAsia="Arial MT" w:hAnsi="Arial MT" w:cs="Arial MT"/>
              </w:rPr>
            </w:pPr>
          </w:p>
          <w:p w14:paraId="034753A8" w14:textId="77777777" w:rsidR="00801195" w:rsidRPr="007D00FC" w:rsidRDefault="00801195" w:rsidP="00801195">
            <w:pPr>
              <w:widowControl w:val="0"/>
              <w:autoSpaceDE w:val="0"/>
              <w:autoSpaceDN w:val="0"/>
              <w:spacing w:before="1"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460812E2" w14:textId="77777777" w:rsidTr="00801195">
        <w:trPr>
          <w:trHeight w:val="1235"/>
        </w:trPr>
        <w:tc>
          <w:tcPr>
            <w:tcW w:w="2675" w:type="dxa"/>
            <w:tcBorders>
              <w:top w:val="single" w:sz="4" w:space="0" w:color="000000"/>
              <w:bottom w:val="single" w:sz="4" w:space="0" w:color="000000"/>
              <w:right w:val="single" w:sz="4" w:space="0" w:color="000000"/>
            </w:tcBorders>
          </w:tcPr>
          <w:p w14:paraId="3EE59DDA" w14:textId="77777777" w:rsidR="00801195" w:rsidRPr="007D00FC" w:rsidRDefault="00801195" w:rsidP="00801195">
            <w:pPr>
              <w:widowControl w:val="0"/>
              <w:autoSpaceDE w:val="0"/>
              <w:autoSpaceDN w:val="0"/>
              <w:spacing w:after="0" w:line="240" w:lineRule="auto"/>
              <w:ind w:left="105"/>
              <w:rPr>
                <w:rFonts w:ascii="Arial MT" w:eastAsia="Arial MT" w:hAnsi="Arial MT" w:cs="Arial MT"/>
              </w:rPr>
            </w:pPr>
            <w:r w:rsidRPr="007D00FC">
              <w:rPr>
                <w:rFonts w:ascii="Arial MT" w:eastAsia="Arial MT" w:hAnsi="Arial MT" w:cs="Arial MT"/>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09E57BFB" w14:textId="77777777" w:rsidR="00801195" w:rsidRPr="007D00FC" w:rsidRDefault="00801195" w:rsidP="00801195">
            <w:pPr>
              <w:widowControl w:val="0"/>
              <w:autoSpaceDE w:val="0"/>
              <w:autoSpaceDN w:val="0"/>
              <w:spacing w:after="0"/>
              <w:ind w:left="108" w:hanging="1"/>
              <w:rPr>
                <w:rFonts w:ascii="Arial MT" w:eastAsia="Arial MT" w:hAnsi="Arial MT" w:cs="Arial MT"/>
              </w:rPr>
            </w:pPr>
            <w:r w:rsidRPr="007D00FC">
              <w:rPr>
                <w:rFonts w:ascii="Arial MT" w:eastAsia="Arial MT" w:hAnsi="Arial MT" w:cs="Arial MT"/>
              </w:rPr>
              <w:t>For</w:t>
            </w:r>
            <w:r w:rsidRPr="007D00FC">
              <w:rPr>
                <w:rFonts w:ascii="Arial MT" w:eastAsia="Arial MT" w:hAnsi="Arial MT" w:cs="Arial MT"/>
                <w:spacing w:val="-5"/>
              </w:rPr>
              <w:t xml:space="preserve"> </w:t>
            </w:r>
            <w:r w:rsidRPr="007D00FC">
              <w:rPr>
                <w:rFonts w:ascii="Arial MT" w:eastAsia="Arial MT" w:hAnsi="Arial MT" w:cs="Arial MT"/>
              </w:rPr>
              <w:t>this</w:t>
            </w:r>
            <w:r w:rsidRPr="007D00FC">
              <w:rPr>
                <w:rFonts w:ascii="Arial MT" w:eastAsia="Arial MT" w:hAnsi="Arial MT" w:cs="Arial MT"/>
                <w:spacing w:val="-5"/>
              </w:rPr>
              <w:t xml:space="preserve"> </w:t>
            </w:r>
            <w:r w:rsidRPr="007D00FC">
              <w:rPr>
                <w:rFonts w:ascii="Arial MT" w:eastAsia="Arial MT" w:hAnsi="Arial MT" w:cs="Arial MT"/>
              </w:rPr>
              <w:t>assessment,</w:t>
            </w:r>
            <w:r w:rsidRPr="007D00FC">
              <w:rPr>
                <w:rFonts w:ascii="Arial MT" w:eastAsia="Arial MT" w:hAnsi="Arial MT" w:cs="Arial MT"/>
                <w:spacing w:val="-4"/>
              </w:rPr>
              <w:t xml:space="preserve"> </w:t>
            </w:r>
            <w:r w:rsidRPr="007D00FC">
              <w:rPr>
                <w:rFonts w:ascii="Arial MT" w:eastAsia="Arial MT" w:hAnsi="Arial MT" w:cs="Arial MT"/>
              </w:rPr>
              <w:t>you</w:t>
            </w:r>
            <w:r w:rsidRPr="007D00FC">
              <w:rPr>
                <w:rFonts w:ascii="Arial MT" w:eastAsia="Arial MT" w:hAnsi="Arial MT" w:cs="Arial MT"/>
                <w:spacing w:val="-5"/>
              </w:rPr>
              <w:t xml:space="preserve"> </w:t>
            </w:r>
            <w:r w:rsidRPr="007D00FC">
              <w:rPr>
                <w:rFonts w:ascii="Arial MT" w:eastAsia="Arial MT" w:hAnsi="Arial MT" w:cs="Arial MT"/>
              </w:rPr>
              <w:t>can</w:t>
            </w:r>
            <w:r w:rsidRPr="007D00FC">
              <w:rPr>
                <w:rFonts w:ascii="Arial MT" w:eastAsia="Arial MT" w:hAnsi="Arial MT" w:cs="Arial MT"/>
                <w:spacing w:val="-5"/>
              </w:rPr>
              <w:t xml:space="preserve"> </w:t>
            </w:r>
            <w:r w:rsidRPr="007D00FC">
              <w:rPr>
                <w:rFonts w:ascii="Arial MT" w:eastAsia="Arial MT" w:hAnsi="Arial MT" w:cs="Arial MT"/>
              </w:rPr>
              <w:t>use</w:t>
            </w:r>
            <w:r w:rsidRPr="007D00FC">
              <w:rPr>
                <w:rFonts w:ascii="Arial MT" w:eastAsia="Arial MT" w:hAnsi="Arial MT" w:cs="Arial MT"/>
                <w:spacing w:val="-7"/>
              </w:rPr>
              <w:t xml:space="preserve"> </w:t>
            </w:r>
            <w:r w:rsidRPr="007D00FC">
              <w:rPr>
                <w:rFonts w:ascii="Arial MT" w:eastAsia="Arial MT" w:hAnsi="Arial MT" w:cs="Arial MT"/>
              </w:rPr>
              <w:t>Generative</w:t>
            </w:r>
            <w:r w:rsidRPr="007D00FC">
              <w:rPr>
                <w:rFonts w:ascii="Arial MT" w:eastAsia="Arial MT" w:hAnsi="Arial MT" w:cs="Arial MT"/>
                <w:spacing w:val="-5"/>
              </w:rPr>
              <w:t xml:space="preserve"> </w:t>
            </w:r>
            <w:r w:rsidRPr="007D00FC">
              <w:rPr>
                <w:rFonts w:ascii="Arial MT" w:eastAsia="Arial MT" w:hAnsi="Arial MT" w:cs="Arial MT"/>
              </w:rPr>
              <w:t>AI</w:t>
            </w:r>
            <w:r w:rsidRPr="007D00FC">
              <w:rPr>
                <w:rFonts w:ascii="Arial MT" w:eastAsia="Arial MT" w:hAnsi="Arial MT" w:cs="Arial MT"/>
                <w:spacing w:val="-6"/>
              </w:rPr>
              <w:t xml:space="preserve"> </w:t>
            </w:r>
            <w:r w:rsidRPr="007D00FC">
              <w:rPr>
                <w:rFonts w:ascii="Arial MT" w:eastAsia="Arial MT" w:hAnsi="Arial MT" w:cs="Arial MT"/>
              </w:rPr>
              <w:t>to create and check code.</w:t>
            </w:r>
          </w:p>
        </w:tc>
        <w:tc>
          <w:tcPr>
            <w:tcW w:w="1918" w:type="dxa"/>
            <w:tcBorders>
              <w:top w:val="single" w:sz="4" w:space="0" w:color="000000"/>
              <w:left w:val="single" w:sz="4" w:space="0" w:color="000000"/>
              <w:bottom w:val="single" w:sz="4" w:space="0" w:color="000000"/>
            </w:tcBorders>
          </w:tcPr>
          <w:p w14:paraId="43D2001C"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Arial MT" w:eastAsia="Arial MT" w:hAnsi="Arial MT" w:cs="Arial MT"/>
              </w:rPr>
              <w:t>Yes</w:t>
            </w:r>
            <w:r w:rsidRPr="007D00FC">
              <w:rPr>
                <w:rFonts w:ascii="Arial MT" w:eastAsia="Arial MT" w:hAnsi="Arial MT" w:cs="Arial MT"/>
                <w:spacing w:val="-1"/>
              </w:rPr>
              <w:t xml:space="preserve"> </w:t>
            </w:r>
            <w:r w:rsidRPr="007D00FC">
              <w:rPr>
                <w:rFonts w:ascii="Segoe UI Symbol" w:eastAsia="Arial MT" w:hAnsi="Segoe UI Symbol" w:cs="Segoe UI Symbol"/>
                <w:spacing w:val="-10"/>
              </w:rPr>
              <w:t>☐</w:t>
            </w:r>
          </w:p>
          <w:p w14:paraId="6A5B074A" w14:textId="77777777" w:rsidR="00801195" w:rsidRPr="007D00FC" w:rsidRDefault="00801195" w:rsidP="00801195">
            <w:pPr>
              <w:widowControl w:val="0"/>
              <w:autoSpaceDE w:val="0"/>
              <w:autoSpaceDN w:val="0"/>
              <w:spacing w:after="0" w:line="240" w:lineRule="auto"/>
              <w:rPr>
                <w:rFonts w:ascii="Arial MT" w:eastAsia="Arial MT" w:hAnsi="Arial MT" w:cs="Arial MT"/>
              </w:rPr>
            </w:pPr>
          </w:p>
          <w:p w14:paraId="413388E9" w14:textId="77777777" w:rsidR="00801195" w:rsidRPr="007D00FC" w:rsidRDefault="00801195" w:rsidP="00801195">
            <w:pPr>
              <w:widowControl w:val="0"/>
              <w:autoSpaceDE w:val="0"/>
              <w:autoSpaceDN w:val="0"/>
              <w:spacing w:before="18" w:after="0" w:line="240" w:lineRule="auto"/>
              <w:rPr>
                <w:rFonts w:ascii="Arial MT" w:eastAsia="Arial MT" w:hAnsi="Arial MT" w:cs="Arial MT"/>
              </w:rPr>
            </w:pPr>
          </w:p>
          <w:p w14:paraId="7118231D" w14:textId="77777777" w:rsidR="00801195" w:rsidRPr="007D00FC" w:rsidRDefault="00801195" w:rsidP="00801195">
            <w:pPr>
              <w:widowControl w:val="0"/>
              <w:autoSpaceDE w:val="0"/>
              <w:autoSpaceDN w:val="0"/>
              <w:spacing w:after="0" w:line="240" w:lineRule="auto"/>
              <w:ind w:left="111"/>
              <w:rPr>
                <w:rFonts w:ascii="SimSun-ExtB" w:eastAsia="Arial MT" w:hAnsi="SimSun-ExtB" w:cs="Arial MT"/>
              </w:rPr>
            </w:pPr>
            <w:r w:rsidRPr="007D00FC">
              <w:rPr>
                <w:rFonts w:ascii="Arial MT" w:eastAsia="Arial MT" w:hAnsi="Arial MT" w:cs="Arial MT"/>
              </w:rPr>
              <w:t>No</w:t>
            </w:r>
            <w:r w:rsidRPr="007D00FC">
              <w:rPr>
                <w:rFonts w:ascii="Arial MT" w:eastAsia="Arial MT" w:hAnsi="Arial MT" w:cs="Arial MT"/>
                <w:spacing w:val="62"/>
              </w:rPr>
              <w:t xml:space="preserve"> </w:t>
            </w:r>
            <w:r w:rsidRPr="007D00FC">
              <w:rPr>
                <w:rFonts w:ascii="Segoe UI Symbol" w:eastAsia="Arial MT" w:hAnsi="Segoe UI Symbol" w:cs="Segoe UI Symbol"/>
                <w:spacing w:val="-10"/>
              </w:rPr>
              <w:t>☒</w:t>
            </w:r>
          </w:p>
        </w:tc>
      </w:tr>
      <w:tr w:rsidR="00801195" w:rsidRPr="007D00FC" w14:paraId="353F246B" w14:textId="77777777" w:rsidTr="00801195">
        <w:trPr>
          <w:trHeight w:val="1518"/>
        </w:trPr>
        <w:tc>
          <w:tcPr>
            <w:tcW w:w="2675" w:type="dxa"/>
            <w:tcBorders>
              <w:top w:val="single" w:sz="4" w:space="0" w:color="000000"/>
              <w:right w:val="single" w:sz="4" w:space="0" w:color="000000"/>
            </w:tcBorders>
          </w:tcPr>
          <w:p w14:paraId="3EC951FA" w14:textId="77777777" w:rsidR="00801195" w:rsidRPr="007D00FC" w:rsidRDefault="00801195" w:rsidP="00801195">
            <w:pPr>
              <w:widowControl w:val="0"/>
              <w:autoSpaceDE w:val="0"/>
              <w:autoSpaceDN w:val="0"/>
              <w:spacing w:after="0" w:line="240" w:lineRule="auto"/>
              <w:ind w:left="105"/>
              <w:rPr>
                <w:rFonts w:ascii="Arial MT" w:eastAsia="Arial MT" w:hAnsi="Arial MT" w:cs="Arial MT"/>
              </w:rPr>
            </w:pPr>
            <w:r w:rsidRPr="007D00FC">
              <w:rPr>
                <w:rFonts w:ascii="Arial MT" w:eastAsia="Arial MT" w:hAnsi="Arial MT" w:cs="Arial MT"/>
                <w:spacing w:val="-4"/>
              </w:rPr>
              <w:t>NONE</w:t>
            </w:r>
          </w:p>
        </w:tc>
        <w:tc>
          <w:tcPr>
            <w:tcW w:w="5397" w:type="dxa"/>
            <w:tcBorders>
              <w:top w:val="single" w:sz="4" w:space="0" w:color="000000"/>
              <w:left w:val="single" w:sz="4" w:space="0" w:color="000000"/>
              <w:right w:val="single" w:sz="4" w:space="0" w:color="000000"/>
            </w:tcBorders>
          </w:tcPr>
          <w:p w14:paraId="4C5AB08C" w14:textId="77777777" w:rsidR="00801195" w:rsidRPr="007D00FC" w:rsidRDefault="00801195" w:rsidP="00801195">
            <w:pPr>
              <w:widowControl w:val="0"/>
              <w:autoSpaceDE w:val="0"/>
              <w:autoSpaceDN w:val="0"/>
              <w:spacing w:after="0"/>
              <w:ind w:left="108" w:right="89" w:hanging="1"/>
              <w:rPr>
                <w:rFonts w:ascii="Arial MT" w:eastAsia="Arial MT" w:hAnsi="Arial MT" w:cs="Arial MT"/>
              </w:rPr>
            </w:pPr>
            <w:r w:rsidRPr="007D00FC">
              <w:rPr>
                <w:rFonts w:ascii="Arial MT" w:eastAsia="Arial MT" w:hAnsi="Arial MT" w:cs="Arial MT"/>
              </w:rPr>
              <w:t xml:space="preserve">For this assessment, you are not allowed to use </w:t>
            </w:r>
            <w:r w:rsidRPr="007D00FC">
              <w:rPr>
                <w:rFonts w:eastAsia="Arial MT" w:hAnsi="Arial MT" w:cs="Arial MT"/>
                <w:b/>
              </w:rPr>
              <w:t xml:space="preserve">any </w:t>
            </w:r>
            <w:r w:rsidRPr="007D00FC">
              <w:rPr>
                <w:rFonts w:ascii="Arial MT" w:eastAsia="Arial MT" w:hAnsi="Arial MT" w:cs="Arial MT"/>
              </w:rPr>
              <w:t>type</w:t>
            </w:r>
            <w:r w:rsidRPr="007D00FC">
              <w:rPr>
                <w:rFonts w:ascii="Arial MT" w:eastAsia="Arial MT" w:hAnsi="Arial MT" w:cs="Arial MT"/>
                <w:spacing w:val="-5"/>
              </w:rPr>
              <w:t xml:space="preserve"> </w:t>
            </w:r>
            <w:r w:rsidRPr="007D00FC">
              <w:rPr>
                <w:rFonts w:ascii="Arial MT" w:eastAsia="Arial MT" w:hAnsi="Arial MT" w:cs="Arial MT"/>
              </w:rPr>
              <w:t>of</w:t>
            </w:r>
            <w:r w:rsidRPr="007D00FC">
              <w:rPr>
                <w:rFonts w:ascii="Arial MT" w:eastAsia="Arial MT" w:hAnsi="Arial MT" w:cs="Arial MT"/>
                <w:spacing w:val="-5"/>
              </w:rPr>
              <w:t xml:space="preserve"> </w:t>
            </w:r>
            <w:r w:rsidRPr="007D00FC">
              <w:rPr>
                <w:rFonts w:ascii="Arial MT" w:eastAsia="Arial MT" w:hAnsi="Arial MT" w:cs="Arial MT"/>
              </w:rPr>
              <w:t>Generative</w:t>
            </w:r>
            <w:r w:rsidRPr="007D00FC">
              <w:rPr>
                <w:rFonts w:ascii="Arial MT" w:eastAsia="Arial MT" w:hAnsi="Arial MT" w:cs="Arial MT"/>
                <w:spacing w:val="-6"/>
              </w:rPr>
              <w:t xml:space="preserve"> </w:t>
            </w:r>
            <w:r w:rsidRPr="007D00FC">
              <w:rPr>
                <w:rFonts w:ascii="Arial MT" w:eastAsia="Arial MT" w:hAnsi="Arial MT" w:cs="Arial MT"/>
              </w:rPr>
              <w:t>AI</w:t>
            </w:r>
            <w:r w:rsidRPr="007D00FC">
              <w:rPr>
                <w:rFonts w:ascii="Arial MT" w:eastAsia="Arial MT" w:hAnsi="Arial MT" w:cs="Arial MT"/>
                <w:spacing w:val="-5"/>
              </w:rPr>
              <w:t xml:space="preserve"> </w:t>
            </w:r>
            <w:r w:rsidRPr="007D00FC">
              <w:rPr>
                <w:rFonts w:ascii="Arial MT" w:eastAsia="Arial MT" w:hAnsi="Arial MT" w:cs="Arial MT"/>
              </w:rPr>
              <w:t>support.</w:t>
            </w:r>
            <w:r w:rsidRPr="007D00FC">
              <w:rPr>
                <w:rFonts w:ascii="Arial MT" w:eastAsia="Arial MT" w:hAnsi="Arial MT" w:cs="Arial MT"/>
                <w:spacing w:val="-4"/>
              </w:rPr>
              <w:t xml:space="preserve"> </w:t>
            </w:r>
            <w:r w:rsidRPr="007D00FC">
              <w:rPr>
                <w:rFonts w:ascii="Arial MT" w:eastAsia="Arial MT" w:hAnsi="Arial MT" w:cs="Arial MT"/>
              </w:rPr>
              <w:t>This</w:t>
            </w:r>
            <w:r w:rsidRPr="007D00FC">
              <w:rPr>
                <w:rFonts w:ascii="Arial MT" w:eastAsia="Arial MT" w:hAnsi="Arial MT" w:cs="Arial MT"/>
                <w:spacing w:val="-5"/>
              </w:rPr>
              <w:t xml:space="preserve"> </w:t>
            </w:r>
            <w:r w:rsidRPr="007D00FC">
              <w:rPr>
                <w:rFonts w:ascii="Arial MT" w:eastAsia="Arial MT" w:hAnsi="Arial MT" w:cs="Arial MT"/>
              </w:rPr>
              <w:t>includes</w:t>
            </w:r>
            <w:r w:rsidRPr="007D00FC">
              <w:rPr>
                <w:rFonts w:ascii="Arial MT" w:eastAsia="Arial MT" w:hAnsi="Arial MT" w:cs="Arial MT"/>
                <w:spacing w:val="-7"/>
              </w:rPr>
              <w:t xml:space="preserve"> </w:t>
            </w:r>
            <w:r w:rsidRPr="007D00FC">
              <w:rPr>
                <w:rFonts w:ascii="Arial MT" w:eastAsia="Arial MT" w:hAnsi="Arial MT" w:cs="Arial MT"/>
              </w:rPr>
              <w:t>research support, structure support, writing/proofreading</w:t>
            </w:r>
          </w:p>
          <w:p w14:paraId="4E33C4B3" w14:textId="77777777" w:rsidR="00801195" w:rsidRPr="007D00FC" w:rsidRDefault="00801195" w:rsidP="00801195">
            <w:pPr>
              <w:widowControl w:val="0"/>
              <w:autoSpaceDE w:val="0"/>
              <w:autoSpaceDN w:val="0"/>
              <w:spacing w:after="0" w:line="252" w:lineRule="exact"/>
              <w:ind w:left="108"/>
              <w:rPr>
                <w:rFonts w:ascii="Arial MT" w:eastAsia="Arial MT" w:hAnsi="Arial MT" w:cs="Arial MT"/>
              </w:rPr>
            </w:pPr>
            <w:r w:rsidRPr="007D00FC">
              <w:rPr>
                <w:rFonts w:ascii="Arial MT" w:eastAsia="Arial MT" w:hAnsi="Arial MT" w:cs="Arial MT"/>
              </w:rPr>
              <w:t>support</w:t>
            </w:r>
            <w:r w:rsidRPr="007D00FC">
              <w:rPr>
                <w:rFonts w:ascii="Arial MT" w:eastAsia="Arial MT" w:hAnsi="Arial MT" w:cs="Arial MT"/>
                <w:spacing w:val="-6"/>
              </w:rPr>
              <w:t xml:space="preserve"> </w:t>
            </w:r>
            <w:r w:rsidRPr="007D00FC">
              <w:rPr>
                <w:rFonts w:ascii="Arial MT" w:eastAsia="Arial MT" w:hAnsi="Arial MT" w:cs="Arial MT"/>
              </w:rPr>
              <w:t>and</w:t>
            </w:r>
            <w:r w:rsidRPr="007D00FC">
              <w:rPr>
                <w:rFonts w:ascii="Arial MT" w:eastAsia="Arial MT" w:hAnsi="Arial MT" w:cs="Arial MT"/>
                <w:spacing w:val="-2"/>
              </w:rPr>
              <w:t xml:space="preserve"> </w:t>
            </w:r>
            <w:r w:rsidRPr="007D00FC">
              <w:rPr>
                <w:rFonts w:ascii="Arial MT" w:eastAsia="Arial MT" w:hAnsi="Arial MT" w:cs="Arial MT"/>
              </w:rPr>
              <w:t>creative</w:t>
            </w:r>
            <w:r w:rsidRPr="007D00FC">
              <w:rPr>
                <w:rFonts w:ascii="Arial MT" w:eastAsia="Arial MT" w:hAnsi="Arial MT" w:cs="Arial MT"/>
                <w:spacing w:val="-4"/>
              </w:rPr>
              <w:t xml:space="preserve"> </w:t>
            </w:r>
            <w:r w:rsidRPr="007D00FC">
              <w:rPr>
                <w:rFonts w:ascii="Arial MT" w:eastAsia="Arial MT" w:hAnsi="Arial MT" w:cs="Arial MT"/>
                <w:spacing w:val="-2"/>
              </w:rPr>
              <w:t>support.</w:t>
            </w:r>
          </w:p>
        </w:tc>
        <w:tc>
          <w:tcPr>
            <w:tcW w:w="1918" w:type="dxa"/>
            <w:tcBorders>
              <w:top w:val="single" w:sz="4" w:space="0" w:color="000000"/>
              <w:left w:val="single" w:sz="4" w:space="0" w:color="000000"/>
            </w:tcBorders>
          </w:tcPr>
          <w:p w14:paraId="330DD8B3" w14:textId="77777777" w:rsidR="00801195" w:rsidRPr="007D00FC" w:rsidRDefault="00801195" w:rsidP="00801195">
            <w:pPr>
              <w:widowControl w:val="0"/>
              <w:autoSpaceDE w:val="0"/>
              <w:autoSpaceDN w:val="0"/>
              <w:spacing w:before="3" w:after="0" w:line="240" w:lineRule="auto"/>
              <w:ind w:left="111"/>
              <w:rPr>
                <w:rFonts w:ascii="SimSun-ExtB" w:eastAsia="Arial MT" w:hAnsi="SimSun-ExtB" w:cs="Arial MT"/>
              </w:rPr>
            </w:pPr>
            <w:r w:rsidRPr="007D00FC">
              <w:rPr>
                <w:rFonts w:ascii="Segoe UI Symbol" w:eastAsia="Arial MT" w:hAnsi="Segoe UI Symbol" w:cs="Segoe UI Symbol"/>
                <w:spacing w:val="-10"/>
              </w:rPr>
              <w:t>☐</w:t>
            </w:r>
          </w:p>
        </w:tc>
      </w:tr>
      <w:bookmarkEnd w:id="1"/>
    </w:tbl>
    <w:p w14:paraId="4A8A772D" w14:textId="3FD2401A" w:rsidR="00801195" w:rsidRDefault="00801195" w:rsidP="00801195"/>
    <w:p w14:paraId="7FF1F5B1" w14:textId="77777777" w:rsidR="00801195" w:rsidRDefault="00801195" w:rsidP="00801195"/>
    <w:p w14:paraId="35899F30" w14:textId="42628D2A" w:rsidR="006530B3" w:rsidRDefault="006530B3" w:rsidP="002C7814">
      <w:r>
        <w:br w:type="page"/>
      </w:r>
    </w:p>
    <w:sdt>
      <w:sdtPr>
        <w:rPr>
          <w:rFonts w:ascii="Arial" w:eastAsiaTheme="minorHAnsi" w:hAnsi="Arial" w:cstheme="minorBidi"/>
          <w:color w:val="auto"/>
          <w:sz w:val="22"/>
          <w:szCs w:val="22"/>
          <w:lang w:val="en-GB"/>
        </w:rPr>
        <w:id w:val="572939402"/>
        <w:docPartObj>
          <w:docPartGallery w:val="Table of Contents"/>
          <w:docPartUnique/>
        </w:docPartObj>
      </w:sdtPr>
      <w:sdtEndPr>
        <w:rPr>
          <w:b/>
          <w:bCs/>
          <w:noProof/>
        </w:rPr>
      </w:sdtEndPr>
      <w:sdtContent>
        <w:p w14:paraId="49687A19" w14:textId="72F73759" w:rsidR="006530B3" w:rsidRDefault="006530B3">
          <w:pPr>
            <w:pStyle w:val="TOCHeading"/>
          </w:pPr>
          <w:r>
            <w:t>Table of Contents</w:t>
          </w:r>
        </w:p>
        <w:p w14:paraId="5C15E29D" w14:textId="6AF398E1" w:rsidR="002C7814" w:rsidRDefault="006530B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6778319" w:history="1">
            <w:r w:rsidR="002C7814" w:rsidRPr="00065530">
              <w:rPr>
                <w:rStyle w:val="Hyperlink"/>
                <w:noProof/>
              </w:rPr>
              <w:t>Acknowledgement</w:t>
            </w:r>
            <w:r w:rsidR="002C7814">
              <w:rPr>
                <w:noProof/>
                <w:webHidden/>
              </w:rPr>
              <w:tab/>
            </w:r>
            <w:r w:rsidR="002C7814">
              <w:rPr>
                <w:noProof/>
                <w:webHidden/>
              </w:rPr>
              <w:fldChar w:fldCharType="begin"/>
            </w:r>
            <w:r w:rsidR="002C7814">
              <w:rPr>
                <w:noProof/>
                <w:webHidden/>
              </w:rPr>
              <w:instrText xml:space="preserve"> PAGEREF _Toc236778319 \h </w:instrText>
            </w:r>
            <w:r w:rsidR="002C7814">
              <w:rPr>
                <w:noProof/>
                <w:webHidden/>
              </w:rPr>
            </w:r>
            <w:r w:rsidR="002C7814">
              <w:rPr>
                <w:noProof/>
                <w:webHidden/>
              </w:rPr>
              <w:fldChar w:fldCharType="separate"/>
            </w:r>
            <w:r w:rsidR="002C7814">
              <w:rPr>
                <w:noProof/>
                <w:webHidden/>
              </w:rPr>
              <w:t>2</w:t>
            </w:r>
            <w:r w:rsidR="002C7814">
              <w:rPr>
                <w:noProof/>
                <w:webHidden/>
              </w:rPr>
              <w:fldChar w:fldCharType="end"/>
            </w:r>
          </w:hyperlink>
        </w:p>
        <w:p w14:paraId="4EA39B3E" w14:textId="09562E4B" w:rsidR="002C7814" w:rsidRDefault="00FA1C2D">
          <w:pPr>
            <w:pStyle w:val="TOC1"/>
            <w:tabs>
              <w:tab w:val="right" w:leader="dot" w:pos="9016"/>
            </w:tabs>
            <w:rPr>
              <w:rFonts w:asciiTheme="minorHAnsi" w:eastAsiaTheme="minorEastAsia" w:hAnsiTheme="minorHAnsi"/>
              <w:noProof/>
              <w:lang w:eastAsia="en-GB"/>
            </w:rPr>
          </w:pPr>
          <w:hyperlink w:anchor="_Toc236778320" w:history="1">
            <w:r w:rsidR="002C7814" w:rsidRPr="00065530">
              <w:rPr>
                <w:rStyle w:val="Hyperlink"/>
                <w:noProof/>
              </w:rPr>
              <w:t>1. Introduction</w:t>
            </w:r>
            <w:r w:rsidR="002C7814">
              <w:rPr>
                <w:noProof/>
                <w:webHidden/>
              </w:rPr>
              <w:tab/>
            </w:r>
            <w:r w:rsidR="002C7814">
              <w:rPr>
                <w:noProof/>
                <w:webHidden/>
              </w:rPr>
              <w:fldChar w:fldCharType="begin"/>
            </w:r>
            <w:r w:rsidR="002C7814">
              <w:rPr>
                <w:noProof/>
                <w:webHidden/>
              </w:rPr>
              <w:instrText xml:space="preserve"> PAGEREF _Toc236778320 \h </w:instrText>
            </w:r>
            <w:r w:rsidR="002C7814">
              <w:rPr>
                <w:noProof/>
                <w:webHidden/>
              </w:rPr>
            </w:r>
            <w:r w:rsidR="002C7814">
              <w:rPr>
                <w:noProof/>
                <w:webHidden/>
              </w:rPr>
              <w:fldChar w:fldCharType="separate"/>
            </w:r>
            <w:r w:rsidR="002C7814">
              <w:rPr>
                <w:noProof/>
                <w:webHidden/>
              </w:rPr>
              <w:t>4</w:t>
            </w:r>
            <w:r w:rsidR="002C7814">
              <w:rPr>
                <w:noProof/>
                <w:webHidden/>
              </w:rPr>
              <w:fldChar w:fldCharType="end"/>
            </w:r>
          </w:hyperlink>
        </w:p>
        <w:p w14:paraId="75877D2D" w14:textId="653EDBB8" w:rsidR="002C7814" w:rsidRDefault="00FA1C2D">
          <w:pPr>
            <w:pStyle w:val="TOC1"/>
            <w:tabs>
              <w:tab w:val="right" w:leader="dot" w:pos="9016"/>
            </w:tabs>
            <w:rPr>
              <w:rFonts w:asciiTheme="minorHAnsi" w:eastAsiaTheme="minorEastAsia" w:hAnsiTheme="minorHAnsi"/>
              <w:noProof/>
              <w:lang w:eastAsia="en-GB"/>
            </w:rPr>
          </w:pPr>
          <w:hyperlink w:anchor="_Toc236778321" w:history="1">
            <w:r w:rsidR="002C7814" w:rsidRPr="00065530">
              <w:rPr>
                <w:rStyle w:val="Hyperlink"/>
                <w:noProof/>
              </w:rPr>
              <w:t>2. Company Background</w:t>
            </w:r>
            <w:r w:rsidR="002C7814">
              <w:rPr>
                <w:noProof/>
                <w:webHidden/>
              </w:rPr>
              <w:tab/>
            </w:r>
            <w:r w:rsidR="002C7814">
              <w:rPr>
                <w:noProof/>
                <w:webHidden/>
              </w:rPr>
              <w:fldChar w:fldCharType="begin"/>
            </w:r>
            <w:r w:rsidR="002C7814">
              <w:rPr>
                <w:noProof/>
                <w:webHidden/>
              </w:rPr>
              <w:instrText xml:space="preserve"> PAGEREF _Toc236778321 \h </w:instrText>
            </w:r>
            <w:r w:rsidR="002C7814">
              <w:rPr>
                <w:noProof/>
                <w:webHidden/>
              </w:rPr>
            </w:r>
            <w:r w:rsidR="002C7814">
              <w:rPr>
                <w:noProof/>
                <w:webHidden/>
              </w:rPr>
              <w:fldChar w:fldCharType="separate"/>
            </w:r>
            <w:r w:rsidR="002C7814">
              <w:rPr>
                <w:noProof/>
                <w:webHidden/>
              </w:rPr>
              <w:t>4</w:t>
            </w:r>
            <w:r w:rsidR="002C7814">
              <w:rPr>
                <w:noProof/>
                <w:webHidden/>
              </w:rPr>
              <w:fldChar w:fldCharType="end"/>
            </w:r>
          </w:hyperlink>
        </w:p>
        <w:p w14:paraId="69DA1783" w14:textId="7870B42D" w:rsidR="002C7814" w:rsidRDefault="00FA1C2D">
          <w:pPr>
            <w:pStyle w:val="TOC1"/>
            <w:tabs>
              <w:tab w:val="right" w:leader="dot" w:pos="9016"/>
            </w:tabs>
            <w:rPr>
              <w:rFonts w:asciiTheme="minorHAnsi" w:eastAsiaTheme="minorEastAsia" w:hAnsiTheme="minorHAnsi"/>
              <w:noProof/>
              <w:lang w:eastAsia="en-GB"/>
            </w:rPr>
          </w:pPr>
          <w:hyperlink w:anchor="_Toc236778322" w:history="1">
            <w:r w:rsidR="002C7814" w:rsidRPr="00065530">
              <w:rPr>
                <w:rStyle w:val="Hyperlink"/>
                <w:noProof/>
              </w:rPr>
              <w:t>Section 1:</w:t>
            </w:r>
            <w:r w:rsidR="002C7814">
              <w:rPr>
                <w:noProof/>
                <w:webHidden/>
              </w:rPr>
              <w:tab/>
            </w:r>
            <w:r w:rsidR="002C7814">
              <w:rPr>
                <w:noProof/>
                <w:webHidden/>
              </w:rPr>
              <w:fldChar w:fldCharType="begin"/>
            </w:r>
            <w:r w:rsidR="002C7814">
              <w:rPr>
                <w:noProof/>
                <w:webHidden/>
              </w:rPr>
              <w:instrText xml:space="preserve"> PAGEREF _Toc236778322 \h </w:instrText>
            </w:r>
            <w:r w:rsidR="002C7814">
              <w:rPr>
                <w:noProof/>
                <w:webHidden/>
              </w:rPr>
            </w:r>
            <w:r w:rsidR="002C7814">
              <w:rPr>
                <w:noProof/>
                <w:webHidden/>
              </w:rPr>
              <w:fldChar w:fldCharType="separate"/>
            </w:r>
            <w:r w:rsidR="002C7814">
              <w:rPr>
                <w:noProof/>
                <w:webHidden/>
              </w:rPr>
              <w:t>5</w:t>
            </w:r>
            <w:r w:rsidR="002C7814">
              <w:rPr>
                <w:noProof/>
                <w:webHidden/>
              </w:rPr>
              <w:fldChar w:fldCharType="end"/>
            </w:r>
          </w:hyperlink>
        </w:p>
        <w:p w14:paraId="6EC4F9A5" w14:textId="14D63ECD" w:rsidR="002C7814" w:rsidRDefault="00FA1C2D">
          <w:pPr>
            <w:pStyle w:val="TOC2"/>
            <w:tabs>
              <w:tab w:val="right" w:leader="dot" w:pos="9016"/>
            </w:tabs>
            <w:rPr>
              <w:rFonts w:asciiTheme="minorHAnsi" w:eastAsiaTheme="minorEastAsia" w:hAnsiTheme="minorHAnsi"/>
              <w:noProof/>
              <w:lang w:eastAsia="en-GB"/>
            </w:rPr>
          </w:pPr>
          <w:hyperlink w:anchor="_Toc236778323" w:history="1">
            <w:r w:rsidR="002C7814" w:rsidRPr="00065530">
              <w:rPr>
                <w:rStyle w:val="Hyperlink"/>
                <w:noProof/>
              </w:rPr>
              <w:t>a. Comparative Macro-Environmental Analysis</w:t>
            </w:r>
            <w:r w:rsidR="002C7814">
              <w:rPr>
                <w:noProof/>
                <w:webHidden/>
              </w:rPr>
              <w:tab/>
            </w:r>
            <w:r w:rsidR="002C7814">
              <w:rPr>
                <w:noProof/>
                <w:webHidden/>
              </w:rPr>
              <w:fldChar w:fldCharType="begin"/>
            </w:r>
            <w:r w:rsidR="002C7814">
              <w:rPr>
                <w:noProof/>
                <w:webHidden/>
              </w:rPr>
              <w:instrText xml:space="preserve"> PAGEREF _Toc236778323 \h </w:instrText>
            </w:r>
            <w:r w:rsidR="002C7814">
              <w:rPr>
                <w:noProof/>
                <w:webHidden/>
              </w:rPr>
            </w:r>
            <w:r w:rsidR="002C7814">
              <w:rPr>
                <w:noProof/>
                <w:webHidden/>
              </w:rPr>
              <w:fldChar w:fldCharType="separate"/>
            </w:r>
            <w:r w:rsidR="002C7814">
              <w:rPr>
                <w:noProof/>
                <w:webHidden/>
              </w:rPr>
              <w:t>5</w:t>
            </w:r>
            <w:r w:rsidR="002C7814">
              <w:rPr>
                <w:noProof/>
                <w:webHidden/>
              </w:rPr>
              <w:fldChar w:fldCharType="end"/>
            </w:r>
          </w:hyperlink>
        </w:p>
        <w:p w14:paraId="15AA0EDA" w14:textId="139205C4" w:rsidR="002C7814" w:rsidRDefault="00FA1C2D">
          <w:pPr>
            <w:pStyle w:val="TOC3"/>
            <w:tabs>
              <w:tab w:val="right" w:leader="dot" w:pos="9016"/>
            </w:tabs>
            <w:rPr>
              <w:rFonts w:asciiTheme="minorHAnsi" w:eastAsiaTheme="minorEastAsia" w:hAnsiTheme="minorHAnsi"/>
              <w:noProof/>
              <w:lang w:eastAsia="en-GB"/>
            </w:rPr>
          </w:pPr>
          <w:hyperlink w:anchor="_Toc236778324" w:history="1">
            <w:r w:rsidR="002C7814" w:rsidRPr="00065530">
              <w:rPr>
                <w:rStyle w:val="Hyperlink"/>
                <w:noProof/>
              </w:rPr>
              <w:t>Hofstede Model</w:t>
            </w:r>
            <w:r w:rsidR="002C7814">
              <w:rPr>
                <w:noProof/>
                <w:webHidden/>
              </w:rPr>
              <w:tab/>
            </w:r>
            <w:r w:rsidR="002C7814">
              <w:rPr>
                <w:noProof/>
                <w:webHidden/>
              </w:rPr>
              <w:fldChar w:fldCharType="begin"/>
            </w:r>
            <w:r w:rsidR="002C7814">
              <w:rPr>
                <w:noProof/>
                <w:webHidden/>
              </w:rPr>
              <w:instrText xml:space="preserve"> PAGEREF _Toc236778324 \h </w:instrText>
            </w:r>
            <w:r w:rsidR="002C7814">
              <w:rPr>
                <w:noProof/>
                <w:webHidden/>
              </w:rPr>
            </w:r>
            <w:r w:rsidR="002C7814">
              <w:rPr>
                <w:noProof/>
                <w:webHidden/>
              </w:rPr>
              <w:fldChar w:fldCharType="separate"/>
            </w:r>
            <w:r w:rsidR="002C7814">
              <w:rPr>
                <w:noProof/>
                <w:webHidden/>
              </w:rPr>
              <w:t>7</w:t>
            </w:r>
            <w:r w:rsidR="002C7814">
              <w:rPr>
                <w:noProof/>
                <w:webHidden/>
              </w:rPr>
              <w:fldChar w:fldCharType="end"/>
            </w:r>
          </w:hyperlink>
        </w:p>
        <w:p w14:paraId="380887DA" w14:textId="6168DC41" w:rsidR="002C7814" w:rsidRDefault="00FA1C2D">
          <w:pPr>
            <w:pStyle w:val="TOC3"/>
            <w:tabs>
              <w:tab w:val="right" w:leader="dot" w:pos="9016"/>
            </w:tabs>
            <w:rPr>
              <w:rFonts w:asciiTheme="minorHAnsi" w:eastAsiaTheme="minorEastAsia" w:hAnsiTheme="minorHAnsi"/>
              <w:noProof/>
              <w:lang w:eastAsia="en-GB"/>
            </w:rPr>
          </w:pPr>
          <w:hyperlink w:anchor="_Toc236778325" w:history="1">
            <w:r w:rsidR="002C7814" w:rsidRPr="00065530">
              <w:rPr>
                <w:rStyle w:val="Hyperlink"/>
                <w:noProof/>
              </w:rPr>
              <w:t>Cultural Comparison</w:t>
            </w:r>
            <w:r w:rsidR="002C7814">
              <w:rPr>
                <w:noProof/>
                <w:webHidden/>
              </w:rPr>
              <w:tab/>
            </w:r>
            <w:r w:rsidR="002C7814">
              <w:rPr>
                <w:noProof/>
                <w:webHidden/>
              </w:rPr>
              <w:fldChar w:fldCharType="begin"/>
            </w:r>
            <w:r w:rsidR="002C7814">
              <w:rPr>
                <w:noProof/>
                <w:webHidden/>
              </w:rPr>
              <w:instrText xml:space="preserve"> PAGEREF _Toc236778325 \h </w:instrText>
            </w:r>
            <w:r w:rsidR="002C7814">
              <w:rPr>
                <w:noProof/>
                <w:webHidden/>
              </w:rPr>
            </w:r>
            <w:r w:rsidR="002C7814">
              <w:rPr>
                <w:noProof/>
                <w:webHidden/>
              </w:rPr>
              <w:fldChar w:fldCharType="separate"/>
            </w:r>
            <w:r w:rsidR="002C7814">
              <w:rPr>
                <w:noProof/>
                <w:webHidden/>
              </w:rPr>
              <w:t>7</w:t>
            </w:r>
            <w:r w:rsidR="002C7814">
              <w:rPr>
                <w:noProof/>
                <w:webHidden/>
              </w:rPr>
              <w:fldChar w:fldCharType="end"/>
            </w:r>
          </w:hyperlink>
        </w:p>
        <w:p w14:paraId="3A509B0D" w14:textId="324E44AC" w:rsidR="002C7814" w:rsidRDefault="00FA1C2D">
          <w:pPr>
            <w:pStyle w:val="TOC2"/>
            <w:tabs>
              <w:tab w:val="right" w:leader="dot" w:pos="9016"/>
            </w:tabs>
            <w:rPr>
              <w:rFonts w:asciiTheme="minorHAnsi" w:eastAsiaTheme="minorEastAsia" w:hAnsiTheme="minorHAnsi"/>
              <w:noProof/>
              <w:lang w:eastAsia="en-GB"/>
            </w:rPr>
          </w:pPr>
          <w:hyperlink w:anchor="_Toc236778326" w:history="1">
            <w:r w:rsidR="002C7814" w:rsidRPr="00065530">
              <w:rPr>
                <w:rStyle w:val="Hyperlink"/>
                <w:noProof/>
              </w:rPr>
              <w:t>b. Segmentation, Targeting, and Positioning (STP)</w:t>
            </w:r>
            <w:r w:rsidR="002C7814">
              <w:rPr>
                <w:noProof/>
                <w:webHidden/>
              </w:rPr>
              <w:tab/>
            </w:r>
            <w:r w:rsidR="002C7814">
              <w:rPr>
                <w:noProof/>
                <w:webHidden/>
              </w:rPr>
              <w:fldChar w:fldCharType="begin"/>
            </w:r>
            <w:r w:rsidR="002C7814">
              <w:rPr>
                <w:noProof/>
                <w:webHidden/>
              </w:rPr>
              <w:instrText xml:space="preserve"> PAGEREF _Toc236778326 \h </w:instrText>
            </w:r>
            <w:r w:rsidR="002C7814">
              <w:rPr>
                <w:noProof/>
                <w:webHidden/>
              </w:rPr>
            </w:r>
            <w:r w:rsidR="002C7814">
              <w:rPr>
                <w:noProof/>
                <w:webHidden/>
              </w:rPr>
              <w:fldChar w:fldCharType="separate"/>
            </w:r>
            <w:r w:rsidR="002C7814">
              <w:rPr>
                <w:noProof/>
                <w:webHidden/>
              </w:rPr>
              <w:t>11</w:t>
            </w:r>
            <w:r w:rsidR="002C7814">
              <w:rPr>
                <w:noProof/>
                <w:webHidden/>
              </w:rPr>
              <w:fldChar w:fldCharType="end"/>
            </w:r>
          </w:hyperlink>
        </w:p>
        <w:p w14:paraId="415907EE" w14:textId="5E29E41D" w:rsidR="002C7814" w:rsidRDefault="00FA1C2D">
          <w:pPr>
            <w:pStyle w:val="TOC3"/>
            <w:tabs>
              <w:tab w:val="right" w:leader="dot" w:pos="9016"/>
            </w:tabs>
            <w:rPr>
              <w:rFonts w:asciiTheme="minorHAnsi" w:eastAsiaTheme="minorEastAsia" w:hAnsiTheme="minorHAnsi"/>
              <w:noProof/>
              <w:lang w:eastAsia="en-GB"/>
            </w:rPr>
          </w:pPr>
          <w:hyperlink w:anchor="_Toc236778327" w:history="1">
            <w:r w:rsidR="002C7814" w:rsidRPr="00065530">
              <w:rPr>
                <w:rStyle w:val="Hyperlink"/>
                <w:noProof/>
              </w:rPr>
              <w:t>The 7Ps Marketing Mix Comparative Analysis</w:t>
            </w:r>
            <w:r w:rsidR="002C7814">
              <w:rPr>
                <w:noProof/>
                <w:webHidden/>
              </w:rPr>
              <w:tab/>
            </w:r>
            <w:r w:rsidR="002C7814">
              <w:rPr>
                <w:noProof/>
                <w:webHidden/>
              </w:rPr>
              <w:fldChar w:fldCharType="begin"/>
            </w:r>
            <w:r w:rsidR="002C7814">
              <w:rPr>
                <w:noProof/>
                <w:webHidden/>
              </w:rPr>
              <w:instrText xml:space="preserve"> PAGEREF _Toc236778327 \h </w:instrText>
            </w:r>
            <w:r w:rsidR="002C7814">
              <w:rPr>
                <w:noProof/>
                <w:webHidden/>
              </w:rPr>
            </w:r>
            <w:r w:rsidR="002C7814">
              <w:rPr>
                <w:noProof/>
                <w:webHidden/>
              </w:rPr>
              <w:fldChar w:fldCharType="separate"/>
            </w:r>
            <w:r w:rsidR="002C7814">
              <w:rPr>
                <w:noProof/>
                <w:webHidden/>
              </w:rPr>
              <w:t>13</w:t>
            </w:r>
            <w:r w:rsidR="002C7814">
              <w:rPr>
                <w:noProof/>
                <w:webHidden/>
              </w:rPr>
              <w:fldChar w:fldCharType="end"/>
            </w:r>
          </w:hyperlink>
        </w:p>
        <w:p w14:paraId="0F9216DF" w14:textId="2AE6AE77" w:rsidR="002C7814" w:rsidRDefault="00FA1C2D">
          <w:pPr>
            <w:pStyle w:val="TOC3"/>
            <w:tabs>
              <w:tab w:val="right" w:leader="dot" w:pos="9016"/>
            </w:tabs>
            <w:rPr>
              <w:rFonts w:asciiTheme="minorHAnsi" w:eastAsiaTheme="minorEastAsia" w:hAnsiTheme="minorHAnsi"/>
              <w:noProof/>
              <w:lang w:eastAsia="en-GB"/>
            </w:rPr>
          </w:pPr>
          <w:hyperlink w:anchor="_Toc236778328" w:history="1">
            <w:r w:rsidR="002C7814" w:rsidRPr="00065530">
              <w:rPr>
                <w:rStyle w:val="Hyperlink"/>
                <w:noProof/>
              </w:rPr>
              <w:t>IMC Campaigns</w:t>
            </w:r>
            <w:r w:rsidR="002C7814">
              <w:rPr>
                <w:noProof/>
                <w:webHidden/>
              </w:rPr>
              <w:tab/>
            </w:r>
            <w:r w:rsidR="002C7814">
              <w:rPr>
                <w:noProof/>
                <w:webHidden/>
              </w:rPr>
              <w:fldChar w:fldCharType="begin"/>
            </w:r>
            <w:r w:rsidR="002C7814">
              <w:rPr>
                <w:noProof/>
                <w:webHidden/>
              </w:rPr>
              <w:instrText xml:space="preserve"> PAGEREF _Toc236778328 \h </w:instrText>
            </w:r>
            <w:r w:rsidR="002C7814">
              <w:rPr>
                <w:noProof/>
                <w:webHidden/>
              </w:rPr>
            </w:r>
            <w:r w:rsidR="002C7814">
              <w:rPr>
                <w:noProof/>
                <w:webHidden/>
              </w:rPr>
              <w:fldChar w:fldCharType="separate"/>
            </w:r>
            <w:r w:rsidR="002C7814">
              <w:rPr>
                <w:noProof/>
                <w:webHidden/>
              </w:rPr>
              <w:t>17</w:t>
            </w:r>
            <w:r w:rsidR="002C7814">
              <w:rPr>
                <w:noProof/>
                <w:webHidden/>
              </w:rPr>
              <w:fldChar w:fldCharType="end"/>
            </w:r>
          </w:hyperlink>
        </w:p>
        <w:p w14:paraId="72842194" w14:textId="19349763" w:rsidR="002C7814" w:rsidRDefault="00FA1C2D">
          <w:pPr>
            <w:pStyle w:val="TOC2"/>
            <w:tabs>
              <w:tab w:val="right" w:leader="dot" w:pos="9016"/>
            </w:tabs>
            <w:rPr>
              <w:rFonts w:asciiTheme="minorHAnsi" w:eastAsiaTheme="minorEastAsia" w:hAnsiTheme="minorHAnsi"/>
              <w:noProof/>
              <w:lang w:eastAsia="en-GB"/>
            </w:rPr>
          </w:pPr>
          <w:hyperlink w:anchor="_Toc236778329" w:history="1">
            <w:r w:rsidR="002C7814" w:rsidRPr="00065530">
              <w:rPr>
                <w:rStyle w:val="Hyperlink"/>
                <w:noProof/>
              </w:rPr>
              <w:t>c. Analysis of Market Entry Methods</w:t>
            </w:r>
            <w:r w:rsidR="002C7814">
              <w:rPr>
                <w:noProof/>
                <w:webHidden/>
              </w:rPr>
              <w:tab/>
            </w:r>
            <w:r w:rsidR="002C7814">
              <w:rPr>
                <w:noProof/>
                <w:webHidden/>
              </w:rPr>
              <w:fldChar w:fldCharType="begin"/>
            </w:r>
            <w:r w:rsidR="002C7814">
              <w:rPr>
                <w:noProof/>
                <w:webHidden/>
              </w:rPr>
              <w:instrText xml:space="preserve"> PAGEREF _Toc236778329 \h </w:instrText>
            </w:r>
            <w:r w:rsidR="002C7814">
              <w:rPr>
                <w:noProof/>
                <w:webHidden/>
              </w:rPr>
            </w:r>
            <w:r w:rsidR="002C7814">
              <w:rPr>
                <w:noProof/>
                <w:webHidden/>
              </w:rPr>
              <w:fldChar w:fldCharType="separate"/>
            </w:r>
            <w:r w:rsidR="002C7814">
              <w:rPr>
                <w:noProof/>
                <w:webHidden/>
              </w:rPr>
              <w:t>19</w:t>
            </w:r>
            <w:r w:rsidR="002C7814">
              <w:rPr>
                <w:noProof/>
                <w:webHidden/>
              </w:rPr>
              <w:fldChar w:fldCharType="end"/>
            </w:r>
          </w:hyperlink>
        </w:p>
        <w:p w14:paraId="52093049" w14:textId="3A1C3C99" w:rsidR="002C7814" w:rsidRDefault="00FA1C2D">
          <w:pPr>
            <w:pStyle w:val="TOC3"/>
            <w:tabs>
              <w:tab w:val="right" w:leader="dot" w:pos="9016"/>
            </w:tabs>
            <w:rPr>
              <w:rFonts w:asciiTheme="minorHAnsi" w:eastAsiaTheme="minorEastAsia" w:hAnsiTheme="minorHAnsi"/>
              <w:noProof/>
              <w:lang w:eastAsia="en-GB"/>
            </w:rPr>
          </w:pPr>
          <w:hyperlink w:anchor="_Toc236778330" w:history="1">
            <w:r w:rsidR="002C7814" w:rsidRPr="00065530">
              <w:rPr>
                <w:rStyle w:val="Hyperlink"/>
                <w:noProof/>
              </w:rPr>
              <w:t>The Uppsala Internationalization Model</w:t>
            </w:r>
            <w:r w:rsidR="002C7814">
              <w:rPr>
                <w:noProof/>
                <w:webHidden/>
              </w:rPr>
              <w:tab/>
            </w:r>
            <w:r w:rsidR="002C7814">
              <w:rPr>
                <w:noProof/>
                <w:webHidden/>
              </w:rPr>
              <w:fldChar w:fldCharType="begin"/>
            </w:r>
            <w:r w:rsidR="002C7814">
              <w:rPr>
                <w:noProof/>
                <w:webHidden/>
              </w:rPr>
              <w:instrText xml:space="preserve"> PAGEREF _Toc236778330 \h </w:instrText>
            </w:r>
            <w:r w:rsidR="002C7814">
              <w:rPr>
                <w:noProof/>
                <w:webHidden/>
              </w:rPr>
            </w:r>
            <w:r w:rsidR="002C7814">
              <w:rPr>
                <w:noProof/>
                <w:webHidden/>
              </w:rPr>
              <w:fldChar w:fldCharType="separate"/>
            </w:r>
            <w:r w:rsidR="002C7814">
              <w:rPr>
                <w:noProof/>
                <w:webHidden/>
              </w:rPr>
              <w:t>19</w:t>
            </w:r>
            <w:r w:rsidR="002C7814">
              <w:rPr>
                <w:noProof/>
                <w:webHidden/>
              </w:rPr>
              <w:fldChar w:fldCharType="end"/>
            </w:r>
          </w:hyperlink>
        </w:p>
        <w:p w14:paraId="458E54BC" w14:textId="0AB040C7" w:rsidR="002C7814" w:rsidRDefault="00FA1C2D">
          <w:pPr>
            <w:pStyle w:val="TOC3"/>
            <w:tabs>
              <w:tab w:val="right" w:leader="dot" w:pos="9016"/>
            </w:tabs>
            <w:rPr>
              <w:rFonts w:asciiTheme="minorHAnsi" w:eastAsiaTheme="minorEastAsia" w:hAnsiTheme="minorHAnsi"/>
              <w:noProof/>
              <w:lang w:eastAsia="en-GB"/>
            </w:rPr>
          </w:pPr>
          <w:hyperlink w:anchor="_Toc236778331" w:history="1">
            <w:r w:rsidR="002C7814" w:rsidRPr="00065530">
              <w:rPr>
                <w:rStyle w:val="Hyperlink"/>
                <w:noProof/>
              </w:rPr>
              <w:t>Critique of Foreign Direct Investment (FDI) in Brazil</w:t>
            </w:r>
            <w:r w:rsidR="002C7814">
              <w:rPr>
                <w:noProof/>
                <w:webHidden/>
              </w:rPr>
              <w:tab/>
            </w:r>
            <w:r w:rsidR="002C7814">
              <w:rPr>
                <w:noProof/>
                <w:webHidden/>
              </w:rPr>
              <w:fldChar w:fldCharType="begin"/>
            </w:r>
            <w:r w:rsidR="002C7814">
              <w:rPr>
                <w:noProof/>
                <w:webHidden/>
              </w:rPr>
              <w:instrText xml:space="preserve"> PAGEREF _Toc236778331 \h </w:instrText>
            </w:r>
            <w:r w:rsidR="002C7814">
              <w:rPr>
                <w:noProof/>
                <w:webHidden/>
              </w:rPr>
            </w:r>
            <w:r w:rsidR="002C7814">
              <w:rPr>
                <w:noProof/>
                <w:webHidden/>
              </w:rPr>
              <w:fldChar w:fldCharType="separate"/>
            </w:r>
            <w:r w:rsidR="002C7814">
              <w:rPr>
                <w:noProof/>
                <w:webHidden/>
              </w:rPr>
              <w:t>20</w:t>
            </w:r>
            <w:r w:rsidR="002C7814">
              <w:rPr>
                <w:noProof/>
                <w:webHidden/>
              </w:rPr>
              <w:fldChar w:fldCharType="end"/>
            </w:r>
          </w:hyperlink>
        </w:p>
        <w:p w14:paraId="00557F93" w14:textId="4539BAFF" w:rsidR="002C7814" w:rsidRDefault="00FA1C2D">
          <w:pPr>
            <w:pStyle w:val="TOC2"/>
            <w:tabs>
              <w:tab w:val="right" w:leader="dot" w:pos="9016"/>
            </w:tabs>
            <w:rPr>
              <w:rFonts w:asciiTheme="minorHAnsi" w:eastAsiaTheme="minorEastAsia" w:hAnsiTheme="minorHAnsi"/>
              <w:noProof/>
              <w:lang w:eastAsia="en-GB"/>
            </w:rPr>
          </w:pPr>
          <w:hyperlink w:anchor="_Toc236778332" w:history="1">
            <w:r w:rsidR="002C7814" w:rsidRPr="00065530">
              <w:rPr>
                <w:rStyle w:val="Hyperlink"/>
                <w:noProof/>
              </w:rPr>
              <w:t>d. Ethical Evaluation of the Marketing Mix</w:t>
            </w:r>
            <w:r w:rsidR="002C7814">
              <w:rPr>
                <w:noProof/>
                <w:webHidden/>
              </w:rPr>
              <w:tab/>
            </w:r>
            <w:r w:rsidR="002C7814">
              <w:rPr>
                <w:noProof/>
                <w:webHidden/>
              </w:rPr>
              <w:fldChar w:fldCharType="begin"/>
            </w:r>
            <w:r w:rsidR="002C7814">
              <w:rPr>
                <w:noProof/>
                <w:webHidden/>
              </w:rPr>
              <w:instrText xml:space="preserve"> PAGEREF _Toc236778332 \h </w:instrText>
            </w:r>
            <w:r w:rsidR="002C7814">
              <w:rPr>
                <w:noProof/>
                <w:webHidden/>
              </w:rPr>
            </w:r>
            <w:r w:rsidR="002C7814">
              <w:rPr>
                <w:noProof/>
                <w:webHidden/>
              </w:rPr>
              <w:fldChar w:fldCharType="separate"/>
            </w:r>
            <w:r w:rsidR="002C7814">
              <w:rPr>
                <w:noProof/>
                <w:webHidden/>
              </w:rPr>
              <w:t>21</w:t>
            </w:r>
            <w:r w:rsidR="002C7814">
              <w:rPr>
                <w:noProof/>
                <w:webHidden/>
              </w:rPr>
              <w:fldChar w:fldCharType="end"/>
            </w:r>
          </w:hyperlink>
        </w:p>
        <w:p w14:paraId="6B0BE49F" w14:textId="6EDE1701" w:rsidR="002C7814" w:rsidRDefault="00FA1C2D">
          <w:pPr>
            <w:pStyle w:val="TOC3"/>
            <w:tabs>
              <w:tab w:val="right" w:leader="dot" w:pos="9016"/>
            </w:tabs>
            <w:rPr>
              <w:rFonts w:asciiTheme="minorHAnsi" w:eastAsiaTheme="minorEastAsia" w:hAnsiTheme="minorHAnsi"/>
              <w:noProof/>
              <w:lang w:eastAsia="en-GB"/>
            </w:rPr>
          </w:pPr>
          <w:hyperlink w:anchor="_Toc236778333" w:history="1">
            <w:r w:rsidR="002C7814" w:rsidRPr="00065530">
              <w:rPr>
                <w:rStyle w:val="Hyperlink"/>
                <w:noProof/>
              </w:rPr>
              <w:t>Ethical Marketing Practices in the United States</w:t>
            </w:r>
            <w:r w:rsidR="002C7814">
              <w:rPr>
                <w:noProof/>
                <w:webHidden/>
              </w:rPr>
              <w:tab/>
            </w:r>
            <w:r w:rsidR="002C7814">
              <w:rPr>
                <w:noProof/>
                <w:webHidden/>
              </w:rPr>
              <w:fldChar w:fldCharType="begin"/>
            </w:r>
            <w:r w:rsidR="002C7814">
              <w:rPr>
                <w:noProof/>
                <w:webHidden/>
              </w:rPr>
              <w:instrText xml:space="preserve"> PAGEREF _Toc236778333 \h </w:instrText>
            </w:r>
            <w:r w:rsidR="002C7814">
              <w:rPr>
                <w:noProof/>
                <w:webHidden/>
              </w:rPr>
            </w:r>
            <w:r w:rsidR="002C7814">
              <w:rPr>
                <w:noProof/>
                <w:webHidden/>
              </w:rPr>
              <w:fldChar w:fldCharType="separate"/>
            </w:r>
            <w:r w:rsidR="002C7814">
              <w:rPr>
                <w:noProof/>
                <w:webHidden/>
              </w:rPr>
              <w:t>21</w:t>
            </w:r>
            <w:r w:rsidR="002C7814">
              <w:rPr>
                <w:noProof/>
                <w:webHidden/>
              </w:rPr>
              <w:fldChar w:fldCharType="end"/>
            </w:r>
          </w:hyperlink>
        </w:p>
        <w:p w14:paraId="424E86C6" w14:textId="26BD2968" w:rsidR="002C7814" w:rsidRDefault="00FA1C2D">
          <w:pPr>
            <w:pStyle w:val="TOC3"/>
            <w:tabs>
              <w:tab w:val="right" w:leader="dot" w:pos="9016"/>
            </w:tabs>
            <w:rPr>
              <w:rFonts w:asciiTheme="minorHAnsi" w:eastAsiaTheme="minorEastAsia" w:hAnsiTheme="minorHAnsi"/>
              <w:noProof/>
              <w:lang w:eastAsia="en-GB"/>
            </w:rPr>
          </w:pPr>
          <w:hyperlink w:anchor="_Toc236778334" w:history="1">
            <w:r w:rsidR="002C7814" w:rsidRPr="00065530">
              <w:rPr>
                <w:rStyle w:val="Hyperlink"/>
                <w:noProof/>
              </w:rPr>
              <w:t>Unethical Marketing Practices in the United States</w:t>
            </w:r>
            <w:r w:rsidR="002C7814">
              <w:rPr>
                <w:noProof/>
                <w:webHidden/>
              </w:rPr>
              <w:tab/>
            </w:r>
            <w:r w:rsidR="002C7814">
              <w:rPr>
                <w:noProof/>
                <w:webHidden/>
              </w:rPr>
              <w:fldChar w:fldCharType="begin"/>
            </w:r>
            <w:r w:rsidR="002C7814">
              <w:rPr>
                <w:noProof/>
                <w:webHidden/>
              </w:rPr>
              <w:instrText xml:space="preserve"> PAGEREF _Toc236778334 \h </w:instrText>
            </w:r>
            <w:r w:rsidR="002C7814">
              <w:rPr>
                <w:noProof/>
                <w:webHidden/>
              </w:rPr>
            </w:r>
            <w:r w:rsidR="002C7814">
              <w:rPr>
                <w:noProof/>
                <w:webHidden/>
              </w:rPr>
              <w:fldChar w:fldCharType="separate"/>
            </w:r>
            <w:r w:rsidR="002C7814">
              <w:rPr>
                <w:noProof/>
                <w:webHidden/>
              </w:rPr>
              <w:t>21</w:t>
            </w:r>
            <w:r w:rsidR="002C7814">
              <w:rPr>
                <w:noProof/>
                <w:webHidden/>
              </w:rPr>
              <w:fldChar w:fldCharType="end"/>
            </w:r>
          </w:hyperlink>
        </w:p>
        <w:p w14:paraId="59952814" w14:textId="10E040D9" w:rsidR="002C7814" w:rsidRDefault="00FA1C2D">
          <w:pPr>
            <w:pStyle w:val="TOC2"/>
            <w:tabs>
              <w:tab w:val="right" w:leader="dot" w:pos="9016"/>
            </w:tabs>
            <w:rPr>
              <w:rFonts w:asciiTheme="minorHAnsi" w:eastAsiaTheme="minorEastAsia" w:hAnsiTheme="minorHAnsi"/>
              <w:noProof/>
              <w:lang w:eastAsia="en-GB"/>
            </w:rPr>
          </w:pPr>
          <w:hyperlink w:anchor="_Toc236778335" w:history="1">
            <w:r w:rsidR="002C7814" w:rsidRPr="00065530">
              <w:rPr>
                <w:rStyle w:val="Hyperlink"/>
                <w:noProof/>
              </w:rPr>
              <w:t>e. Recommendations</w:t>
            </w:r>
            <w:r w:rsidR="002C7814">
              <w:rPr>
                <w:noProof/>
                <w:webHidden/>
              </w:rPr>
              <w:tab/>
            </w:r>
            <w:r w:rsidR="002C7814">
              <w:rPr>
                <w:noProof/>
                <w:webHidden/>
              </w:rPr>
              <w:fldChar w:fldCharType="begin"/>
            </w:r>
            <w:r w:rsidR="002C7814">
              <w:rPr>
                <w:noProof/>
                <w:webHidden/>
              </w:rPr>
              <w:instrText xml:space="preserve"> PAGEREF _Toc236778335 \h </w:instrText>
            </w:r>
            <w:r w:rsidR="002C7814">
              <w:rPr>
                <w:noProof/>
                <w:webHidden/>
              </w:rPr>
            </w:r>
            <w:r w:rsidR="002C7814">
              <w:rPr>
                <w:noProof/>
                <w:webHidden/>
              </w:rPr>
              <w:fldChar w:fldCharType="separate"/>
            </w:r>
            <w:r w:rsidR="002C7814">
              <w:rPr>
                <w:noProof/>
                <w:webHidden/>
              </w:rPr>
              <w:t>21</w:t>
            </w:r>
            <w:r w:rsidR="002C7814">
              <w:rPr>
                <w:noProof/>
                <w:webHidden/>
              </w:rPr>
              <w:fldChar w:fldCharType="end"/>
            </w:r>
          </w:hyperlink>
        </w:p>
        <w:p w14:paraId="4A2F726A" w14:textId="28C853C4" w:rsidR="002C7814" w:rsidRDefault="00FA1C2D">
          <w:pPr>
            <w:pStyle w:val="TOC1"/>
            <w:tabs>
              <w:tab w:val="right" w:leader="dot" w:pos="9016"/>
            </w:tabs>
            <w:rPr>
              <w:rFonts w:asciiTheme="minorHAnsi" w:eastAsiaTheme="minorEastAsia" w:hAnsiTheme="minorHAnsi"/>
              <w:noProof/>
              <w:lang w:eastAsia="en-GB"/>
            </w:rPr>
          </w:pPr>
          <w:hyperlink w:anchor="_Toc236778336" w:history="1">
            <w:r w:rsidR="002C7814" w:rsidRPr="00065530">
              <w:rPr>
                <w:rStyle w:val="Hyperlink"/>
                <w:noProof/>
              </w:rPr>
              <w:t>Section 2:</w:t>
            </w:r>
            <w:r w:rsidR="002C7814">
              <w:rPr>
                <w:noProof/>
                <w:webHidden/>
              </w:rPr>
              <w:tab/>
            </w:r>
            <w:r w:rsidR="002C7814">
              <w:rPr>
                <w:noProof/>
                <w:webHidden/>
              </w:rPr>
              <w:fldChar w:fldCharType="begin"/>
            </w:r>
            <w:r w:rsidR="002C7814">
              <w:rPr>
                <w:noProof/>
                <w:webHidden/>
              </w:rPr>
              <w:instrText xml:space="preserve"> PAGEREF _Toc236778336 \h </w:instrText>
            </w:r>
            <w:r w:rsidR="002C7814">
              <w:rPr>
                <w:noProof/>
                <w:webHidden/>
              </w:rPr>
            </w:r>
            <w:r w:rsidR="002C7814">
              <w:rPr>
                <w:noProof/>
                <w:webHidden/>
              </w:rPr>
              <w:fldChar w:fldCharType="separate"/>
            </w:r>
            <w:r w:rsidR="002C7814">
              <w:rPr>
                <w:noProof/>
                <w:webHidden/>
              </w:rPr>
              <w:t>22</w:t>
            </w:r>
            <w:r w:rsidR="002C7814">
              <w:rPr>
                <w:noProof/>
                <w:webHidden/>
              </w:rPr>
              <w:fldChar w:fldCharType="end"/>
            </w:r>
          </w:hyperlink>
        </w:p>
        <w:p w14:paraId="19451C9C" w14:textId="52894497" w:rsidR="002C7814" w:rsidRDefault="00FA1C2D">
          <w:pPr>
            <w:pStyle w:val="TOC2"/>
            <w:tabs>
              <w:tab w:val="right" w:leader="dot" w:pos="9016"/>
            </w:tabs>
            <w:rPr>
              <w:rFonts w:asciiTheme="minorHAnsi" w:eastAsiaTheme="minorEastAsia" w:hAnsiTheme="minorHAnsi"/>
              <w:noProof/>
              <w:lang w:eastAsia="en-GB"/>
            </w:rPr>
          </w:pPr>
          <w:hyperlink w:anchor="_Toc236778337" w:history="1">
            <w:r w:rsidR="002C7814" w:rsidRPr="00065530">
              <w:rPr>
                <w:rStyle w:val="Hyperlink"/>
                <w:noProof/>
              </w:rPr>
              <w:t>Reflective Analysis</w:t>
            </w:r>
            <w:r w:rsidR="002C7814">
              <w:rPr>
                <w:noProof/>
                <w:webHidden/>
              </w:rPr>
              <w:tab/>
            </w:r>
            <w:r w:rsidR="002C7814">
              <w:rPr>
                <w:noProof/>
                <w:webHidden/>
              </w:rPr>
              <w:fldChar w:fldCharType="begin"/>
            </w:r>
            <w:r w:rsidR="002C7814">
              <w:rPr>
                <w:noProof/>
                <w:webHidden/>
              </w:rPr>
              <w:instrText xml:space="preserve"> PAGEREF _Toc236778337 \h </w:instrText>
            </w:r>
            <w:r w:rsidR="002C7814">
              <w:rPr>
                <w:noProof/>
                <w:webHidden/>
              </w:rPr>
            </w:r>
            <w:r w:rsidR="002C7814">
              <w:rPr>
                <w:noProof/>
                <w:webHidden/>
              </w:rPr>
              <w:fldChar w:fldCharType="separate"/>
            </w:r>
            <w:r w:rsidR="002C7814">
              <w:rPr>
                <w:noProof/>
                <w:webHidden/>
              </w:rPr>
              <w:t>22</w:t>
            </w:r>
            <w:r w:rsidR="002C7814">
              <w:rPr>
                <w:noProof/>
                <w:webHidden/>
              </w:rPr>
              <w:fldChar w:fldCharType="end"/>
            </w:r>
          </w:hyperlink>
        </w:p>
        <w:p w14:paraId="0B6746D2" w14:textId="7F0BC3AC" w:rsidR="002C7814" w:rsidRDefault="00FA1C2D">
          <w:pPr>
            <w:pStyle w:val="TOC1"/>
            <w:tabs>
              <w:tab w:val="right" w:leader="dot" w:pos="9016"/>
            </w:tabs>
            <w:rPr>
              <w:rFonts w:asciiTheme="minorHAnsi" w:eastAsiaTheme="minorEastAsia" w:hAnsiTheme="minorHAnsi"/>
              <w:noProof/>
              <w:lang w:eastAsia="en-GB"/>
            </w:rPr>
          </w:pPr>
          <w:hyperlink w:anchor="_Toc236778338" w:history="1">
            <w:r w:rsidR="002C7814" w:rsidRPr="00065530">
              <w:rPr>
                <w:rStyle w:val="Hyperlink"/>
                <w:noProof/>
              </w:rPr>
              <w:t>Conclusion</w:t>
            </w:r>
            <w:r w:rsidR="002C7814">
              <w:rPr>
                <w:noProof/>
                <w:webHidden/>
              </w:rPr>
              <w:tab/>
            </w:r>
            <w:r w:rsidR="002C7814">
              <w:rPr>
                <w:noProof/>
                <w:webHidden/>
              </w:rPr>
              <w:fldChar w:fldCharType="begin"/>
            </w:r>
            <w:r w:rsidR="002C7814">
              <w:rPr>
                <w:noProof/>
                <w:webHidden/>
              </w:rPr>
              <w:instrText xml:space="preserve"> PAGEREF _Toc236778338 \h </w:instrText>
            </w:r>
            <w:r w:rsidR="002C7814">
              <w:rPr>
                <w:noProof/>
                <w:webHidden/>
              </w:rPr>
            </w:r>
            <w:r w:rsidR="002C7814">
              <w:rPr>
                <w:noProof/>
                <w:webHidden/>
              </w:rPr>
              <w:fldChar w:fldCharType="separate"/>
            </w:r>
            <w:r w:rsidR="002C7814">
              <w:rPr>
                <w:noProof/>
                <w:webHidden/>
              </w:rPr>
              <w:t>25</w:t>
            </w:r>
            <w:r w:rsidR="002C7814">
              <w:rPr>
                <w:noProof/>
                <w:webHidden/>
              </w:rPr>
              <w:fldChar w:fldCharType="end"/>
            </w:r>
          </w:hyperlink>
        </w:p>
        <w:p w14:paraId="141497F8" w14:textId="3EAA7136" w:rsidR="002C7814" w:rsidRDefault="00FA1C2D">
          <w:pPr>
            <w:pStyle w:val="TOC1"/>
            <w:tabs>
              <w:tab w:val="right" w:leader="dot" w:pos="9016"/>
            </w:tabs>
            <w:rPr>
              <w:rFonts w:asciiTheme="minorHAnsi" w:eastAsiaTheme="minorEastAsia" w:hAnsiTheme="minorHAnsi"/>
              <w:noProof/>
              <w:lang w:eastAsia="en-GB"/>
            </w:rPr>
          </w:pPr>
          <w:hyperlink w:anchor="_Toc236778339" w:history="1">
            <w:r w:rsidR="002C7814" w:rsidRPr="00065530">
              <w:rPr>
                <w:rStyle w:val="Hyperlink"/>
                <w:noProof/>
              </w:rPr>
              <w:t>References</w:t>
            </w:r>
            <w:r w:rsidR="002C7814">
              <w:rPr>
                <w:noProof/>
                <w:webHidden/>
              </w:rPr>
              <w:tab/>
            </w:r>
            <w:r w:rsidR="002C7814">
              <w:rPr>
                <w:noProof/>
                <w:webHidden/>
              </w:rPr>
              <w:fldChar w:fldCharType="begin"/>
            </w:r>
            <w:r w:rsidR="002C7814">
              <w:rPr>
                <w:noProof/>
                <w:webHidden/>
              </w:rPr>
              <w:instrText xml:space="preserve"> PAGEREF _Toc236778339 \h </w:instrText>
            </w:r>
            <w:r w:rsidR="002C7814">
              <w:rPr>
                <w:noProof/>
                <w:webHidden/>
              </w:rPr>
            </w:r>
            <w:r w:rsidR="002C7814">
              <w:rPr>
                <w:noProof/>
                <w:webHidden/>
              </w:rPr>
              <w:fldChar w:fldCharType="separate"/>
            </w:r>
            <w:r w:rsidR="002C7814">
              <w:rPr>
                <w:noProof/>
                <w:webHidden/>
              </w:rPr>
              <w:t>26</w:t>
            </w:r>
            <w:r w:rsidR="002C7814">
              <w:rPr>
                <w:noProof/>
                <w:webHidden/>
              </w:rPr>
              <w:fldChar w:fldCharType="end"/>
            </w:r>
          </w:hyperlink>
        </w:p>
        <w:p w14:paraId="4820E97F" w14:textId="7516C8FA" w:rsidR="006530B3" w:rsidRDefault="006530B3">
          <w:r>
            <w:rPr>
              <w:b/>
              <w:bCs/>
              <w:noProof/>
            </w:rPr>
            <w:fldChar w:fldCharType="end"/>
          </w:r>
        </w:p>
      </w:sdtContent>
    </w:sdt>
    <w:p w14:paraId="563DFF9F" w14:textId="6D5D7620" w:rsidR="00B4704E" w:rsidRDefault="00B4704E">
      <w:pPr>
        <w:spacing w:line="259" w:lineRule="auto"/>
        <w:jc w:val="left"/>
        <w:rPr>
          <w:sz w:val="28"/>
          <w:szCs w:val="28"/>
        </w:rPr>
      </w:pPr>
      <w:r>
        <w:rPr>
          <w:sz w:val="28"/>
          <w:szCs w:val="28"/>
        </w:rPr>
        <w:br w:type="page"/>
      </w:r>
    </w:p>
    <w:p w14:paraId="28A73801" w14:textId="395D7E92" w:rsidR="00B4704E" w:rsidRDefault="00B4704E" w:rsidP="00B4704E">
      <w:pPr>
        <w:pStyle w:val="Heading1"/>
      </w:pPr>
      <w:bookmarkStart w:id="2" w:name="_Toc236778320"/>
      <w:r w:rsidRPr="00B4704E">
        <w:lastRenderedPageBreak/>
        <w:t>1. Introduction</w:t>
      </w:r>
      <w:bookmarkEnd w:id="2"/>
    </w:p>
    <w:p w14:paraId="0D021836" w14:textId="4AAD13A1" w:rsidR="001D7918" w:rsidRDefault="001D7918" w:rsidP="001D7918">
      <w:r>
        <w:t>Toyota is the world's largest carmaker, producing 10 million vehicles annually and selling in 200 countries and regions (Toyota, 2026). Toyota's global market entry strategy and marketing mix adjustment in the US, a competitive developed market, and Brazil, home to its first foreign production facility, are examined in this article.</w:t>
      </w:r>
    </w:p>
    <w:p w14:paraId="6F0AC4BA" w14:textId="4D162586" w:rsidR="00472E5D" w:rsidRDefault="00472E5D" w:rsidP="001D7918">
      <w:r w:rsidRPr="00472E5D">
        <w:t>The report evaluates Toyota’s international marketing strategies in the United States and Brazil using PESTEL, Hofstede’s cultural dimensions, STP, the 7Ps marketing mix, Uppsala internationalisation model and ethical marketing analysis. Based on these findings, strategic recommendations are proposed to improve Toyota’s competitiveness and sustainability in both markets. The report also provides a reflective account of the research and analysis process using Gibbs’ Reflective Cycle.</w:t>
      </w:r>
    </w:p>
    <w:p w14:paraId="6E098CB3" w14:textId="77777777" w:rsidR="00B4704E" w:rsidRDefault="00B4704E" w:rsidP="00B4704E">
      <w:pPr>
        <w:pStyle w:val="Heading1"/>
      </w:pPr>
      <w:bookmarkStart w:id="3" w:name="_Toc236778321"/>
      <w:r>
        <w:t>2. Company Background</w:t>
      </w:r>
      <w:bookmarkEnd w:id="3"/>
    </w:p>
    <w:p w14:paraId="175CCD02" w14:textId="4583F5BC" w:rsidR="00B4704E" w:rsidRPr="00B4704E" w:rsidRDefault="00B4704E" w:rsidP="00B4704E">
      <w:pPr>
        <w:rPr>
          <w:b/>
          <w:bCs/>
        </w:rPr>
      </w:pPr>
      <w:r w:rsidRPr="00B4704E">
        <w:rPr>
          <w:b/>
          <w:bCs/>
        </w:rPr>
        <w:t>Who first created the company?</w:t>
      </w:r>
    </w:p>
    <w:p w14:paraId="6483F479" w14:textId="09F2C1F7" w:rsidR="00B4704E" w:rsidRDefault="00546C7B" w:rsidP="00B4704E">
      <w:r w:rsidRPr="00546C7B">
        <w:t xml:space="preserve">Son of inventor and businessman </w:t>
      </w:r>
      <w:proofErr w:type="spellStart"/>
      <w:r w:rsidRPr="00546C7B">
        <w:t>Sakichi</w:t>
      </w:r>
      <w:proofErr w:type="spellEnd"/>
      <w:r w:rsidRPr="00546C7B">
        <w:t xml:space="preserve"> Toyoda, Kiichiro created Toyota. Kiichiro opened a vehicle shop under his father's Toyota Automatic Loom Works in 1933 and formed an independent automobile firm (Britannica, 2026)</w:t>
      </w:r>
      <w:r w:rsidR="00F86EDF">
        <w:t>.</w:t>
      </w:r>
    </w:p>
    <w:p w14:paraId="75F392A9" w14:textId="352BBE8E" w:rsidR="00B4704E" w:rsidRPr="00B4704E" w:rsidRDefault="00B4704E" w:rsidP="00B4704E">
      <w:pPr>
        <w:rPr>
          <w:b/>
          <w:bCs/>
        </w:rPr>
      </w:pPr>
      <w:r w:rsidRPr="00B4704E">
        <w:rPr>
          <w:b/>
          <w:bCs/>
        </w:rPr>
        <w:t>Mission statement</w:t>
      </w:r>
    </w:p>
    <w:p w14:paraId="03ABFC4E" w14:textId="3BA399B4" w:rsidR="00B4704E" w:rsidRDefault="00B4704E" w:rsidP="00B4704E">
      <w:r>
        <w:t xml:space="preserve">“Producing Happiness for All.” As a mobility company, Toyota sees its mission as to solve mobility issues for all people through production, not just by selling cars </w:t>
      </w:r>
      <w:r w:rsidR="00E93986" w:rsidRPr="00E93986">
        <w:t>(Uchida, 2024)</w:t>
      </w:r>
      <w:r>
        <w:t>.</w:t>
      </w:r>
    </w:p>
    <w:p w14:paraId="06499AFF" w14:textId="77777777" w:rsidR="00B4704E" w:rsidRDefault="00B4704E" w:rsidP="00B4704E">
      <w:pPr>
        <w:rPr>
          <w:b/>
          <w:bCs/>
        </w:rPr>
      </w:pPr>
      <w:r w:rsidRPr="00B4704E">
        <w:rPr>
          <w:b/>
          <w:bCs/>
        </w:rPr>
        <w:t>Vision statement</w:t>
      </w:r>
    </w:p>
    <w:p w14:paraId="7276F48D" w14:textId="3457F94D" w:rsidR="00B4704E" w:rsidRDefault="00B4704E" w:rsidP="00B4704E">
      <w:r>
        <w:t>“Creating Mobility for All.” The vision outlines Toyota's vision of how it intends to make the safest and most responsible method of transportation the foundation of the future mobility society</w:t>
      </w:r>
      <w:r w:rsidR="00F86EDF">
        <w:t xml:space="preserve"> </w:t>
      </w:r>
      <w:r>
        <w:t>(Toyota Motor Corporation, 2026).</w:t>
      </w:r>
    </w:p>
    <w:p w14:paraId="3729FD52" w14:textId="6DC54ED5" w:rsidR="00B4704E" w:rsidRDefault="00B4704E" w:rsidP="00B4704E">
      <w:pPr>
        <w:rPr>
          <w:b/>
          <w:bCs/>
        </w:rPr>
      </w:pPr>
      <w:r w:rsidRPr="00B4704E">
        <w:rPr>
          <w:b/>
          <w:bCs/>
        </w:rPr>
        <w:t>When did Toyota enter the host countries?</w:t>
      </w:r>
    </w:p>
    <w:p w14:paraId="79A647CE" w14:textId="749E2763" w:rsidR="00B4704E" w:rsidRDefault="00B4704E" w:rsidP="00B4704E">
      <w:r w:rsidRPr="00B4704E">
        <w:rPr>
          <w:b/>
          <w:bCs/>
        </w:rPr>
        <w:t>United States:</w:t>
      </w:r>
      <w:r>
        <w:t xml:space="preserve"> </w:t>
      </w:r>
      <w:r w:rsidR="00490212" w:rsidRPr="00490212">
        <w:t>Toyota's North American business began on October 31, 1957, when Toyota Motor Sales, U.S.A., Inc. was formed in Hollywood, California</w:t>
      </w:r>
      <w:r w:rsidR="00D650F6">
        <w:t xml:space="preserve"> </w:t>
      </w:r>
      <w:r w:rsidR="00490212" w:rsidRPr="00490212">
        <w:t>(Toyota USA Newsroom, 2026).</w:t>
      </w:r>
    </w:p>
    <w:p w14:paraId="456E38AA" w14:textId="6E74701C" w:rsidR="00B4704E" w:rsidRDefault="00B4704E" w:rsidP="00B4704E">
      <w:r w:rsidRPr="00B4704E">
        <w:rPr>
          <w:b/>
          <w:bCs/>
        </w:rPr>
        <w:t>Brazil:</w:t>
      </w:r>
      <w:r>
        <w:t xml:space="preserve"> Toyota's Brazilian unit (Toyota do </w:t>
      </w:r>
      <w:proofErr w:type="spellStart"/>
      <w:r>
        <w:t>Brasil</w:t>
      </w:r>
      <w:proofErr w:type="spellEnd"/>
      <w:r>
        <w:t>) was founded in the late 1950s, and in 1958, the company constructed its first manufacturing plant outside Japan, in Brazil, in the city of São Bernardo do Campo, where vehicle production began in 1962 (Toyota Motor Corporation, 2026).</w:t>
      </w:r>
    </w:p>
    <w:p w14:paraId="732D3C28" w14:textId="3F30FC64" w:rsidR="00E52208" w:rsidRDefault="00E52208">
      <w:pPr>
        <w:spacing w:line="259" w:lineRule="auto"/>
        <w:jc w:val="left"/>
      </w:pPr>
      <w:r>
        <w:br w:type="page"/>
      </w:r>
    </w:p>
    <w:p w14:paraId="554F6AC8" w14:textId="5E12A49F" w:rsidR="00196350" w:rsidRDefault="00E52208" w:rsidP="009B6F00">
      <w:pPr>
        <w:pStyle w:val="Heading1"/>
      </w:pPr>
      <w:bookmarkStart w:id="4" w:name="_Toc236778322"/>
      <w:r w:rsidRPr="00E52208">
        <w:lastRenderedPageBreak/>
        <w:t>Section 1:</w:t>
      </w:r>
      <w:bookmarkEnd w:id="4"/>
    </w:p>
    <w:p w14:paraId="61F6A5B0" w14:textId="7FCC16CF" w:rsidR="001945FE" w:rsidRDefault="001945FE" w:rsidP="001945FE">
      <w:pPr>
        <w:pStyle w:val="Heading2"/>
      </w:pPr>
      <w:bookmarkStart w:id="5" w:name="_Toc236778323"/>
      <w:r>
        <w:t xml:space="preserve">a. </w:t>
      </w:r>
      <w:r w:rsidRPr="001945FE">
        <w:t>Comparative Macro-Environmental Analysis</w:t>
      </w:r>
      <w:bookmarkEnd w:id="5"/>
    </w:p>
    <w:p w14:paraId="10CAAB9B" w14:textId="51B66785" w:rsidR="001945FE" w:rsidRPr="001945FE" w:rsidRDefault="00920332" w:rsidP="001945FE">
      <w:r w:rsidRPr="00920332">
        <w:t>The macro-environment determines the boundaries of market profitability, regulatory compliance, and consumer demand</w:t>
      </w:r>
      <w:r w:rsidR="00224DB2">
        <w:t xml:space="preserve"> </w:t>
      </w:r>
      <w:r w:rsidR="00224DB2" w:rsidRPr="00224DB2">
        <w:t>(</w:t>
      </w:r>
      <w:proofErr w:type="spellStart"/>
      <w:r w:rsidR="00224DB2" w:rsidRPr="00224DB2">
        <w:t>Alqarni</w:t>
      </w:r>
      <w:proofErr w:type="spellEnd"/>
      <w:r w:rsidR="00224DB2" w:rsidRPr="00224DB2">
        <w:t>, 2022)</w:t>
      </w:r>
      <w:r w:rsidR="00224DB2">
        <w:t>.</w:t>
      </w:r>
    </w:p>
    <w:p w14:paraId="263A6BC6" w14:textId="654873D2" w:rsidR="00E93986" w:rsidRDefault="00FC2D40" w:rsidP="00E93986">
      <w:pPr>
        <w:jc w:val="center"/>
      </w:pPr>
      <w:r>
        <w:rPr>
          <w:noProof/>
        </w:rPr>
        <w:drawing>
          <wp:inline distT="0" distB="0" distL="0" distR="0" wp14:anchorId="17087767" wp14:editId="54BD91BA">
            <wp:extent cx="2840077" cy="280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6768" cy="2807448"/>
                    </a:xfrm>
                    <a:prstGeom prst="rect">
                      <a:avLst/>
                    </a:prstGeom>
                    <a:noFill/>
                  </pic:spPr>
                </pic:pic>
              </a:graphicData>
            </a:graphic>
          </wp:inline>
        </w:drawing>
      </w:r>
    </w:p>
    <w:p w14:paraId="2AC1A018" w14:textId="1D76B93B" w:rsidR="00C9042D" w:rsidRPr="00127155" w:rsidRDefault="00E93986" w:rsidP="00634C80">
      <w:pPr>
        <w:jc w:val="center"/>
        <w:rPr>
          <w:b/>
          <w:bCs/>
          <w:i/>
          <w:iCs/>
        </w:rPr>
      </w:pPr>
      <w:r w:rsidRPr="00127155">
        <w:rPr>
          <w:b/>
          <w:bCs/>
          <w:i/>
          <w:iCs/>
        </w:rPr>
        <w:t>Figure 1. The six factors of the PESTLE framework applied to Toyota's macro-</w:t>
      </w:r>
      <w:r w:rsidR="00127155" w:rsidRPr="00127155">
        <w:rPr>
          <w:b/>
          <w:bCs/>
          <w:i/>
          <w:iCs/>
        </w:rPr>
        <w:t>environment (Xu, 2023)</w:t>
      </w:r>
    </w:p>
    <w:p w14:paraId="2929D6A2" w14:textId="77777777" w:rsidR="00983C71" w:rsidRPr="00983C71" w:rsidRDefault="00983C71">
      <w:pPr>
        <w:spacing w:line="259" w:lineRule="auto"/>
        <w:jc w:val="left"/>
        <w:rPr>
          <w:b/>
          <w:bCs/>
        </w:rPr>
      </w:pPr>
      <w:r w:rsidRPr="00983C71">
        <w:rPr>
          <w:b/>
          <w:bCs/>
        </w:rPr>
        <w:t>Political Forces</w:t>
      </w:r>
    </w:p>
    <w:p w14:paraId="4AE58DC5" w14:textId="32AA4FAF" w:rsidR="00BA56E5" w:rsidRDefault="00BA56E5" w:rsidP="00BA56E5">
      <w:r>
        <w:t>Toyota can establish multibillion-dollar factories in Texas, Kentucky, and North Carolina because the U.S. is democratic and stable. Political changes directly impact automobile policy: The federal government recently provided $7,500 tax incentives for qualifying electric car buyers, increasing demand for electrified powertrains (</w:t>
      </w:r>
      <w:proofErr w:type="spellStart"/>
      <w:r>
        <w:t>Anfavea</w:t>
      </w:r>
      <w:proofErr w:type="spellEnd"/>
      <w:r>
        <w:t>, 2026).</w:t>
      </w:r>
    </w:p>
    <w:p w14:paraId="3BE756DD" w14:textId="6B097554" w:rsidR="00BA56E5" w:rsidRDefault="00BA56E5" w:rsidP="00BA56E5">
      <w:r>
        <w:t>Toyota has traditionally balanced intense lobbying with localisation to avoid trade issues and import levies in the U.S. When voluntary export restraints were replaced by the New United Motor Manufacturing, Inc. joint venture with General Motors in the 1980s, the Japanese carmaker learned how to handle American labour and gain domestic legitimacy (Bennett, 2026).</w:t>
      </w:r>
      <w:r w:rsidR="00472E5D">
        <w:t xml:space="preserve"> </w:t>
      </w:r>
      <w:r w:rsidR="00472E5D" w:rsidRPr="00224DB2">
        <w:t>Favourable:</w:t>
      </w:r>
      <w:r w:rsidR="00472E5D" w:rsidRPr="00472E5D">
        <w:t xml:space="preserve"> Stable institutions, government support for electrification and established automotive policies support Toyota’s long-term investment.</w:t>
      </w:r>
    </w:p>
    <w:p w14:paraId="4770C0EE" w14:textId="447E2C29" w:rsidR="00BA56E5" w:rsidRDefault="00BA56E5" w:rsidP="00BA56E5">
      <w:r>
        <w:t xml:space="preserve">Brazil's political scene is more volatile, with policy changes and sovereign risk premiums. Despite these challenges, the Brazilian government has supported local green mobility. Carmakers may construct local green vehicle manufacturing </w:t>
      </w:r>
      <w:proofErr w:type="spellStart"/>
      <w:r>
        <w:t>centers</w:t>
      </w:r>
      <w:proofErr w:type="spellEnd"/>
      <w:r>
        <w:t xml:space="preserve"> with more than $4.8 billion in research and development tax incentives from the national Green Mobility and </w:t>
      </w:r>
      <w:r>
        <w:lastRenderedPageBreak/>
        <w:t>Innovation Program (MOVER) until 2028 (</w:t>
      </w:r>
      <w:proofErr w:type="spellStart"/>
      <w:r>
        <w:t>Athayde</w:t>
      </w:r>
      <w:proofErr w:type="spellEnd"/>
      <w:r>
        <w:t xml:space="preserve"> and Coutinho, 2023).</w:t>
      </w:r>
      <w:r w:rsidR="00472E5D">
        <w:t xml:space="preserve"> </w:t>
      </w:r>
      <w:r w:rsidR="00472E5D" w:rsidRPr="00224DB2">
        <w:t>Moderately favourable:</w:t>
      </w:r>
      <w:r w:rsidR="00472E5D" w:rsidRPr="00472E5D">
        <w:t xml:space="preserve"> Government incentives such as MOVER support local green-vehicle </w:t>
      </w:r>
      <w:proofErr w:type="spellStart"/>
      <w:r w:rsidR="00472E5D" w:rsidRPr="00472E5D">
        <w:t>investmen</w:t>
      </w:r>
      <w:proofErr w:type="spellEnd"/>
      <w:r w:rsidR="00472E5D">
        <w:t>.</w:t>
      </w:r>
    </w:p>
    <w:p w14:paraId="6D82A51D" w14:textId="4BA64DD1" w:rsidR="00413F25" w:rsidRDefault="00BA56E5" w:rsidP="00BA56E5">
      <w:r>
        <w:t>Toyota receives governmental backing as a safety net and to meet the host government's energy security and carbon reduction goals. Toyota has a significant political interest in deep localisation in São Paulo due to MOVER legislation encouraging car makers to establish local supply chains, battery plants, and software (</w:t>
      </w:r>
      <w:proofErr w:type="spellStart"/>
      <w:r>
        <w:t>ABGi</w:t>
      </w:r>
      <w:proofErr w:type="spellEnd"/>
      <w:r>
        <w:t>, 2024).</w:t>
      </w:r>
    </w:p>
    <w:p w14:paraId="0C669ACB" w14:textId="43CF94B5" w:rsidR="00413F25" w:rsidRPr="00413F25" w:rsidRDefault="00413F25" w:rsidP="00413F25">
      <w:pPr>
        <w:spacing w:line="259" w:lineRule="auto"/>
        <w:jc w:val="left"/>
        <w:rPr>
          <w:b/>
          <w:bCs/>
        </w:rPr>
      </w:pPr>
      <w:r w:rsidRPr="00413F25">
        <w:rPr>
          <w:b/>
          <w:bCs/>
        </w:rPr>
        <w:t>Economic Forces</w:t>
      </w:r>
    </w:p>
    <w:p w14:paraId="0EA63F9D" w14:textId="62570F9D" w:rsidR="007417DE" w:rsidRDefault="007417DE" w:rsidP="007417DE">
      <w:r>
        <w:t>Toyota sells almost 2.5 million automobiles annually in the US, a sophisticated and wealthy market. Auto loan rates rose to 7.5% in 2025–2026 due to near 5% terminal rates, squeezing consumer affordability (</w:t>
      </w:r>
      <w:proofErr w:type="spellStart"/>
      <w:r>
        <w:t>Bhattacheryay</w:t>
      </w:r>
      <w:proofErr w:type="spellEnd"/>
      <w:r>
        <w:t>, 2021).</w:t>
      </w:r>
    </w:p>
    <w:p w14:paraId="19513556" w14:textId="5925889B" w:rsidR="007417DE" w:rsidRDefault="007417DE" w:rsidP="007417DE">
      <w:r>
        <w:t>In Brazil, a vital rising country, real interest rates are high and credit is scarce. The automobile association (</w:t>
      </w:r>
      <w:proofErr w:type="spellStart"/>
      <w:r>
        <w:t>Anfavea</w:t>
      </w:r>
      <w:proofErr w:type="spellEnd"/>
      <w:r>
        <w:t>) forecasts 2026 vehicle sales to reach their highest level since 2014, with slightly over 3 million units. For Toyota's Latin American activities, Brazil was worth around 1.03 trillion Yen in fiscal 2025 (EWG, 2021).</w:t>
      </w:r>
    </w:p>
    <w:p w14:paraId="725C5C4A" w14:textId="5B77F0D1" w:rsidR="00413F25" w:rsidRDefault="007417DE" w:rsidP="007417DE">
      <w:r>
        <w:t>Brazil's automotive market is polarised by income. Toyota must utilise two pricing models: a robust and inexpensive small automobile for high-volume markets and a powerful high-dollar model like the Corolla and Hilux for the affluent rural and urban elite (</w:t>
      </w:r>
      <w:proofErr w:type="spellStart"/>
      <w:r>
        <w:t>Alqarni</w:t>
      </w:r>
      <w:proofErr w:type="spellEnd"/>
      <w:r>
        <w:t>, 2022).</w:t>
      </w:r>
    </w:p>
    <w:p w14:paraId="2171B9C8" w14:textId="7007F729" w:rsidR="00413F25" w:rsidRPr="00413F25" w:rsidRDefault="00413F25" w:rsidP="00413F25">
      <w:pPr>
        <w:spacing w:line="259" w:lineRule="auto"/>
        <w:jc w:val="left"/>
        <w:rPr>
          <w:b/>
          <w:bCs/>
        </w:rPr>
      </w:pPr>
      <w:r w:rsidRPr="00413F25">
        <w:rPr>
          <w:b/>
          <w:bCs/>
        </w:rPr>
        <w:t>Social Forces</w:t>
      </w:r>
    </w:p>
    <w:p w14:paraId="12AE10D7" w14:textId="078A417E" w:rsidR="00413F25" w:rsidRDefault="00413F25" w:rsidP="00413F25">
      <w:r>
        <w:t>The social landscape of the United States has changed considerably in recent years, especially in the wake of the pandemic's stabilized remote and hybrid workplace. As a result of this cultural change, the annual vehicle miles travelled for professional workers have been reduced by 7% to 12%, which has impacted the vehicle wear and tear cycles, and therefore the replacement intervals</w:t>
      </w:r>
      <w:r w:rsidR="007F2698">
        <w:t xml:space="preserve"> </w:t>
      </w:r>
      <w:r w:rsidR="007F2698" w:rsidRPr="007F2698">
        <w:t>(</w:t>
      </w:r>
      <w:proofErr w:type="spellStart"/>
      <w:r w:rsidR="007F2698" w:rsidRPr="007F2698">
        <w:t>Beugelsdijk</w:t>
      </w:r>
      <w:proofErr w:type="spellEnd"/>
      <w:r w:rsidR="007F2698" w:rsidRPr="007F2698">
        <w:t xml:space="preserve"> and </w:t>
      </w:r>
      <w:proofErr w:type="spellStart"/>
      <w:r w:rsidR="007F2698" w:rsidRPr="007F2698">
        <w:t>Welzel</w:t>
      </w:r>
      <w:proofErr w:type="spellEnd"/>
      <w:r w:rsidR="007F2698" w:rsidRPr="007F2698">
        <w:t>, 2018)</w:t>
      </w:r>
      <w:r>
        <w:t>. In turn, American consumers expect high levels of comfort, active safety and advanced connectivity, with their car being an extension of their connected digital lifestyle.</w:t>
      </w:r>
    </w:p>
    <w:p w14:paraId="422CDB48" w14:textId="036F552A" w:rsidR="00413F25" w:rsidRDefault="00413F25" w:rsidP="00413F25">
      <w:r>
        <w:t>Social issues are closely linked to the historical inclusion of bioethanol in Brazil. Brazilian consumers have been buying flexible fuel vehicles, which can run on both gasoline and sugarcane-based ethanol or a blend of both, since the early 2000s</w:t>
      </w:r>
      <w:r w:rsidR="007F2698">
        <w:t xml:space="preserve"> </w:t>
      </w:r>
      <w:r w:rsidR="001A298D" w:rsidRPr="001A298D">
        <w:t>(Chen, 2023)</w:t>
      </w:r>
      <w:r>
        <w:t>. Fuel selection is determined by quick ratios of prices at the pump and a keen sense of national pride in helping local agriculture, the backbone of the nation's economy and the employer of millions</w:t>
      </w:r>
      <w:r w:rsidR="001A298D">
        <w:t xml:space="preserve"> </w:t>
      </w:r>
      <w:r w:rsidR="00381FBA" w:rsidRPr="00381FBA">
        <w:t>(CORPORATION, 2018)</w:t>
      </w:r>
      <w:r>
        <w:t>.</w:t>
      </w:r>
    </w:p>
    <w:p w14:paraId="61796AAC" w14:textId="06176FA8" w:rsidR="00816470" w:rsidRDefault="00816470" w:rsidP="00816470">
      <w:pPr>
        <w:pStyle w:val="Heading3"/>
      </w:pPr>
      <w:bookmarkStart w:id="6" w:name="_Toc236778324"/>
      <w:r w:rsidRPr="00972238">
        <w:lastRenderedPageBreak/>
        <w:t>Hofstede Model</w:t>
      </w:r>
      <w:bookmarkEnd w:id="6"/>
    </w:p>
    <w:p w14:paraId="7AF7F0DD" w14:textId="14E05070" w:rsidR="007721DF" w:rsidRPr="007721DF" w:rsidRDefault="007721DF" w:rsidP="007721DF">
      <w:pPr>
        <w:pStyle w:val="Heading3"/>
      </w:pPr>
      <w:bookmarkStart w:id="7" w:name="_Toc236778325"/>
      <w:r w:rsidRPr="00972238">
        <w:t>Cultural Comparison</w:t>
      </w:r>
      <w:bookmarkEnd w:id="7"/>
    </w:p>
    <w:p w14:paraId="09FE2314" w14:textId="77777777" w:rsidR="00816470" w:rsidRDefault="00816470" w:rsidP="00816470">
      <w:r w:rsidRPr="008C17A9">
        <w:t>Culture is the collective programming of the mind that distinguishes one group of people from another. To communicate, position, and sell its products effectively, Toyota must evaluate the distinct cultural profiles of the United States and Brazil.</w:t>
      </w:r>
    </w:p>
    <w:p w14:paraId="75945A87" w14:textId="77777777" w:rsidR="00816470" w:rsidRDefault="00816470" w:rsidP="00816470">
      <w:pPr>
        <w:jc w:val="center"/>
      </w:pPr>
      <w:r w:rsidRPr="007E09E5">
        <w:rPr>
          <w:noProof/>
        </w:rPr>
        <w:drawing>
          <wp:inline distT="0" distB="0" distL="0" distR="0" wp14:anchorId="789DC79E" wp14:editId="57FFEA83">
            <wp:extent cx="5731510" cy="31451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45155"/>
                    </a:xfrm>
                    <a:prstGeom prst="rect">
                      <a:avLst/>
                    </a:prstGeom>
                  </pic:spPr>
                </pic:pic>
              </a:graphicData>
            </a:graphic>
          </wp:inline>
        </w:drawing>
      </w:r>
    </w:p>
    <w:p w14:paraId="5761E9F3" w14:textId="77777777" w:rsidR="00816470" w:rsidRPr="00A95FB1" w:rsidRDefault="00816470" w:rsidP="00816470">
      <w:pPr>
        <w:jc w:val="center"/>
        <w:rPr>
          <w:b/>
          <w:bCs/>
          <w:i/>
          <w:iCs/>
        </w:rPr>
      </w:pPr>
      <w:r w:rsidRPr="00A95FB1">
        <w:rPr>
          <w:b/>
          <w:bCs/>
          <w:i/>
          <w:iCs/>
        </w:rPr>
        <w:t>Figure 2: Cultural Comparison (Hofstede Model) (The Culture Factor Group, 202</w:t>
      </w:r>
      <w:r>
        <w:rPr>
          <w:b/>
          <w:bCs/>
          <w:i/>
          <w:iCs/>
        </w:rPr>
        <w:t>6</w:t>
      </w:r>
      <w:r w:rsidRPr="00A95FB1">
        <w:rPr>
          <w:b/>
          <w:bCs/>
          <w:i/>
          <w:iCs/>
        </w:rPr>
        <w:t>)</w:t>
      </w:r>
    </w:p>
    <w:p w14:paraId="6258E152" w14:textId="77777777" w:rsidR="00816470" w:rsidRPr="00BC5075" w:rsidRDefault="00816470" w:rsidP="00816470">
      <w:pPr>
        <w:rPr>
          <w:b/>
          <w:bCs/>
        </w:rPr>
      </w:pPr>
      <w:r w:rsidRPr="00BC5075">
        <w:rPr>
          <w:b/>
          <w:bCs/>
        </w:rPr>
        <w:t>Power Distance Index (PDI)</w:t>
      </w:r>
    </w:p>
    <w:p w14:paraId="06C90306" w14:textId="77777777" w:rsidR="00816470" w:rsidRDefault="00816470" w:rsidP="00816470">
      <w:r>
        <w:t>Brazil has a high score on power distance (69). This means that the society is comfortable with hierarchy and inequality. High-PDI societies value symbols of status as a visible indication of social status.</w:t>
      </w:r>
    </w:p>
    <w:p w14:paraId="6885B6CC" w14:textId="0C24B2D4" w:rsidR="00816470" w:rsidRDefault="00816470" w:rsidP="00816470">
      <w:r>
        <w:t>The United States is a low to moderate power distance culture, with emphasis on egalitarianism, and flat power structures. Subordinates want to be consulted, and consumers are not so affected by overt displays of authority</w:t>
      </w:r>
      <w:r w:rsidR="007241BE">
        <w:t xml:space="preserve"> </w:t>
      </w:r>
      <w:r w:rsidRPr="00FF0557">
        <w:t>(Kane, 2026)</w:t>
      </w:r>
      <w:r>
        <w:t>.</w:t>
      </w:r>
    </w:p>
    <w:p w14:paraId="6CC2A419" w14:textId="77777777" w:rsidR="00816470" w:rsidRPr="00534CAC" w:rsidRDefault="00816470" w:rsidP="00816470">
      <w:pPr>
        <w:rPr>
          <w:b/>
          <w:bCs/>
        </w:rPr>
      </w:pPr>
      <w:r w:rsidRPr="00534CAC">
        <w:rPr>
          <w:b/>
          <w:bCs/>
        </w:rPr>
        <w:t>Individualism</w:t>
      </w:r>
    </w:p>
    <w:p w14:paraId="021E33D2" w14:textId="77777777" w:rsidR="00816470" w:rsidRDefault="00816470" w:rsidP="00816470">
      <w:r>
        <w:t>Brazil is a collectivist society with a score of 36: People are born into cohesive groups of people, particularly the extended family of uncles, aunts, grandparents and cousins who will protect their members for their loyalty.</w:t>
      </w:r>
    </w:p>
    <w:p w14:paraId="5BB69F95" w14:textId="77777777" w:rsidR="00816470" w:rsidRDefault="00816470" w:rsidP="00816470">
      <w:r>
        <w:lastRenderedPageBreak/>
        <w:t xml:space="preserve">The score of 60 means that the US is an individualistic culture. The society is loosely knit in which the expectation is that people look after themselves and should not rely (too much) on authorities for support. High amount of geographical mobility in the U.S. as well </w:t>
      </w:r>
      <w:r w:rsidRPr="00125C28">
        <w:t>(</w:t>
      </w:r>
      <w:proofErr w:type="spellStart"/>
      <w:r w:rsidRPr="00125C28">
        <w:t>Matus</w:t>
      </w:r>
      <w:proofErr w:type="spellEnd"/>
      <w:r w:rsidRPr="00125C28">
        <w:t>, 2021)</w:t>
      </w:r>
      <w:r>
        <w:t>.</w:t>
      </w:r>
    </w:p>
    <w:p w14:paraId="0814FBFD" w14:textId="77777777" w:rsidR="00816470" w:rsidRPr="00534CAC" w:rsidRDefault="00816470" w:rsidP="00816470">
      <w:pPr>
        <w:rPr>
          <w:b/>
          <w:bCs/>
        </w:rPr>
      </w:pPr>
      <w:r w:rsidRPr="00534CAC">
        <w:rPr>
          <w:b/>
          <w:bCs/>
        </w:rPr>
        <w:t>Motivation towards achievement and success</w:t>
      </w:r>
    </w:p>
    <w:p w14:paraId="2813CFC2" w14:textId="77777777" w:rsidR="00816470" w:rsidRDefault="00816470" w:rsidP="00816470">
      <w:r>
        <w:t>Brazil is in the middle, at 49, with neither a clear preference nor an aversion to either of these dispositions.</w:t>
      </w:r>
    </w:p>
    <w:p w14:paraId="1B161DD2" w14:textId="77777777" w:rsidR="00816470" w:rsidRDefault="00816470" w:rsidP="00816470">
      <w:r>
        <w:t>The US scores high on Motivation for Achievement and Success (62) - an achievement-oriented culture - as its typical American behavioural patterns show.</w:t>
      </w:r>
    </w:p>
    <w:p w14:paraId="3A82BAAF" w14:textId="77777777" w:rsidR="00816470" w:rsidRPr="005D7CD1" w:rsidRDefault="00816470" w:rsidP="00816470">
      <w:pPr>
        <w:rPr>
          <w:b/>
          <w:bCs/>
        </w:rPr>
      </w:pPr>
      <w:r w:rsidRPr="005D7CD1">
        <w:rPr>
          <w:b/>
          <w:bCs/>
        </w:rPr>
        <w:t>Uncertainty Avoidance Index (UAI)</w:t>
      </w:r>
    </w:p>
    <w:p w14:paraId="4440AAA9" w14:textId="5134250E" w:rsidR="00816470" w:rsidRDefault="00816470" w:rsidP="00816470">
      <w:r>
        <w:t>The cultural differences between the two countries are most pronounced in the area of Uncertainty Avoidance. Brazil has an unusually high score on this index 76 which indicates a preference for avoiding ambiguity, uncertainty, and unstructured situations</w:t>
      </w:r>
      <w:r w:rsidR="007241BE">
        <w:t xml:space="preserve"> </w:t>
      </w:r>
      <w:r w:rsidRPr="005F1BA4">
        <w:t>(</w:t>
      </w:r>
      <w:proofErr w:type="spellStart"/>
      <w:r w:rsidRPr="005F1BA4">
        <w:t>Marceli</w:t>
      </w:r>
      <w:proofErr w:type="spellEnd"/>
      <w:r w:rsidRPr="005F1BA4">
        <w:t xml:space="preserve"> Adriane </w:t>
      </w:r>
      <w:proofErr w:type="spellStart"/>
      <w:r w:rsidRPr="005F1BA4">
        <w:t>Schvartz</w:t>
      </w:r>
      <w:proofErr w:type="spellEnd"/>
      <w:r w:rsidRPr="005F1BA4">
        <w:t xml:space="preserve"> et al., 2024)</w:t>
      </w:r>
      <w:r>
        <w:t>.</w:t>
      </w:r>
    </w:p>
    <w:p w14:paraId="7FDFDC20" w14:textId="77777777" w:rsidR="00816470" w:rsidRDefault="00816470" w:rsidP="00816470">
      <w:r>
        <w:t xml:space="preserve">The United States (46) is much more tolerant of ambiguity and ready to take calculated risks. In contrast, American consumers are much more comfortable with the adoption of disruptive technologies, including those in early stages of an EV's development like battery electric vehicles and more advanced autonomous driving functionality, without requiring decades of historical proof </w:t>
      </w:r>
      <w:r w:rsidRPr="00CD65AD">
        <w:t>(</w:t>
      </w:r>
      <w:proofErr w:type="spellStart"/>
      <w:r w:rsidRPr="00CD65AD">
        <w:t>Nikbin</w:t>
      </w:r>
      <w:proofErr w:type="spellEnd"/>
      <w:r w:rsidRPr="00CD65AD">
        <w:t xml:space="preserve"> et al., 2021)</w:t>
      </w:r>
      <w:r>
        <w:t>.</w:t>
      </w:r>
    </w:p>
    <w:p w14:paraId="4A0CA372" w14:textId="77777777" w:rsidR="00816470" w:rsidRPr="005D7CD1" w:rsidRDefault="00816470" w:rsidP="00816470">
      <w:pPr>
        <w:rPr>
          <w:b/>
          <w:bCs/>
        </w:rPr>
      </w:pPr>
      <w:r w:rsidRPr="005D7CD1">
        <w:rPr>
          <w:b/>
          <w:bCs/>
        </w:rPr>
        <w:t>Long-Term Orientation (LTO)</w:t>
      </w:r>
    </w:p>
    <w:p w14:paraId="61E734F0" w14:textId="77777777" w:rsidR="00816470" w:rsidRDefault="00816470" w:rsidP="00816470">
      <w:r>
        <w:t>Brazil is at age 28 with a normative culture. People are concerned with establishing absolute truths and show great respect for tradition reinforced by the central place of faith and family.</w:t>
      </w:r>
    </w:p>
    <w:p w14:paraId="7DE6C3EF" w14:textId="77777777" w:rsidR="00816470" w:rsidRDefault="00816470" w:rsidP="00816470">
      <w:r>
        <w:t>The USA numbers 50 on this dimension, signifying there is no overpowering preference. Americans, on the other hand, tend to overthink new information and see if it's true.</w:t>
      </w:r>
    </w:p>
    <w:p w14:paraId="18F7A57B" w14:textId="77777777" w:rsidR="00816470" w:rsidRPr="005D7CD1" w:rsidRDefault="00816470" w:rsidP="00816470">
      <w:pPr>
        <w:rPr>
          <w:b/>
          <w:bCs/>
        </w:rPr>
      </w:pPr>
      <w:r w:rsidRPr="005D7CD1">
        <w:rPr>
          <w:b/>
          <w:bCs/>
        </w:rPr>
        <w:t>Indulgence</w:t>
      </w:r>
    </w:p>
    <w:p w14:paraId="6F942AAF" w14:textId="77777777" w:rsidR="00816470" w:rsidRDefault="00816470" w:rsidP="00816470">
      <w:r>
        <w:t xml:space="preserve">The United States (68) and Brazil (59) also have high scores on Indulgence, indicating that both countries are societies that put a strong emphasis on personal freedom, leisure and the pleasures of life. In both markets, consumers are willing to engage in promotional tactics that encourage them to perceive owning a car as a way to have fun, to be free, and to release emotion </w:t>
      </w:r>
      <w:r w:rsidRPr="004676E4">
        <w:t>(</w:t>
      </w:r>
      <w:proofErr w:type="spellStart"/>
      <w:r w:rsidRPr="004676E4">
        <w:t>Torelli</w:t>
      </w:r>
      <w:proofErr w:type="spellEnd"/>
      <w:r w:rsidRPr="004676E4">
        <w:t xml:space="preserve"> and </w:t>
      </w:r>
      <w:proofErr w:type="spellStart"/>
      <w:r w:rsidRPr="004676E4">
        <w:t>Rodas</w:t>
      </w:r>
      <w:proofErr w:type="spellEnd"/>
      <w:r w:rsidRPr="004676E4">
        <w:t>, 2024)</w:t>
      </w:r>
      <w:r>
        <w:t>.</w:t>
      </w:r>
    </w:p>
    <w:p w14:paraId="223674F6" w14:textId="77777777" w:rsidR="00816470" w:rsidRPr="00751F9D" w:rsidRDefault="00816470" w:rsidP="00816470">
      <w:pPr>
        <w:rPr>
          <w:b/>
          <w:bCs/>
        </w:rPr>
      </w:pPr>
      <w:r w:rsidRPr="00751F9D">
        <w:rPr>
          <w:b/>
          <w:bCs/>
        </w:rPr>
        <w:t>Advantages of the Hofstede Model</w:t>
      </w:r>
    </w:p>
    <w:p w14:paraId="1E31BEBC" w14:textId="77777777" w:rsidR="00816470" w:rsidRDefault="00816470" w:rsidP="00816470">
      <w:r w:rsidRPr="0028152C">
        <w:lastRenderedPageBreak/>
        <w:t>The Hofstede model's advantage is that it allows for the abstraction of highly complex cultural phenomena and simplifies them into a set of numbers that are standardized and quantifiable. This enables the international marketing manager to systematically compare several host countries, and develop hypotheses for strategic adaptation</w:t>
      </w:r>
      <w:r>
        <w:t xml:space="preserve"> </w:t>
      </w:r>
      <w:r w:rsidRPr="004676E4">
        <w:t>(TOYOTA MOTOR CORPORATION, 2024)</w:t>
      </w:r>
      <w:r w:rsidRPr="0028152C">
        <w:t>. The model has been used in thousands of peer-reviewed studies over the last four decades, and has a large and readily available global database.</w:t>
      </w:r>
    </w:p>
    <w:p w14:paraId="756F0311" w14:textId="77777777" w:rsidR="00816470" w:rsidRPr="002C063C" w:rsidRDefault="00816470" w:rsidP="00816470">
      <w:pPr>
        <w:rPr>
          <w:b/>
          <w:bCs/>
        </w:rPr>
      </w:pPr>
      <w:r w:rsidRPr="002C063C">
        <w:rPr>
          <w:b/>
          <w:bCs/>
        </w:rPr>
        <w:t>Disadvantages of the Hofstede Model</w:t>
      </w:r>
    </w:p>
    <w:p w14:paraId="3ED59C09" w14:textId="77777777" w:rsidR="00816470" w:rsidRDefault="00816470" w:rsidP="00816470">
      <w:r>
        <w:t>One drawback of the model is that country-level cultural averages may be misapplied when predicting the behavior of individual persons. There are a lot of differences in personality, regional subcultures and individual values within any national culture.</w:t>
      </w:r>
    </w:p>
    <w:p w14:paraId="31CAE885" w14:textId="715C78E9" w:rsidR="00816470" w:rsidRDefault="00816470" w:rsidP="00413F25">
      <w:r>
        <w:t>The model has been criticised by scholars like McSweeney and Williamson for their belief in a homogenous cultural definition of political national borders</w:t>
      </w:r>
      <w:r w:rsidR="007241BE">
        <w:t xml:space="preserve"> </w:t>
      </w:r>
      <w:r w:rsidRPr="00150A87">
        <w:t>(Vieira do Nascimento, 2014)</w:t>
      </w:r>
      <w:r>
        <w:t>.</w:t>
      </w:r>
    </w:p>
    <w:p w14:paraId="6AD429F9" w14:textId="0083DCCE" w:rsidR="00413F25" w:rsidRPr="00413F25" w:rsidRDefault="00413F25" w:rsidP="00413F25">
      <w:pPr>
        <w:spacing w:line="259" w:lineRule="auto"/>
        <w:jc w:val="left"/>
        <w:rPr>
          <w:b/>
          <w:bCs/>
        </w:rPr>
      </w:pPr>
      <w:r w:rsidRPr="00413F25">
        <w:rPr>
          <w:b/>
          <w:bCs/>
        </w:rPr>
        <w:t>Technological Forces</w:t>
      </w:r>
    </w:p>
    <w:p w14:paraId="068EA661" w14:textId="4B16D81D" w:rsidR="007241BE" w:rsidRDefault="007241BE" w:rsidP="007241BE">
      <w:r>
        <w:t>Toyota's over-the-air software update system, predictive maintenance algorithms, and autonomous aerial transportation alliance collaborations are tested in the US. Given the US's advanced digital infrastructure, linked vehicle products and services might make up 17% of Toyota's automotive gross earnings (2025 FY) and be monetised (International Trade, 2025).</w:t>
      </w:r>
    </w:p>
    <w:p w14:paraId="7FCC0BEC" w14:textId="7FBFA530" w:rsidR="00413F25" w:rsidRDefault="007241BE" w:rsidP="007241BE">
      <w:r>
        <w:t>Brazil's technological concentration is on internal combustion engines and indigenous green fuel options. This innovation allows Toyota to reduce carbon emissions by developing the technology locally and avoiding the massive capital investment needed to build an ultra-fast charging infrastructure nationwide.</w:t>
      </w:r>
    </w:p>
    <w:p w14:paraId="4BFAB5AB" w14:textId="77777777" w:rsidR="00E24FED" w:rsidRPr="00E24FED" w:rsidRDefault="00E24FED" w:rsidP="00413F25">
      <w:pPr>
        <w:rPr>
          <w:b/>
          <w:bCs/>
        </w:rPr>
      </w:pPr>
      <w:r w:rsidRPr="00E24FED">
        <w:rPr>
          <w:b/>
          <w:bCs/>
        </w:rPr>
        <w:t>Environmental Forces</w:t>
      </w:r>
    </w:p>
    <w:p w14:paraId="3993202F" w14:textId="007C5EC9" w:rsidR="00063A14" w:rsidRDefault="00063A14" w:rsidP="00063A14">
      <w:r>
        <w:t>The U.S. environmental macro-environment demands tailpipe emissions cuts and business sustainability reporting. Toyota's massive supply chain, which includes 40,000 suppliers, will cut emissions by 25% by 2030 through a broad carbon reporting and reporting agreement (Greene, 2024).</w:t>
      </w:r>
    </w:p>
    <w:p w14:paraId="43302D10" w14:textId="29B23424" w:rsidR="00FE4F2B" w:rsidRDefault="00063A14" w:rsidP="00063A14">
      <w:r>
        <w:t xml:space="preserve">The idea of utilising sugarcane ethanol to mitigate carbon is another major part of Brazil's environmental program. Hybrid vehicles with pure sugarcane-based ethanol fuel have lifecycle emissions of 77.5g CO2 </w:t>
      </w:r>
      <w:proofErr w:type="spellStart"/>
      <w:r>
        <w:t>eq</w:t>
      </w:r>
      <w:proofErr w:type="spellEnd"/>
      <w:r>
        <w:t>/km, which is competitive with pure battery electric vehicles utilising fossil fuel grids (</w:t>
      </w:r>
      <w:proofErr w:type="spellStart"/>
      <w:r>
        <w:t>Hollensen</w:t>
      </w:r>
      <w:proofErr w:type="spellEnd"/>
      <w:r>
        <w:t>, 2024).</w:t>
      </w:r>
    </w:p>
    <w:p w14:paraId="17DC92EE" w14:textId="2E7E76D4" w:rsidR="00FE4F2B" w:rsidRPr="00FE4F2B" w:rsidRDefault="00FE4F2B" w:rsidP="00FE4F2B">
      <w:pPr>
        <w:rPr>
          <w:b/>
          <w:bCs/>
        </w:rPr>
      </w:pPr>
      <w:r w:rsidRPr="00FE4F2B">
        <w:rPr>
          <w:b/>
          <w:bCs/>
        </w:rPr>
        <w:t>Legal Forces</w:t>
      </w:r>
    </w:p>
    <w:p w14:paraId="2C526ACF" w14:textId="0BFBAEF1" w:rsidR="00FE4F2B" w:rsidRDefault="00FE4F2B" w:rsidP="00FE4F2B">
      <w:r>
        <w:lastRenderedPageBreak/>
        <w:t>Legally, if any, Toyota is highly regulated by the National Highway Traffic Safety Administration and the Environmental Protection Agency in the United States. History of safety and emission litigation shows that compliance failures can lead to significant financial fines, damage to brands and required engineering recalls.</w:t>
      </w:r>
    </w:p>
    <w:p w14:paraId="747DB732" w14:textId="727DF13C" w:rsidR="00FE4F2B" w:rsidRDefault="00FE4F2B" w:rsidP="00FE4F2B">
      <w:r>
        <w:t xml:space="preserve">Brazil has laws that are protectionist towards domestic manufacturing. Import taxes are still high for completely built units, and strict energy efficiency targets and vehicle structural tests, including side-impact crash performance, are required by safety legislation administered by CONTRAN and </w:t>
      </w:r>
      <w:proofErr w:type="spellStart"/>
      <w:r>
        <w:t>Inmetro</w:t>
      </w:r>
      <w:proofErr w:type="spellEnd"/>
      <w:r w:rsidR="00FD1D51">
        <w:t xml:space="preserve"> </w:t>
      </w:r>
      <w:r w:rsidR="00331930" w:rsidRPr="00331930">
        <w:t>(</w:t>
      </w:r>
      <w:proofErr w:type="spellStart"/>
      <w:r w:rsidR="00331930" w:rsidRPr="00331930">
        <w:t>İşiner</w:t>
      </w:r>
      <w:proofErr w:type="spellEnd"/>
      <w:r w:rsidR="00331930" w:rsidRPr="00331930">
        <w:t xml:space="preserve"> and Kenan </w:t>
      </w:r>
      <w:proofErr w:type="spellStart"/>
      <w:r w:rsidR="00331930" w:rsidRPr="00331930">
        <w:t>Aydın</w:t>
      </w:r>
      <w:proofErr w:type="spellEnd"/>
      <w:r w:rsidR="00331930" w:rsidRPr="00331930">
        <w:t>, 2023)</w:t>
      </w:r>
      <w:r>
        <w:t>. For Toyota to benefit from lower tax brackets under the MOVER program, the automaker has to meet local content requirements, which ensure that enough parts of the vehicle are produced in Brazil</w:t>
      </w:r>
      <w:r w:rsidR="00331930">
        <w:t xml:space="preserve"> </w:t>
      </w:r>
      <w:r w:rsidR="00473726" w:rsidRPr="00473726">
        <w:t>(Justice.gov, 2021)</w:t>
      </w:r>
      <w:r w:rsidR="00473726">
        <w:t>.</w:t>
      </w:r>
    </w:p>
    <w:p w14:paraId="78F822C8" w14:textId="52B7E212" w:rsidR="00AC7764" w:rsidRPr="00AC7764" w:rsidRDefault="00AC7764" w:rsidP="00FE4F2B">
      <w:pPr>
        <w:rPr>
          <w:b/>
          <w:bCs/>
        </w:rPr>
      </w:pPr>
      <w:r w:rsidRPr="00AC7764">
        <w:rPr>
          <w:b/>
          <w:bCs/>
        </w:rPr>
        <w:t>Similarities and Differences</w:t>
      </w:r>
    </w:p>
    <w:p w14:paraId="0FDAD364" w14:textId="56D3F645" w:rsidR="00AC7764" w:rsidRDefault="0095048A" w:rsidP="00FE4F2B">
      <w:r w:rsidRPr="0095048A">
        <w:t>Both countries want more carbon reduction, passenger safety, and government involvement in green technology.</w:t>
      </w:r>
    </w:p>
    <w:tbl>
      <w:tblPr>
        <w:tblStyle w:val="TableGrid"/>
        <w:tblW w:w="0" w:type="auto"/>
        <w:tblLook w:val="04A0" w:firstRow="1" w:lastRow="0" w:firstColumn="1" w:lastColumn="0" w:noHBand="0" w:noVBand="1"/>
      </w:tblPr>
      <w:tblGrid>
        <w:gridCol w:w="3005"/>
        <w:gridCol w:w="3005"/>
        <w:gridCol w:w="3006"/>
      </w:tblGrid>
      <w:tr w:rsidR="00F43EF3" w14:paraId="277BF437" w14:textId="77777777" w:rsidTr="00F43EF3">
        <w:tc>
          <w:tcPr>
            <w:tcW w:w="3005" w:type="dxa"/>
          </w:tcPr>
          <w:p w14:paraId="17CA9821" w14:textId="2D6CD899" w:rsidR="00F43EF3" w:rsidRDefault="00504F9E" w:rsidP="00FE4F2B">
            <w:r w:rsidRPr="00504F9E">
              <w:t>Macro-Environmental Factor</w:t>
            </w:r>
          </w:p>
        </w:tc>
        <w:tc>
          <w:tcPr>
            <w:tcW w:w="3005" w:type="dxa"/>
          </w:tcPr>
          <w:p w14:paraId="523AD96B" w14:textId="0A81EEF6" w:rsidR="00F43EF3" w:rsidRDefault="00504F9E" w:rsidP="00FE4F2B">
            <w:r w:rsidRPr="00504F9E">
              <w:t>United States</w:t>
            </w:r>
          </w:p>
        </w:tc>
        <w:tc>
          <w:tcPr>
            <w:tcW w:w="3006" w:type="dxa"/>
          </w:tcPr>
          <w:p w14:paraId="36B3B6E3" w14:textId="52A7D3E4" w:rsidR="00F43EF3" w:rsidRDefault="00504F9E" w:rsidP="00FE4F2B">
            <w:r w:rsidRPr="00504F9E">
              <w:t>Brazil</w:t>
            </w:r>
          </w:p>
        </w:tc>
      </w:tr>
      <w:tr w:rsidR="00F43EF3" w14:paraId="73F5D086" w14:textId="77777777" w:rsidTr="00F43EF3">
        <w:tc>
          <w:tcPr>
            <w:tcW w:w="3005" w:type="dxa"/>
          </w:tcPr>
          <w:p w14:paraId="59549BF9" w14:textId="3E6C82B4" w:rsidR="00F43EF3" w:rsidRDefault="00504F9E" w:rsidP="00FE4F2B">
            <w:r w:rsidRPr="00504F9E">
              <w:t>Political &amp; Fiscal Support</w:t>
            </w:r>
          </w:p>
        </w:tc>
        <w:tc>
          <w:tcPr>
            <w:tcW w:w="3005" w:type="dxa"/>
          </w:tcPr>
          <w:p w14:paraId="1DF08FED" w14:textId="036FAC87" w:rsidR="00F43EF3" w:rsidRDefault="002B2FBE" w:rsidP="00FE4F2B">
            <w:r w:rsidRPr="002B2FBE">
              <w:t>Federal tax incentives ($7,500) primarily target battery electric vehicles (BEVs).</w:t>
            </w:r>
          </w:p>
        </w:tc>
        <w:tc>
          <w:tcPr>
            <w:tcW w:w="3006" w:type="dxa"/>
          </w:tcPr>
          <w:p w14:paraId="30CE433A" w14:textId="6A50CC86" w:rsidR="00F43EF3" w:rsidRDefault="002B2FBE" w:rsidP="00FE4F2B">
            <w:r w:rsidRPr="002B2FBE">
              <w:t>National MOVER program provides $4.8B in tax credits for localized green research.</w:t>
            </w:r>
          </w:p>
        </w:tc>
      </w:tr>
      <w:tr w:rsidR="00F43EF3" w14:paraId="1E602319" w14:textId="77777777" w:rsidTr="00F43EF3">
        <w:tc>
          <w:tcPr>
            <w:tcW w:w="3005" w:type="dxa"/>
          </w:tcPr>
          <w:p w14:paraId="384D9752" w14:textId="0CA5ACBC" w:rsidR="00F43EF3" w:rsidRDefault="001A7711" w:rsidP="00FE4F2B">
            <w:r w:rsidRPr="001A7711">
              <w:t>Economic Polarization</w:t>
            </w:r>
          </w:p>
        </w:tc>
        <w:tc>
          <w:tcPr>
            <w:tcW w:w="3005" w:type="dxa"/>
          </w:tcPr>
          <w:p w14:paraId="13B2FB56" w14:textId="563AE8E5" w:rsidR="00F43EF3" w:rsidRDefault="00B8109F" w:rsidP="00FE4F2B">
            <w:r w:rsidRPr="00B8109F">
              <w:t>Large mass market with structured consumer credit.</w:t>
            </w:r>
          </w:p>
        </w:tc>
        <w:tc>
          <w:tcPr>
            <w:tcW w:w="3006" w:type="dxa"/>
          </w:tcPr>
          <w:p w14:paraId="5460BDD9" w14:textId="722B11FB" w:rsidR="00F43EF3" w:rsidRDefault="00B8109F" w:rsidP="00FE4F2B">
            <w:r w:rsidRPr="00B8109F">
              <w:t>Polarised market; only wealthy agricultural/urban elite can afford premiums given high credit costs.</w:t>
            </w:r>
          </w:p>
        </w:tc>
      </w:tr>
      <w:tr w:rsidR="00F43EF3" w14:paraId="7544AF2B" w14:textId="77777777" w:rsidTr="00F43EF3">
        <w:tc>
          <w:tcPr>
            <w:tcW w:w="3005" w:type="dxa"/>
          </w:tcPr>
          <w:p w14:paraId="692F33D2" w14:textId="03C97432" w:rsidR="00F43EF3" w:rsidRDefault="001A7711" w:rsidP="00FE4F2B">
            <w:r w:rsidRPr="001A7711">
              <w:t>Consumer Fuel Preference</w:t>
            </w:r>
          </w:p>
        </w:tc>
        <w:tc>
          <w:tcPr>
            <w:tcW w:w="3005" w:type="dxa"/>
          </w:tcPr>
          <w:p w14:paraId="52E3F2E7" w14:textId="4B40C5D1" w:rsidR="00F43EF3" w:rsidRDefault="00C316C2" w:rsidP="00FE4F2B">
            <w:r w:rsidRPr="00C316C2">
              <w:t>Gasoline/diesel with a progressive switch to electricity.</w:t>
            </w:r>
          </w:p>
        </w:tc>
        <w:tc>
          <w:tcPr>
            <w:tcW w:w="3006" w:type="dxa"/>
          </w:tcPr>
          <w:p w14:paraId="0DEA6C2D" w14:textId="465E48EF" w:rsidR="00F43EF3" w:rsidRDefault="00C316C2" w:rsidP="00FE4F2B">
            <w:r w:rsidRPr="00C316C2">
              <w:t>Sugarcane-based ethanol (E100) and flexible-fuel combustion systems.</w:t>
            </w:r>
          </w:p>
        </w:tc>
      </w:tr>
      <w:tr w:rsidR="00F43EF3" w14:paraId="52C9467C" w14:textId="77777777" w:rsidTr="00F43EF3">
        <w:tc>
          <w:tcPr>
            <w:tcW w:w="3005" w:type="dxa"/>
          </w:tcPr>
          <w:p w14:paraId="2D3289A9" w14:textId="41B76237" w:rsidR="00F43EF3" w:rsidRDefault="001A7711" w:rsidP="00FE4F2B">
            <w:r w:rsidRPr="001A7711">
              <w:t>Regulatory &amp; Safety Oversight</w:t>
            </w:r>
          </w:p>
        </w:tc>
        <w:tc>
          <w:tcPr>
            <w:tcW w:w="3005" w:type="dxa"/>
          </w:tcPr>
          <w:p w14:paraId="06D7F4A3" w14:textId="36A11F2A" w:rsidR="00F43EF3" w:rsidRDefault="00C316C2" w:rsidP="00FE4F2B">
            <w:r w:rsidRPr="00C316C2">
              <w:t>Rigorous enforcement by NHTSA and EPA; substantial penalties for reporting delays.</w:t>
            </w:r>
          </w:p>
        </w:tc>
        <w:tc>
          <w:tcPr>
            <w:tcW w:w="3006" w:type="dxa"/>
          </w:tcPr>
          <w:p w14:paraId="25D0B555" w14:textId="59A7BEB2" w:rsidR="00F43EF3" w:rsidRDefault="0013351C" w:rsidP="00FE4F2B">
            <w:r w:rsidRPr="0013351C">
              <w:t>Protected market regulated by CONTRAN/</w:t>
            </w:r>
            <w:proofErr w:type="spellStart"/>
            <w:r w:rsidRPr="0013351C">
              <w:t>Inmetro</w:t>
            </w:r>
            <w:proofErr w:type="spellEnd"/>
            <w:r w:rsidRPr="0013351C">
              <w:t>; high CBU import tariffs.</w:t>
            </w:r>
          </w:p>
        </w:tc>
      </w:tr>
    </w:tbl>
    <w:p w14:paraId="54D4257B" w14:textId="77777777" w:rsidR="00F43EF3" w:rsidRDefault="00F43EF3" w:rsidP="00FE4F2B"/>
    <w:p w14:paraId="684106E5" w14:textId="476BB56F" w:rsidR="00FF4EA5" w:rsidRDefault="00FF4EA5" w:rsidP="00FF4EA5">
      <w:pPr>
        <w:pStyle w:val="Heading2"/>
      </w:pPr>
      <w:bookmarkStart w:id="8" w:name="_Toc236778326"/>
      <w:r>
        <w:lastRenderedPageBreak/>
        <w:t>b. Segmentation, Targeting, and Positioning (STP)</w:t>
      </w:r>
      <w:bookmarkEnd w:id="8"/>
    </w:p>
    <w:p w14:paraId="55060DFB" w14:textId="77777777" w:rsidR="008D1386" w:rsidRDefault="008D1386" w:rsidP="008D1386">
      <w:pPr>
        <w:jc w:val="center"/>
      </w:pPr>
      <w:r>
        <w:rPr>
          <w:noProof/>
        </w:rPr>
        <w:drawing>
          <wp:inline distT="0" distB="0" distL="0" distR="0" wp14:anchorId="56AF5C69" wp14:editId="56C4B80F">
            <wp:extent cx="4060825" cy="23121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1775" cy="2324073"/>
                    </a:xfrm>
                    <a:prstGeom prst="rect">
                      <a:avLst/>
                    </a:prstGeom>
                    <a:noFill/>
                  </pic:spPr>
                </pic:pic>
              </a:graphicData>
            </a:graphic>
          </wp:inline>
        </w:drawing>
      </w:r>
    </w:p>
    <w:p w14:paraId="37F466F8" w14:textId="77777777" w:rsidR="00ED774C" w:rsidRPr="00E46F15" w:rsidRDefault="00DE2909" w:rsidP="008D1386">
      <w:pPr>
        <w:jc w:val="center"/>
        <w:rPr>
          <w:b/>
          <w:bCs/>
          <w:i/>
          <w:iCs/>
        </w:rPr>
      </w:pPr>
      <w:r w:rsidRPr="00E46F15">
        <w:rPr>
          <w:b/>
          <w:bCs/>
          <w:i/>
          <w:iCs/>
        </w:rPr>
        <w:t xml:space="preserve">Figure 3: </w:t>
      </w:r>
      <w:r w:rsidR="002A330A" w:rsidRPr="00E46F15">
        <w:rPr>
          <w:b/>
          <w:bCs/>
          <w:i/>
          <w:iCs/>
        </w:rPr>
        <w:t xml:space="preserve">STP Marketing </w:t>
      </w:r>
      <w:r w:rsidR="00ED774C" w:rsidRPr="00E46F15">
        <w:rPr>
          <w:b/>
          <w:bCs/>
          <w:i/>
          <w:iCs/>
        </w:rPr>
        <w:t>(Business Research Methodology, 2023)</w:t>
      </w:r>
    </w:p>
    <w:p w14:paraId="6AF3F430" w14:textId="542A82C6" w:rsidR="0016072D" w:rsidRPr="003E4E99" w:rsidRDefault="0016072D" w:rsidP="003E4E99">
      <w:pPr>
        <w:rPr>
          <w:b/>
          <w:bCs/>
        </w:rPr>
      </w:pPr>
      <w:r w:rsidRPr="003E4E99">
        <w:rPr>
          <w:b/>
          <w:bCs/>
        </w:rPr>
        <w:t>Segmentation</w:t>
      </w:r>
    </w:p>
    <w:p w14:paraId="23C0C26C" w14:textId="64AB132A" w:rsidR="00587AE4" w:rsidRPr="00277AB8" w:rsidRDefault="00587AE4" w:rsidP="003E4E99">
      <w:r w:rsidRPr="00277AB8">
        <w:t>The market segments in each country are defined by a combination of demographic, geographic, and psychographic variables:</w:t>
      </w:r>
    </w:p>
    <w:p w14:paraId="29471743" w14:textId="296521C7" w:rsidR="00D10300" w:rsidRPr="00277AB8" w:rsidRDefault="00D10300" w:rsidP="003E4E99">
      <w:r w:rsidRPr="003E4E99">
        <w:rPr>
          <w:b/>
          <w:bCs/>
        </w:rPr>
        <w:t>Demographic Segmentation:</w:t>
      </w:r>
      <w:r w:rsidRPr="00277AB8">
        <w:t xml:space="preserve"> </w:t>
      </w:r>
      <w:r w:rsidR="006D2EFA" w:rsidRPr="00277AB8">
        <w:t>In the United States, Toyota segments the market primarily by age, income, and family life-stage. The primary target demographic is middle-aged consumers aged 30 to 50</w:t>
      </w:r>
      <w:r w:rsidR="00224DB2">
        <w:t xml:space="preserve"> </w:t>
      </w:r>
      <w:r w:rsidR="00224DB2" w:rsidRPr="00224DB2">
        <w:t>(</w:t>
      </w:r>
      <w:proofErr w:type="spellStart"/>
      <w:r w:rsidR="00224DB2" w:rsidRPr="00224DB2">
        <w:t>Hollensen</w:t>
      </w:r>
      <w:proofErr w:type="spellEnd"/>
      <w:r w:rsidR="00224DB2" w:rsidRPr="00224DB2">
        <w:t>, 2024)</w:t>
      </w:r>
      <w:r w:rsidR="00224DB2">
        <w:t>.</w:t>
      </w:r>
    </w:p>
    <w:p w14:paraId="256F1D4B" w14:textId="40D69FF5" w:rsidR="006D2EFA" w:rsidRPr="00277AB8" w:rsidRDefault="001C43A8" w:rsidP="003E4E99">
      <w:r w:rsidRPr="00B369F4">
        <w:rPr>
          <w:b/>
          <w:bCs/>
        </w:rPr>
        <w:t>Brazilian demographics</w:t>
      </w:r>
      <w:r w:rsidRPr="00277AB8">
        <w:t xml:space="preserve"> are severely polarised by income. Lower-middle-income consumers choose tiny passenger cars for daily commuting, whereas high-income urban and agricultural purchasers can afford luxury passenger cars and powerful utility trucks</w:t>
      </w:r>
      <w:r w:rsidR="00F15B15">
        <w:t xml:space="preserve"> </w:t>
      </w:r>
      <w:r w:rsidR="00A21550" w:rsidRPr="00A21550">
        <w:t>(Santos et al., 2026)</w:t>
      </w:r>
      <w:r w:rsidR="00A21550">
        <w:t>.</w:t>
      </w:r>
    </w:p>
    <w:p w14:paraId="03B99474" w14:textId="418B7F1F" w:rsidR="00D01026" w:rsidRPr="003E4E99" w:rsidRDefault="001C43A8" w:rsidP="00D01026">
      <w:pPr>
        <w:rPr>
          <w:color w:val="000000" w:themeColor="text1"/>
        </w:rPr>
      </w:pPr>
      <w:r w:rsidRPr="003E4E99">
        <w:rPr>
          <w:b/>
          <w:bCs/>
          <w:color w:val="000000" w:themeColor="text1"/>
        </w:rPr>
        <w:t>Geographic Segmentation:</w:t>
      </w:r>
      <w:r w:rsidRPr="003E4E99">
        <w:rPr>
          <w:color w:val="000000" w:themeColor="text1"/>
        </w:rPr>
        <w:t xml:space="preserve"> </w:t>
      </w:r>
      <w:r w:rsidR="00D01026" w:rsidRPr="003E4E99">
        <w:rPr>
          <w:color w:val="000000" w:themeColor="text1"/>
        </w:rPr>
        <w:t xml:space="preserve">Geographic segmentation separates high-density metropolitan </w:t>
      </w:r>
      <w:proofErr w:type="spellStart"/>
      <w:r w:rsidR="00D01026" w:rsidRPr="003E4E99">
        <w:rPr>
          <w:color w:val="000000" w:themeColor="text1"/>
        </w:rPr>
        <w:t>centers</w:t>
      </w:r>
      <w:proofErr w:type="spellEnd"/>
      <w:r w:rsidR="00D01026" w:rsidRPr="003E4E99">
        <w:rPr>
          <w:color w:val="000000" w:themeColor="text1"/>
        </w:rPr>
        <w:t>, suburbs, and rural areas in the US. Rural and agricultural regions demand full-size light trucks like the Tacoma and Tundra, while suburban and metropolitan regions prefer fuel-efficient hybrid sedans, compact crossovers, and family SUVs</w:t>
      </w:r>
      <w:r w:rsidR="00A21550" w:rsidRPr="003E4E99">
        <w:rPr>
          <w:color w:val="000000" w:themeColor="text1"/>
        </w:rPr>
        <w:t xml:space="preserve"> (</w:t>
      </w:r>
      <w:proofErr w:type="spellStart"/>
      <w:r w:rsidR="00A21550" w:rsidRPr="003E4E99">
        <w:rPr>
          <w:color w:val="000000" w:themeColor="text1"/>
        </w:rPr>
        <w:t>Teles</w:t>
      </w:r>
      <w:proofErr w:type="spellEnd"/>
      <w:r w:rsidR="00A21550" w:rsidRPr="003E4E99">
        <w:rPr>
          <w:color w:val="000000" w:themeColor="text1"/>
        </w:rPr>
        <w:t>, 2026).</w:t>
      </w:r>
    </w:p>
    <w:p w14:paraId="6A4B9829" w14:textId="10430E4D" w:rsidR="001C43A8" w:rsidRPr="003E4E99" w:rsidRDefault="00D01026" w:rsidP="00D01026">
      <w:pPr>
        <w:rPr>
          <w:color w:val="000000" w:themeColor="text1"/>
        </w:rPr>
      </w:pPr>
      <w:r w:rsidRPr="003E4E99">
        <w:rPr>
          <w:color w:val="000000" w:themeColor="text1"/>
        </w:rPr>
        <w:t>Geographic segmentation in Brazil emphasises the contrast between coastal cities like São Paulo and Rio de Janeiro and the agricultural heartland (</w:t>
      </w:r>
      <w:proofErr w:type="spellStart"/>
      <w:r w:rsidRPr="003E4E99">
        <w:rPr>
          <w:color w:val="000000" w:themeColor="text1"/>
        </w:rPr>
        <w:t>Center</w:t>
      </w:r>
      <w:proofErr w:type="spellEnd"/>
      <w:r w:rsidRPr="003E4E99">
        <w:rPr>
          <w:color w:val="000000" w:themeColor="text1"/>
        </w:rPr>
        <w:t>-West region).</w:t>
      </w:r>
    </w:p>
    <w:p w14:paraId="2FA05D9E" w14:textId="77777777" w:rsidR="00683B81" w:rsidRPr="003E4E99" w:rsidRDefault="002E6475" w:rsidP="00683B81">
      <w:pPr>
        <w:rPr>
          <w:color w:val="000000" w:themeColor="text1"/>
        </w:rPr>
      </w:pPr>
      <w:r w:rsidRPr="003E4E99">
        <w:rPr>
          <w:b/>
          <w:bCs/>
          <w:color w:val="000000" w:themeColor="text1"/>
        </w:rPr>
        <w:t>Psychographic Segmentation:</w:t>
      </w:r>
      <w:r w:rsidRPr="003E4E99">
        <w:rPr>
          <w:color w:val="000000" w:themeColor="text1"/>
        </w:rPr>
        <w:t xml:space="preserve"> </w:t>
      </w:r>
      <w:r w:rsidR="00683B81" w:rsidRPr="003E4E99">
        <w:rPr>
          <w:color w:val="000000" w:themeColor="text1"/>
        </w:rPr>
        <w:t>Psychographic profiles in the US fall into numerous categories:</w:t>
      </w:r>
    </w:p>
    <w:p w14:paraId="1F69524A" w14:textId="53C4F2E7" w:rsidR="00683B81" w:rsidRPr="003E4E99" w:rsidRDefault="00683B81" w:rsidP="00683B81">
      <w:pPr>
        <w:pStyle w:val="ListParagraph"/>
        <w:numPr>
          <w:ilvl w:val="0"/>
          <w:numId w:val="1"/>
        </w:numPr>
        <w:rPr>
          <w:color w:val="000000" w:themeColor="text1"/>
        </w:rPr>
      </w:pPr>
      <w:r w:rsidRPr="003E4E99">
        <w:rPr>
          <w:color w:val="000000" w:themeColor="text1"/>
        </w:rPr>
        <w:t>Sustainable Pragmatists: People who appreciate sustainability, economy, and dependable commuter travel (hybrid powertrains).</w:t>
      </w:r>
    </w:p>
    <w:p w14:paraId="20B659EB" w14:textId="77777777" w:rsidR="00D22CE3" w:rsidRDefault="00683B81" w:rsidP="00D22CE3">
      <w:pPr>
        <w:pStyle w:val="ListParagraph"/>
        <w:numPr>
          <w:ilvl w:val="0"/>
          <w:numId w:val="1"/>
        </w:numPr>
        <w:rPr>
          <w:color w:val="000000" w:themeColor="text1"/>
        </w:rPr>
      </w:pPr>
      <w:r w:rsidRPr="003E4E99">
        <w:rPr>
          <w:color w:val="000000" w:themeColor="text1"/>
        </w:rPr>
        <w:t>Outdoor Lifestyle Fans: Adventurers, tough independents, and off-roaders (targeting TRD-off-road versions).</w:t>
      </w:r>
    </w:p>
    <w:p w14:paraId="01541F60" w14:textId="4B5F43BC" w:rsidR="00D01026" w:rsidRPr="00D22CE3" w:rsidRDefault="00683B81" w:rsidP="00D22CE3">
      <w:pPr>
        <w:pStyle w:val="ListParagraph"/>
        <w:numPr>
          <w:ilvl w:val="0"/>
          <w:numId w:val="1"/>
        </w:numPr>
        <w:rPr>
          <w:color w:val="000000" w:themeColor="text1"/>
        </w:rPr>
      </w:pPr>
      <w:r w:rsidRPr="00D22CE3">
        <w:rPr>
          <w:color w:val="000000" w:themeColor="text1"/>
        </w:rPr>
        <w:lastRenderedPageBreak/>
        <w:t>IT-savvy commuters: Premium in-vehicle software, digital connection, and sophisticated driving assistance systems buyers</w:t>
      </w:r>
      <w:r w:rsidR="00D22CE3" w:rsidRPr="00D22CE3">
        <w:rPr>
          <w:color w:val="000000" w:themeColor="text1"/>
        </w:rPr>
        <w:t xml:space="preserve"> </w:t>
      </w:r>
      <w:r w:rsidR="00D22CE3" w:rsidRPr="008145A2">
        <w:t>(Uchida, 2024)</w:t>
      </w:r>
      <w:r w:rsidR="00D22CE3">
        <w:t>.</w:t>
      </w:r>
    </w:p>
    <w:p w14:paraId="0218E9C3" w14:textId="3E17474D" w:rsidR="00683B81" w:rsidRPr="003E4E99" w:rsidRDefault="00277AB8" w:rsidP="0016072D">
      <w:pPr>
        <w:rPr>
          <w:color w:val="000000" w:themeColor="text1"/>
        </w:rPr>
      </w:pPr>
      <w:r w:rsidRPr="003E4E99">
        <w:rPr>
          <w:color w:val="000000" w:themeColor="text1"/>
        </w:rPr>
        <w:t>Psychographic segmentation in Brazil emphasises social position, stability, and risk reduction. Due of Japan's economic instability, people view its engineering as reliable and financially secure</w:t>
      </w:r>
      <w:r w:rsidR="00A21550" w:rsidRPr="003E4E99">
        <w:rPr>
          <w:color w:val="000000" w:themeColor="text1"/>
        </w:rPr>
        <w:t xml:space="preserve"> </w:t>
      </w:r>
      <w:r w:rsidR="000E657D" w:rsidRPr="003E4E99">
        <w:rPr>
          <w:color w:val="000000" w:themeColor="text1"/>
        </w:rPr>
        <w:t>(</w:t>
      </w:r>
      <w:proofErr w:type="spellStart"/>
      <w:r w:rsidR="000E657D" w:rsidRPr="003E4E99">
        <w:rPr>
          <w:color w:val="000000" w:themeColor="text1"/>
        </w:rPr>
        <w:t>Torelli</w:t>
      </w:r>
      <w:proofErr w:type="spellEnd"/>
      <w:r w:rsidR="000E657D" w:rsidRPr="003E4E99">
        <w:rPr>
          <w:color w:val="000000" w:themeColor="text1"/>
        </w:rPr>
        <w:t xml:space="preserve"> and </w:t>
      </w:r>
      <w:proofErr w:type="spellStart"/>
      <w:r w:rsidR="000E657D" w:rsidRPr="003E4E99">
        <w:rPr>
          <w:color w:val="000000" w:themeColor="text1"/>
        </w:rPr>
        <w:t>Rodas</w:t>
      </w:r>
      <w:proofErr w:type="spellEnd"/>
      <w:r w:rsidR="000E657D" w:rsidRPr="003E4E99">
        <w:rPr>
          <w:color w:val="000000" w:themeColor="text1"/>
        </w:rPr>
        <w:t>, 2024)</w:t>
      </w:r>
      <w:r w:rsidRPr="003E4E99">
        <w:rPr>
          <w:color w:val="000000" w:themeColor="text1"/>
        </w:rPr>
        <w:t>.</w:t>
      </w:r>
      <w:r w:rsidR="001D5706">
        <w:rPr>
          <w:color w:val="000000" w:themeColor="text1"/>
        </w:rPr>
        <w:t xml:space="preserve"> </w:t>
      </w:r>
      <w:r w:rsidR="001D5706" w:rsidRPr="00F86EDF">
        <w:t>Toyota may use VALS to determine consumer motives. Toyota's reliability, safety, and fuel efficiency may appeal to Thinkers in the US, while Experiencers may prefer the Tacoma and 4Runner</w:t>
      </w:r>
      <w:r w:rsidR="00F86EDF" w:rsidRPr="00F86EDF">
        <w:t xml:space="preserve"> Toyota Motor Corporation, 2026). </w:t>
      </w:r>
      <w:r w:rsidR="001D5706" w:rsidRPr="00F86EDF">
        <w:t>Premium, technologically advanced vehicles may appeal to achievers. Thinkers and Achievers matter in Brazil because dependability, financial stability, prestige, and long-term value affect vehicle choice.</w:t>
      </w:r>
    </w:p>
    <w:p w14:paraId="4676231D" w14:textId="60983F0F" w:rsidR="0016072D" w:rsidRPr="0016072D" w:rsidRDefault="0016072D" w:rsidP="0016072D">
      <w:pPr>
        <w:rPr>
          <w:b/>
          <w:bCs/>
        </w:rPr>
      </w:pPr>
      <w:r w:rsidRPr="0016072D">
        <w:rPr>
          <w:b/>
          <w:bCs/>
        </w:rPr>
        <w:t>Targeting</w:t>
      </w:r>
    </w:p>
    <w:p w14:paraId="2750232D" w14:textId="7F6241D3" w:rsidR="0016072D" w:rsidRDefault="0016072D" w:rsidP="0016072D">
      <w:r>
        <w:t>The targeting of the U.S. for Toyota is wide and sweeping, with the goal of dominating a variety of markets on a high-volume basis. The brand plays to middle-class families who have mid-size crossovers and hybrid sedans (Camry, RAV4), affluent eco-conscious customers with dedicated hybrid and electric models (Prius, bZ4X) and rugged lifestyle buyers with dedicated off-road light trucks (Tacoma, Tundra)</w:t>
      </w:r>
      <w:r w:rsidR="00D61C5A">
        <w:t xml:space="preserve"> </w:t>
      </w:r>
      <w:r w:rsidR="00BF3868" w:rsidRPr="00BF3868">
        <w:t>(</w:t>
      </w:r>
      <w:proofErr w:type="spellStart"/>
      <w:r w:rsidR="00BF3868" w:rsidRPr="00BF3868">
        <w:t>Teles</w:t>
      </w:r>
      <w:proofErr w:type="spellEnd"/>
      <w:r w:rsidR="00BF3868" w:rsidRPr="00BF3868">
        <w:t>, 2026)</w:t>
      </w:r>
      <w:r w:rsidR="00BF3868">
        <w:t>.</w:t>
      </w:r>
      <w:r w:rsidR="001D5706">
        <w:t xml:space="preserve"> </w:t>
      </w:r>
    </w:p>
    <w:p w14:paraId="7B17FD8D" w14:textId="41D1DD6E" w:rsidR="0016072D" w:rsidRDefault="0016072D" w:rsidP="0016072D">
      <w:r>
        <w:t xml:space="preserve">The targeting in Brazil is more targeted with a focus on segments that can afford a premium targeting point. The brand's compact Yaris and Corolla lines are aimed at the urban professionals and small middle-to-upper class families, whilst the very durable locally-manufactured Hilux pickup truck is very much aimed at the affluent agribusiness sector in the agricultural heartlands of the </w:t>
      </w:r>
      <w:proofErr w:type="spellStart"/>
      <w:r>
        <w:t>Center</w:t>
      </w:r>
      <w:proofErr w:type="spellEnd"/>
      <w:r>
        <w:t>-West region of the country</w:t>
      </w:r>
      <w:r w:rsidR="00BF3868">
        <w:t xml:space="preserve"> </w:t>
      </w:r>
      <w:r w:rsidR="00BF3868" w:rsidRPr="00BF3868">
        <w:t>(Liu, 2024)</w:t>
      </w:r>
      <w:r w:rsidR="00763A31">
        <w:t>.</w:t>
      </w:r>
    </w:p>
    <w:p w14:paraId="2B288E64" w14:textId="126FB343" w:rsidR="002645B9" w:rsidRDefault="002645B9" w:rsidP="0016072D">
      <w:r w:rsidRPr="002645B9">
        <w:t>Toyota targets differently in each market. Toyota customises car models, marketing channels, and pricing for multiple consumer categories in the U.S. and Brazil rather than selling a single mass-market product (undifferentiated) or a single niche (concentrated)</w:t>
      </w:r>
      <w:r>
        <w:t xml:space="preserve"> (Tales, 2026).</w:t>
      </w:r>
    </w:p>
    <w:p w14:paraId="249AB9B2" w14:textId="66C76064" w:rsidR="0016072D" w:rsidRPr="0016072D" w:rsidRDefault="0016072D" w:rsidP="0016072D">
      <w:pPr>
        <w:rPr>
          <w:b/>
          <w:bCs/>
        </w:rPr>
      </w:pPr>
      <w:r w:rsidRPr="0016072D">
        <w:rPr>
          <w:b/>
          <w:bCs/>
        </w:rPr>
        <w:t>Positioning</w:t>
      </w:r>
    </w:p>
    <w:p w14:paraId="5350CDFA" w14:textId="5BAD1E3D" w:rsidR="0016072D" w:rsidRDefault="0016072D" w:rsidP="0016072D">
      <w:r>
        <w:t>The positioning is now focusing on technological innovation and the concept of "Mobility for All", reflecting Toyota's strengths in hybrid powertrain technology and its shift towards carbon neutral mobility</w:t>
      </w:r>
      <w:r w:rsidR="00763A31">
        <w:t xml:space="preserve"> </w:t>
      </w:r>
      <w:r w:rsidR="00763A31" w:rsidRPr="00763A31">
        <w:t>(</w:t>
      </w:r>
      <w:proofErr w:type="spellStart"/>
      <w:r w:rsidR="00763A31" w:rsidRPr="00763A31">
        <w:t>Kuraś</w:t>
      </w:r>
      <w:proofErr w:type="spellEnd"/>
      <w:r w:rsidR="00763A31" w:rsidRPr="00763A31">
        <w:t>, 2026)</w:t>
      </w:r>
      <w:r w:rsidR="00763A31">
        <w:t>.</w:t>
      </w:r>
    </w:p>
    <w:p w14:paraId="0A973FED" w14:textId="623CDC31" w:rsidR="00E46F15" w:rsidRDefault="0016072D" w:rsidP="0016072D">
      <w:r>
        <w:t>The brand has a strong legacy of Japanese engineering in order to warrant a price premium over domestic competitors</w:t>
      </w:r>
      <w:r w:rsidR="00DB2828">
        <w:t xml:space="preserve"> </w:t>
      </w:r>
      <w:r w:rsidR="002F236B" w:rsidRPr="002F236B">
        <w:t>(</w:t>
      </w:r>
      <w:proofErr w:type="spellStart"/>
      <w:r w:rsidR="002F236B" w:rsidRPr="002F236B">
        <w:t>Alqarni</w:t>
      </w:r>
      <w:proofErr w:type="spellEnd"/>
      <w:r w:rsidR="002F236B" w:rsidRPr="002F236B">
        <w:t>, 2022)</w:t>
      </w:r>
      <w:r>
        <w:t>. As far as environmental positioning is concerned, Toyota has become the leader and champion of local decarbonization, with its “Flex Hybrid” vehicles being the most convenient, patriotic and soon-to-be green option for the Brazilian driver</w:t>
      </w:r>
      <w:r w:rsidR="00763A31">
        <w:t xml:space="preserve"> </w:t>
      </w:r>
      <w:r w:rsidR="00DB2828" w:rsidRPr="00DB2828">
        <w:t>(Allen, 2020)</w:t>
      </w:r>
      <w:r w:rsidR="00DB2828">
        <w:t>.</w:t>
      </w:r>
    </w:p>
    <w:p w14:paraId="0450C52E" w14:textId="5B7665CC" w:rsidR="002645B9" w:rsidRPr="002645B9" w:rsidRDefault="002645B9" w:rsidP="002645B9">
      <w:pPr>
        <w:rPr>
          <w:b/>
          <w:bCs/>
        </w:rPr>
      </w:pPr>
      <w:r w:rsidRPr="002645B9">
        <w:rPr>
          <w:b/>
          <w:bCs/>
        </w:rPr>
        <w:lastRenderedPageBreak/>
        <w:t>Process: Customer Complaints Handling</w:t>
      </w:r>
    </w:p>
    <w:p w14:paraId="20C4D3A3" w14:textId="682C3167" w:rsidR="002645B9" w:rsidRDefault="002645B9" w:rsidP="002645B9">
      <w:r w:rsidRPr="002645B9">
        <w:rPr>
          <w:b/>
          <w:bCs/>
        </w:rPr>
        <w:t>The US:</w:t>
      </w:r>
      <w:r>
        <w:t xml:space="preserve"> Standards include multichannel digital support, Brand Engagement </w:t>
      </w:r>
      <w:proofErr w:type="spellStart"/>
      <w:r>
        <w:t>Centers</w:t>
      </w:r>
      <w:proofErr w:type="spellEnd"/>
      <w:r>
        <w:t>, worldwide roadside assistance, and NHTSA-compliant safety escalation channels.</w:t>
      </w:r>
    </w:p>
    <w:p w14:paraId="53D82F3F" w14:textId="233A9AD2" w:rsidR="002645B9" w:rsidRDefault="002645B9" w:rsidP="002645B9">
      <w:r w:rsidRPr="002645B9">
        <w:rPr>
          <w:b/>
          <w:bCs/>
        </w:rPr>
        <w:t>Brazil:</w:t>
      </w:r>
      <w:r>
        <w:t xml:space="preserve"> Mostly through local dealership service desks, personalised relationship manager interaction, and regional consumer protection resolution channels (e.g., PROCON compliance).</w:t>
      </w:r>
    </w:p>
    <w:p w14:paraId="54274015" w14:textId="77777777" w:rsidR="00420C07" w:rsidRPr="00420C07" w:rsidRDefault="00420C07" w:rsidP="0016072D">
      <w:pPr>
        <w:rPr>
          <w:b/>
          <w:bCs/>
        </w:rPr>
      </w:pPr>
      <w:r w:rsidRPr="00420C07">
        <w:rPr>
          <w:b/>
          <w:bCs/>
        </w:rPr>
        <w:t>Perceptual Map</w:t>
      </w:r>
    </w:p>
    <w:p w14:paraId="5D077A27" w14:textId="02F38AFA" w:rsidR="00277AB8" w:rsidRDefault="00420C07" w:rsidP="0016072D">
      <w:r w:rsidRPr="00420C07">
        <w:t>To visualize consumer perceptions, this map evaluates brand positioning in the United States market based on two key attributes: Price &amp; Exclusivity (Y-axis) and Sportiness vs. Everyday Utility/Practicality (X-axis).</w:t>
      </w:r>
    </w:p>
    <w:p w14:paraId="1DE23B5F" w14:textId="5F508B3C" w:rsidR="00420C07" w:rsidRDefault="001D5706" w:rsidP="00870A16">
      <w:pPr>
        <w:jc w:val="center"/>
      </w:pPr>
      <w:r>
        <w:rPr>
          <w:noProof/>
        </w:rPr>
        <w:drawing>
          <wp:inline distT="0" distB="0" distL="0" distR="0" wp14:anchorId="68693E3B" wp14:editId="0CD9B820">
            <wp:extent cx="3477260" cy="2827730"/>
            <wp:effectExtent l="0" t="0" r="8890" b="0"/>
            <wp:docPr id="13" name="Picture 13" descr="Perceptual Map: Vehicles Effectiveness | Perceptual Ma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ptual Map: Vehicles Effectiveness | Perceptual Map Templ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85571" cy="2834488"/>
                    </a:xfrm>
                    <a:prstGeom prst="rect">
                      <a:avLst/>
                    </a:prstGeom>
                    <a:noFill/>
                    <a:ln>
                      <a:noFill/>
                    </a:ln>
                  </pic:spPr>
                </pic:pic>
              </a:graphicData>
            </a:graphic>
          </wp:inline>
        </w:drawing>
      </w:r>
    </w:p>
    <w:p w14:paraId="1EECBDAF" w14:textId="17796BA2" w:rsidR="00870A16" w:rsidRDefault="00870A16" w:rsidP="00870A16">
      <w:pPr>
        <w:jc w:val="center"/>
        <w:rPr>
          <w:b/>
          <w:bCs/>
          <w:i/>
          <w:iCs/>
        </w:rPr>
      </w:pPr>
      <w:r w:rsidRPr="00F15B15">
        <w:rPr>
          <w:b/>
          <w:bCs/>
          <w:i/>
          <w:iCs/>
        </w:rPr>
        <w:t>Figure</w:t>
      </w:r>
      <w:r w:rsidR="00A024B1" w:rsidRPr="00F15B15">
        <w:rPr>
          <w:b/>
          <w:bCs/>
          <w:i/>
          <w:iCs/>
        </w:rPr>
        <w:t xml:space="preserve"> </w:t>
      </w:r>
      <w:r w:rsidRPr="00F15B15">
        <w:rPr>
          <w:b/>
          <w:bCs/>
          <w:i/>
          <w:iCs/>
        </w:rPr>
        <w:t>4</w:t>
      </w:r>
      <w:r w:rsidR="00A024B1" w:rsidRPr="00F15B15">
        <w:rPr>
          <w:b/>
          <w:bCs/>
          <w:i/>
          <w:iCs/>
        </w:rPr>
        <w:t>: Perceptual Map: Brand Positioning in the U.S.</w:t>
      </w:r>
      <w:r w:rsidR="00F15B15" w:rsidRPr="00F15B15">
        <w:rPr>
          <w:b/>
          <w:bCs/>
          <w:i/>
          <w:iCs/>
        </w:rPr>
        <w:t xml:space="preserve"> (</w:t>
      </w:r>
      <w:proofErr w:type="spellStart"/>
      <w:r w:rsidR="00F15B15" w:rsidRPr="00F15B15">
        <w:rPr>
          <w:b/>
          <w:bCs/>
          <w:i/>
          <w:iCs/>
        </w:rPr>
        <w:t>Marceli</w:t>
      </w:r>
      <w:proofErr w:type="spellEnd"/>
      <w:r w:rsidR="00F15B15" w:rsidRPr="00F15B15">
        <w:rPr>
          <w:b/>
          <w:bCs/>
          <w:i/>
          <w:iCs/>
        </w:rPr>
        <w:t xml:space="preserve"> Adriane </w:t>
      </w:r>
      <w:proofErr w:type="spellStart"/>
      <w:r w:rsidR="00F15B15" w:rsidRPr="00F15B15">
        <w:rPr>
          <w:b/>
          <w:bCs/>
          <w:i/>
          <w:iCs/>
        </w:rPr>
        <w:t>Schvartz</w:t>
      </w:r>
      <w:proofErr w:type="spellEnd"/>
      <w:r w:rsidR="00F15B15" w:rsidRPr="00F15B15">
        <w:rPr>
          <w:b/>
          <w:bCs/>
          <w:i/>
          <w:iCs/>
        </w:rPr>
        <w:t xml:space="preserve"> et al., 2024)</w:t>
      </w:r>
    </w:p>
    <w:p w14:paraId="2822EEAF" w14:textId="70C74662" w:rsidR="001D5706" w:rsidRPr="001D5706" w:rsidRDefault="001D5706" w:rsidP="00F86EDF">
      <w:r w:rsidRPr="001D5706">
        <w:t>Other nations utilise demographic, regional, and psychographic segmentation, and Toyota emphasises reliability, quality, safety, and technology. The US plan emphasises hybrids, EVs, SUVs, and lifestyle cars and is more diverse. Brazil prioritises price, durability, agricultural demand, and flexible-fuel technologies. Thus, Toyota maintains a worldwide brand while tailoring its marketing to local tastes.</w:t>
      </w:r>
    </w:p>
    <w:p w14:paraId="5EF8E348" w14:textId="77777777" w:rsidR="00E46F15" w:rsidRDefault="00E46F15" w:rsidP="00E46F15">
      <w:pPr>
        <w:pStyle w:val="Heading3"/>
      </w:pPr>
      <w:bookmarkStart w:id="9" w:name="_Toc236778327"/>
      <w:r w:rsidRPr="00E46F15">
        <w:t>The 7Ps Marketing Mix Comparative Analysis</w:t>
      </w:r>
      <w:bookmarkEnd w:id="9"/>
    </w:p>
    <w:p w14:paraId="4B4C2B64" w14:textId="77777777" w:rsidR="00481ADB" w:rsidRDefault="00481ADB" w:rsidP="0016072D">
      <w:r w:rsidRPr="00481ADB">
        <w:t>The execution of Toyota's STP strategies is achieved by adapting the seven pillars of the marketing mix to the economic and cultural realities of each host country.</w:t>
      </w:r>
    </w:p>
    <w:p w14:paraId="54C03413" w14:textId="77777777" w:rsidR="00F9275E" w:rsidRDefault="00F9275E" w:rsidP="00F9275E">
      <w:pPr>
        <w:jc w:val="center"/>
      </w:pPr>
      <w:r>
        <w:rPr>
          <w:noProof/>
        </w:rPr>
        <w:lastRenderedPageBreak/>
        <w:drawing>
          <wp:inline distT="0" distB="0" distL="0" distR="0" wp14:anchorId="7D2A8AB8" wp14:editId="1A58BCF2">
            <wp:extent cx="3748897" cy="2496633"/>
            <wp:effectExtent l="0" t="0" r="0" b="0"/>
            <wp:docPr id="4" name="Picture 4" descr="The 7Ps Digital Marketing Mix for Phar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7Ps Digital Marketing Mix for Pharm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4357" cy="2506929"/>
                    </a:xfrm>
                    <a:prstGeom prst="rect">
                      <a:avLst/>
                    </a:prstGeom>
                    <a:noFill/>
                    <a:ln>
                      <a:noFill/>
                    </a:ln>
                  </pic:spPr>
                </pic:pic>
              </a:graphicData>
            </a:graphic>
          </wp:inline>
        </w:drawing>
      </w:r>
    </w:p>
    <w:p w14:paraId="2DD43ECB" w14:textId="7DC84CF7" w:rsidR="00B73A41" w:rsidRPr="00B73A41" w:rsidRDefault="00F9275E" w:rsidP="00F9275E">
      <w:pPr>
        <w:jc w:val="center"/>
        <w:rPr>
          <w:b/>
          <w:bCs/>
          <w:i/>
          <w:iCs/>
        </w:rPr>
      </w:pPr>
      <w:r w:rsidRPr="00B73A41">
        <w:rPr>
          <w:b/>
          <w:bCs/>
          <w:i/>
          <w:iCs/>
        </w:rPr>
        <w:t xml:space="preserve">Figure </w:t>
      </w:r>
      <w:r w:rsidR="00870A16">
        <w:rPr>
          <w:b/>
          <w:bCs/>
          <w:i/>
          <w:iCs/>
        </w:rPr>
        <w:t>5</w:t>
      </w:r>
      <w:r w:rsidRPr="00B73A41">
        <w:rPr>
          <w:b/>
          <w:bCs/>
          <w:i/>
          <w:iCs/>
        </w:rPr>
        <w:t xml:space="preserve">: </w:t>
      </w:r>
      <w:r w:rsidR="00714B12" w:rsidRPr="00B73A41">
        <w:rPr>
          <w:b/>
          <w:bCs/>
          <w:i/>
          <w:iCs/>
        </w:rPr>
        <w:t xml:space="preserve">Ps of The Marketing Mix </w:t>
      </w:r>
      <w:r w:rsidR="00B73A41" w:rsidRPr="00B73A41">
        <w:rPr>
          <w:b/>
          <w:bCs/>
          <w:i/>
          <w:iCs/>
        </w:rPr>
        <w:t>(Allen, 2020)</w:t>
      </w:r>
    </w:p>
    <w:p w14:paraId="1E193A5D" w14:textId="23256CEE" w:rsidR="00BE1A1E" w:rsidRPr="006A0E7D" w:rsidRDefault="008B4142" w:rsidP="00BE1A1E">
      <w:pPr>
        <w:rPr>
          <w:b/>
          <w:bCs/>
        </w:rPr>
      </w:pPr>
      <w:r w:rsidRPr="008B4142">
        <w:rPr>
          <w:b/>
          <w:bCs/>
        </w:rPr>
        <w:t>Product</w:t>
      </w:r>
    </w:p>
    <w:p w14:paraId="7F370920" w14:textId="7A18C313" w:rsidR="00816F87" w:rsidRPr="00271F05" w:rsidRDefault="00271F05" w:rsidP="00BE1A1E">
      <w:pPr>
        <w:rPr>
          <w:b/>
          <w:bCs/>
        </w:rPr>
      </w:pPr>
      <w:r w:rsidRPr="00271F05">
        <w:rPr>
          <w:b/>
          <w:bCs/>
        </w:rPr>
        <w:t>Product Depth: United States and Brazil</w:t>
      </w:r>
    </w:p>
    <w:p w14:paraId="1E01E893" w14:textId="3390C787" w:rsidR="00275D1D" w:rsidRDefault="00FC2735" w:rsidP="006E45B7">
      <w:r>
        <w:rPr>
          <w:noProof/>
        </w:rPr>
        <w:drawing>
          <wp:anchor distT="0" distB="0" distL="114300" distR="114300" simplePos="0" relativeHeight="251658240" behindDoc="0" locked="0" layoutInCell="1" allowOverlap="1" wp14:anchorId="1CE04812" wp14:editId="65D5DFC6">
            <wp:simplePos x="0" y="0"/>
            <wp:positionH relativeFrom="column">
              <wp:posOffset>3028950</wp:posOffset>
            </wp:positionH>
            <wp:positionV relativeFrom="paragraph">
              <wp:posOffset>1055370</wp:posOffset>
            </wp:positionV>
            <wp:extent cx="2755900" cy="1581150"/>
            <wp:effectExtent l="0" t="0" r="6350" b="0"/>
            <wp:wrapThrough wrapText="bothSides">
              <wp:wrapPolygon edited="0">
                <wp:start x="0" y="0"/>
                <wp:lineTo x="0" y="21340"/>
                <wp:lineTo x="21500" y="21340"/>
                <wp:lineTo x="2150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55900" cy="1581150"/>
                    </a:xfrm>
                    <a:prstGeom prst="rect">
                      <a:avLst/>
                    </a:prstGeom>
                    <a:noFill/>
                  </pic:spPr>
                </pic:pic>
              </a:graphicData>
            </a:graphic>
            <wp14:sizeRelH relativeFrom="margin">
              <wp14:pctWidth>0</wp14:pctWidth>
            </wp14:sizeRelH>
            <wp14:sizeRelV relativeFrom="margin">
              <wp14:pctHeight>0</wp14:pctHeight>
            </wp14:sizeRelV>
          </wp:anchor>
        </w:drawing>
      </w:r>
      <w:r w:rsidR="00275D1D" w:rsidRPr="009320BE">
        <w:t xml:space="preserve">Toyota's US </w:t>
      </w:r>
      <w:proofErr w:type="spellStart"/>
      <w:r w:rsidR="00275D1D" w:rsidRPr="009320BE">
        <w:t>lineup</w:t>
      </w:r>
      <w:proofErr w:type="spellEnd"/>
      <w:r w:rsidR="00275D1D" w:rsidRPr="009320BE">
        <w:t xml:space="preserve"> includes huge, high-performance cars for highway driving, towing, and pleasure. This portfolio comprises mid-size and full-size utility vehicles like the Tacoma and Tundra, multi-row SUVs like the Highlander, Grand Highlander, Sequoia, and 4Runner, and high-efficiency passenger platforms like the Camry HEV, RAV4, and bZ4X electric car</w:t>
      </w:r>
      <w:r w:rsidR="007A5B50">
        <w:t xml:space="preserve"> </w:t>
      </w:r>
      <w:r w:rsidR="006E45B7" w:rsidRPr="006E45B7">
        <w:t>(Justice.gov, 2021)</w:t>
      </w:r>
      <w:r w:rsidR="006E45B7">
        <w:t>.</w:t>
      </w:r>
    </w:p>
    <w:p w14:paraId="5DE5CDA6" w14:textId="5B8D1744" w:rsidR="002B294B" w:rsidRDefault="002B294B" w:rsidP="00275D1D">
      <w:pPr>
        <w:rPr>
          <w:color w:val="4472C4" w:themeColor="accent1"/>
        </w:rPr>
      </w:pPr>
      <w:r>
        <w:rPr>
          <w:noProof/>
          <w:color w:val="4472C4" w:themeColor="accent1"/>
        </w:rPr>
        <w:drawing>
          <wp:inline distT="0" distB="0" distL="0" distR="0" wp14:anchorId="504A9C7F" wp14:editId="4819F4C8">
            <wp:extent cx="2793295" cy="1571228"/>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02498" cy="1576405"/>
                    </a:xfrm>
                    <a:prstGeom prst="rect">
                      <a:avLst/>
                    </a:prstGeom>
                    <a:noFill/>
                  </pic:spPr>
                </pic:pic>
              </a:graphicData>
            </a:graphic>
          </wp:inline>
        </w:drawing>
      </w:r>
    </w:p>
    <w:p w14:paraId="258CE140" w14:textId="2891B21C" w:rsidR="002B294B" w:rsidRPr="00173E03" w:rsidRDefault="004D6B9D" w:rsidP="00173E03">
      <w:pPr>
        <w:jc w:val="center"/>
        <w:rPr>
          <w:b/>
          <w:bCs/>
          <w:i/>
          <w:iCs/>
          <w:color w:val="4472C4" w:themeColor="accent1"/>
        </w:rPr>
      </w:pPr>
      <w:r w:rsidRPr="00173E03">
        <w:rPr>
          <w:b/>
          <w:bCs/>
          <w:i/>
          <w:iCs/>
        </w:rPr>
        <w:t>Image: Toyota</w:t>
      </w:r>
      <w:r w:rsidRPr="00173E03">
        <w:rPr>
          <w:b/>
          <w:bCs/>
          <w:i/>
          <w:iCs/>
          <w:color w:val="4472C4" w:themeColor="accent1"/>
        </w:rPr>
        <w:t xml:space="preserve"> </w:t>
      </w:r>
      <w:r w:rsidRPr="00173E03">
        <w:rPr>
          <w:b/>
          <w:bCs/>
          <w:i/>
          <w:iCs/>
        </w:rPr>
        <w:t xml:space="preserve">Highlander and Sequoia </w:t>
      </w:r>
      <w:r w:rsidR="00173E03" w:rsidRPr="00173E03">
        <w:rPr>
          <w:b/>
          <w:bCs/>
          <w:i/>
          <w:iCs/>
        </w:rPr>
        <w:t>(</w:t>
      </w:r>
      <w:proofErr w:type="spellStart"/>
      <w:r w:rsidR="00173E03" w:rsidRPr="00173E03">
        <w:rPr>
          <w:b/>
          <w:bCs/>
          <w:i/>
          <w:iCs/>
        </w:rPr>
        <w:t>Doell</w:t>
      </w:r>
      <w:proofErr w:type="spellEnd"/>
      <w:r w:rsidR="00173E03" w:rsidRPr="00173E03">
        <w:rPr>
          <w:b/>
          <w:bCs/>
          <w:i/>
          <w:iCs/>
        </w:rPr>
        <w:t>, 2025)</w:t>
      </w:r>
    </w:p>
    <w:p w14:paraId="6A0F68F8" w14:textId="546B618C" w:rsidR="00271F05" w:rsidRPr="009320BE" w:rsidRDefault="00275D1D" w:rsidP="006E45B7">
      <w:r w:rsidRPr="009320BE">
        <w:t>However, Brazil's car catalogue prioritises durability, urban driving, and biofuel compatibility. Yaris hatchback and sedan serve the tiny category, while Corolla sedan serves the mid-size segment</w:t>
      </w:r>
      <w:r w:rsidR="003B0AC1">
        <w:t xml:space="preserve"> </w:t>
      </w:r>
      <w:r w:rsidR="007A5B50" w:rsidRPr="007A5B50">
        <w:t>(Chen, 2023)</w:t>
      </w:r>
      <w:r w:rsidRPr="009320BE">
        <w:t>. Toyota Brazil sells the Corolla Cross, Yaris Cross Popular, and RAV4 Hybrid.</w:t>
      </w:r>
    </w:p>
    <w:p w14:paraId="438827E0" w14:textId="580F7D9A" w:rsidR="00275D1D" w:rsidRPr="009320BE" w:rsidRDefault="006F63A9" w:rsidP="006E45B7">
      <w:pPr>
        <w:rPr>
          <w:b/>
          <w:bCs/>
        </w:rPr>
      </w:pPr>
      <w:r w:rsidRPr="009320BE">
        <w:rPr>
          <w:b/>
          <w:bCs/>
        </w:rPr>
        <w:t>Product Width: Brand Extensions</w:t>
      </w:r>
    </w:p>
    <w:p w14:paraId="26112994" w14:textId="01EC6F3C" w:rsidR="006F63A9" w:rsidRPr="009320BE" w:rsidRDefault="00B13718" w:rsidP="006E45B7">
      <w:r w:rsidRPr="009320BE">
        <w:lastRenderedPageBreak/>
        <w:t>Product width represents Toyota's strategic expansion into diversified, non-automotive sectors, leveraging its manufacturing expertise to develop new business lines</w:t>
      </w:r>
      <w:r w:rsidR="006A0E7D">
        <w:t xml:space="preserve"> (</w:t>
      </w:r>
      <w:proofErr w:type="spellStart"/>
      <w:r w:rsidR="006A0E7D" w:rsidRPr="002F236B">
        <w:t>Anfavea</w:t>
      </w:r>
      <w:proofErr w:type="spellEnd"/>
      <w:r w:rsidR="006A0E7D" w:rsidRPr="002F236B">
        <w:t>, 2026)</w:t>
      </w:r>
      <w:r w:rsidRPr="009320BE">
        <w:t>.</w:t>
      </w:r>
    </w:p>
    <w:p w14:paraId="5B1177E3" w14:textId="641A0CEF" w:rsidR="009320BE" w:rsidRPr="009320BE" w:rsidRDefault="00B13718" w:rsidP="006E45B7">
      <w:r w:rsidRPr="009320BE">
        <w:rPr>
          <w:b/>
          <w:bCs/>
        </w:rPr>
        <w:t>Housing Services (Toyota Housing Corporation):</w:t>
      </w:r>
      <w:r w:rsidRPr="009320BE">
        <w:t xml:space="preserve"> </w:t>
      </w:r>
      <w:r w:rsidR="009320BE" w:rsidRPr="009320BE">
        <w:t>Toyota Housing Corporation, founded in 1975, builds modular, pre-fabricated homes in Japan employing automotive assembly-line production. After building approximately 250,000 homes, the sector expanded into condos, home improvements and customised mortgages</w:t>
      </w:r>
      <w:r w:rsidR="00AC7BFE">
        <w:t xml:space="preserve"> </w:t>
      </w:r>
      <w:r w:rsidR="003B0AC1" w:rsidRPr="003B0AC1">
        <w:t>(</w:t>
      </w:r>
      <w:proofErr w:type="spellStart"/>
      <w:r w:rsidR="003B0AC1" w:rsidRPr="003B0AC1">
        <w:t>Bhattacheryay</w:t>
      </w:r>
      <w:proofErr w:type="spellEnd"/>
      <w:r w:rsidR="003B0AC1" w:rsidRPr="003B0AC1">
        <w:t>, 2021)</w:t>
      </w:r>
      <w:r w:rsidR="003B0AC1">
        <w:t>.</w:t>
      </w:r>
    </w:p>
    <w:p w14:paraId="48312B5D" w14:textId="436182F3" w:rsidR="009320BE" w:rsidRDefault="00FF6924" w:rsidP="00FF6924">
      <w:pPr>
        <w:jc w:val="center"/>
        <w:rPr>
          <w:color w:val="4472C4" w:themeColor="accent1"/>
        </w:rPr>
      </w:pPr>
      <w:r>
        <w:rPr>
          <w:noProof/>
          <w:color w:val="4472C4" w:themeColor="accent1"/>
        </w:rPr>
        <w:drawing>
          <wp:inline distT="0" distB="0" distL="0" distR="0" wp14:anchorId="196E1EB1" wp14:editId="3BDD9EDC">
            <wp:extent cx="4565650" cy="3195955"/>
            <wp:effectExtent l="0" t="0" r="635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68868" cy="3198208"/>
                    </a:xfrm>
                    <a:prstGeom prst="rect">
                      <a:avLst/>
                    </a:prstGeom>
                    <a:noFill/>
                  </pic:spPr>
                </pic:pic>
              </a:graphicData>
            </a:graphic>
          </wp:inline>
        </w:drawing>
      </w:r>
    </w:p>
    <w:p w14:paraId="5BEB4FE9" w14:textId="1A5ABD5E" w:rsidR="00FF6924" w:rsidRPr="00C132CA" w:rsidRDefault="00FF6924" w:rsidP="00C132CA">
      <w:pPr>
        <w:jc w:val="center"/>
        <w:rPr>
          <w:b/>
          <w:bCs/>
          <w:i/>
          <w:iCs/>
        </w:rPr>
      </w:pPr>
      <w:r w:rsidRPr="00C132CA">
        <w:rPr>
          <w:b/>
          <w:bCs/>
          <w:i/>
          <w:iCs/>
        </w:rPr>
        <w:t xml:space="preserve">Image: </w:t>
      </w:r>
      <w:r w:rsidR="0091036A" w:rsidRPr="00C132CA">
        <w:rPr>
          <w:b/>
          <w:bCs/>
          <w:i/>
          <w:iCs/>
        </w:rPr>
        <w:t xml:space="preserve">Toyota housing </w:t>
      </w:r>
      <w:r w:rsidR="00C132CA" w:rsidRPr="00C132CA">
        <w:rPr>
          <w:b/>
          <w:bCs/>
          <w:i/>
          <w:iCs/>
        </w:rPr>
        <w:t>(CORPORATION, 2026)</w:t>
      </w:r>
    </w:p>
    <w:p w14:paraId="2FC31962" w14:textId="7F5FD431" w:rsidR="009320BE" w:rsidRPr="009320BE" w:rsidRDefault="009320BE" w:rsidP="006E45B7">
      <w:r w:rsidRPr="009320BE">
        <w:rPr>
          <w:b/>
          <w:bCs/>
        </w:rPr>
        <w:t>Toyota Marine Services:</w:t>
      </w:r>
      <w:r w:rsidRPr="009320BE">
        <w:t xml:space="preserve"> With its 1998 "Epic" ski boat line, Toyota entered leisure marine. The division introduced the Ponam-31 luxury SUV in 2014</w:t>
      </w:r>
      <w:r w:rsidR="004D4FC7">
        <w:t xml:space="preserve"> </w:t>
      </w:r>
      <w:r w:rsidR="00AC7BFE" w:rsidRPr="00AC7BFE">
        <w:t>(Bennett, 2026)</w:t>
      </w:r>
      <w:r w:rsidR="00AC7BFE">
        <w:t>.</w:t>
      </w:r>
    </w:p>
    <w:p w14:paraId="7678AB1F" w14:textId="7E1FEFF0" w:rsidR="009320BE" w:rsidRPr="009320BE" w:rsidRDefault="009320BE" w:rsidP="006E45B7">
      <w:r w:rsidRPr="009320BE">
        <w:rPr>
          <w:b/>
          <w:bCs/>
        </w:rPr>
        <w:t>Machines to sew:</w:t>
      </w:r>
      <w:r w:rsidRPr="009320BE">
        <w:t xml:space="preserve"> Toyota's home sewing machine division, founded in 1945 by Kiichiro Toyoda, uses the company's textile technology capabilities.</w:t>
      </w:r>
    </w:p>
    <w:p w14:paraId="29DD473F" w14:textId="574AAFA1" w:rsidR="003C3C26" w:rsidRPr="008B4142" w:rsidRDefault="003C3C26" w:rsidP="003C3C26">
      <w:pPr>
        <w:rPr>
          <w:b/>
          <w:bCs/>
        </w:rPr>
      </w:pPr>
      <w:r w:rsidRPr="008B4142">
        <w:rPr>
          <w:b/>
          <w:bCs/>
        </w:rPr>
        <w:t>Price</w:t>
      </w:r>
    </w:p>
    <w:p w14:paraId="72DEBAD9" w14:textId="7F53F655" w:rsidR="003C3C26" w:rsidRDefault="003C3C26" w:rsidP="003C3C26">
      <w:r>
        <w:t>Prices are competitive, value-driven and backed by a huge number of consumers' financing options in the USA. Toyota applies value pricing, which makes the vehicles easily accessible at the entry price for their high-volume sales models such as the Corolla and RAV4</w:t>
      </w:r>
      <w:r w:rsidR="00D13157">
        <w:t xml:space="preserve"> </w:t>
      </w:r>
      <w:r w:rsidR="00D13157" w:rsidRPr="00D13157">
        <w:t>(</w:t>
      </w:r>
      <w:proofErr w:type="spellStart"/>
      <w:r w:rsidR="00D13157" w:rsidRPr="00D13157">
        <w:t>Athayde</w:t>
      </w:r>
      <w:proofErr w:type="spellEnd"/>
      <w:r w:rsidR="00D13157" w:rsidRPr="00D13157">
        <w:t xml:space="preserve"> and Coutinho, 2023)</w:t>
      </w:r>
      <w:r w:rsidR="00D13157">
        <w:t>.</w:t>
      </w:r>
    </w:p>
    <w:p w14:paraId="20E998A4" w14:textId="623D5D2A" w:rsidR="003C3C26" w:rsidRDefault="003C3C26" w:rsidP="003C3C26">
      <w:r>
        <w:t>Toyota has an obvious premium pricing policy in Brazil. Cars cost a lot more than purchased in the United States because of heavy cascading industrial taxes and protectionism of local manufacturing</w:t>
      </w:r>
      <w:r w:rsidR="00D13157">
        <w:t xml:space="preserve"> </w:t>
      </w:r>
      <w:r w:rsidR="00094094" w:rsidRPr="00094094">
        <w:t>(Bennett, 2026)</w:t>
      </w:r>
      <w:r w:rsidR="00094094">
        <w:t>.</w:t>
      </w:r>
    </w:p>
    <w:p w14:paraId="748942E4" w14:textId="41CBF26D" w:rsidR="001D5706" w:rsidRPr="001D5706" w:rsidRDefault="001D5706" w:rsidP="00F86EDF">
      <w:r w:rsidRPr="001D5706">
        <w:lastRenderedPageBreak/>
        <w:t>Toyota's US pricing are affected by manufacturing costs, inflation, interest rates, customer buying power, competition, car demand, and federal/state electric vehicle incentives. Prices in Brazil are more affected by taxes, import charges, local manufacturing costs, exchange-rate changes, financing costs, local-content requirements, and consumer income</w:t>
      </w:r>
      <w:r w:rsidR="00F86EDF">
        <w:t xml:space="preserve"> </w:t>
      </w:r>
      <w:r w:rsidR="00F86EDF" w:rsidRPr="00F86EDF">
        <w:t>Toyota Motor Corporation, 2026)</w:t>
      </w:r>
      <w:r w:rsidRPr="001D5706">
        <w:t>.</w:t>
      </w:r>
    </w:p>
    <w:p w14:paraId="38700378" w14:textId="49148A69" w:rsidR="003C3C26" w:rsidRPr="008B4142" w:rsidRDefault="003C3C26" w:rsidP="003C3C26">
      <w:pPr>
        <w:rPr>
          <w:b/>
          <w:bCs/>
        </w:rPr>
      </w:pPr>
      <w:r w:rsidRPr="008B4142">
        <w:rPr>
          <w:b/>
          <w:bCs/>
        </w:rPr>
        <w:t>Place</w:t>
      </w:r>
    </w:p>
    <w:p w14:paraId="387E75D9" w14:textId="00564E0E" w:rsidR="00FA04DD" w:rsidRDefault="002C7814" w:rsidP="00FA04DD">
      <w:r>
        <w:rPr>
          <w:noProof/>
        </w:rPr>
        <w:drawing>
          <wp:anchor distT="0" distB="0" distL="114300" distR="114300" simplePos="0" relativeHeight="251659264" behindDoc="0" locked="0" layoutInCell="1" allowOverlap="1" wp14:anchorId="191E3305" wp14:editId="7C6F8E5E">
            <wp:simplePos x="0" y="0"/>
            <wp:positionH relativeFrom="column">
              <wp:posOffset>3441700</wp:posOffset>
            </wp:positionH>
            <wp:positionV relativeFrom="paragraph">
              <wp:posOffset>1038225</wp:posOffset>
            </wp:positionV>
            <wp:extent cx="3099435" cy="2007870"/>
            <wp:effectExtent l="0" t="0" r="5715" b="0"/>
            <wp:wrapThrough wrapText="bothSides">
              <wp:wrapPolygon edited="0">
                <wp:start x="0" y="0"/>
                <wp:lineTo x="0" y="21313"/>
                <wp:lineTo x="21507" y="21313"/>
                <wp:lineTo x="21507"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99435" cy="200787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4D6961BD" wp14:editId="0EA02312">
            <wp:simplePos x="0" y="0"/>
            <wp:positionH relativeFrom="column">
              <wp:posOffset>-120650</wp:posOffset>
            </wp:positionH>
            <wp:positionV relativeFrom="paragraph">
              <wp:posOffset>1038225</wp:posOffset>
            </wp:positionV>
            <wp:extent cx="3492500" cy="2008352"/>
            <wp:effectExtent l="0" t="0" r="0" b="0"/>
            <wp:wrapThrough wrapText="bothSides">
              <wp:wrapPolygon edited="0">
                <wp:start x="0" y="0"/>
                <wp:lineTo x="0" y="21313"/>
                <wp:lineTo x="21443" y="21313"/>
                <wp:lineTo x="2144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92500" cy="2008352"/>
                    </a:xfrm>
                    <a:prstGeom prst="rect">
                      <a:avLst/>
                    </a:prstGeom>
                    <a:noFill/>
                  </pic:spPr>
                </pic:pic>
              </a:graphicData>
            </a:graphic>
          </wp:anchor>
        </w:drawing>
      </w:r>
      <w:r w:rsidR="00FA04DD">
        <w:t>US distribution is considerable, with approximately 1,200 independent, sophisticated dealerships</w:t>
      </w:r>
      <w:r w:rsidR="006D5F48">
        <w:t xml:space="preserve"> </w:t>
      </w:r>
      <w:r w:rsidR="008B6C7F" w:rsidRPr="008B6C7F">
        <w:t>(</w:t>
      </w:r>
      <w:proofErr w:type="spellStart"/>
      <w:r w:rsidR="008B6C7F" w:rsidRPr="008B6C7F">
        <w:t>Beugelsdijk</w:t>
      </w:r>
      <w:proofErr w:type="spellEnd"/>
      <w:r w:rsidR="008B6C7F" w:rsidRPr="008B6C7F">
        <w:t xml:space="preserve"> and </w:t>
      </w:r>
      <w:proofErr w:type="spellStart"/>
      <w:r w:rsidR="008B6C7F" w:rsidRPr="008B6C7F">
        <w:t>Welzel</w:t>
      </w:r>
      <w:proofErr w:type="spellEnd"/>
      <w:r w:rsidR="008B6C7F" w:rsidRPr="008B6C7F">
        <w:t>, 2018)</w:t>
      </w:r>
      <w:r w:rsidR="00FA04DD">
        <w:t xml:space="preserve">. Advanced regional parts distribution </w:t>
      </w:r>
      <w:proofErr w:type="spellStart"/>
      <w:r w:rsidR="00FA04DD">
        <w:t>centers</w:t>
      </w:r>
      <w:proofErr w:type="spellEnd"/>
      <w:r w:rsidR="00FA04DD">
        <w:t xml:space="preserve"> and localised production hubs (such as San Antonio for trucks or Kentucky for mid-sized automobiles) speed up supply chain reaction and cut travel times.</w:t>
      </w:r>
    </w:p>
    <w:p w14:paraId="7FCB573D" w14:textId="1AF22199" w:rsidR="002C7814" w:rsidRPr="002C7814" w:rsidRDefault="002C7814" w:rsidP="002C7814">
      <w:pPr>
        <w:jc w:val="center"/>
        <w:rPr>
          <w:b/>
          <w:bCs/>
          <w:i/>
          <w:iCs/>
        </w:rPr>
      </w:pPr>
      <w:r w:rsidRPr="002C7814">
        <w:rPr>
          <w:b/>
          <w:bCs/>
          <w:i/>
          <w:iCs/>
        </w:rPr>
        <w:t>Image: Toyota USA and Brazil Showrooms (</w:t>
      </w:r>
      <w:proofErr w:type="spellStart"/>
      <w:r w:rsidRPr="002C7814">
        <w:rPr>
          <w:b/>
          <w:bCs/>
          <w:i/>
          <w:iCs/>
        </w:rPr>
        <w:t>ABGi</w:t>
      </w:r>
      <w:proofErr w:type="spellEnd"/>
      <w:r w:rsidRPr="002C7814">
        <w:rPr>
          <w:b/>
          <w:bCs/>
          <w:i/>
          <w:iCs/>
        </w:rPr>
        <w:t xml:space="preserve">, 2024; </w:t>
      </w:r>
      <w:proofErr w:type="spellStart"/>
      <w:r w:rsidRPr="002C7814">
        <w:rPr>
          <w:b/>
          <w:bCs/>
          <w:i/>
          <w:iCs/>
        </w:rPr>
        <w:t>Nikbin</w:t>
      </w:r>
      <w:proofErr w:type="spellEnd"/>
      <w:r w:rsidRPr="002C7814">
        <w:rPr>
          <w:b/>
          <w:bCs/>
          <w:i/>
          <w:iCs/>
        </w:rPr>
        <w:t xml:space="preserve"> et al., 2021)</w:t>
      </w:r>
    </w:p>
    <w:p w14:paraId="2D805360" w14:textId="618F92B3" w:rsidR="003C3C26" w:rsidRDefault="00FA04DD" w:rsidP="00FA04DD">
      <w:r>
        <w:t xml:space="preserve">Toyota's Brazilian distribution is crucial. Toyota will close its São Bernardo do Campo facility in 2023 and stop manufacture at its </w:t>
      </w:r>
      <w:proofErr w:type="spellStart"/>
      <w:r>
        <w:t>Indaiatuba</w:t>
      </w:r>
      <w:proofErr w:type="spellEnd"/>
      <w:r>
        <w:t xml:space="preserve"> plant by mid-2026. Vehicle assembly will move to a larger industrial complex in Sorocaba, São Paulo.</w:t>
      </w:r>
    </w:p>
    <w:p w14:paraId="5E1ACD68" w14:textId="63878C50" w:rsidR="003C3C26" w:rsidRPr="008B4142" w:rsidRDefault="003C3C26" w:rsidP="003C3C26">
      <w:pPr>
        <w:rPr>
          <w:b/>
          <w:bCs/>
        </w:rPr>
      </w:pPr>
      <w:r w:rsidRPr="008B4142">
        <w:rPr>
          <w:b/>
          <w:bCs/>
        </w:rPr>
        <w:t>Promotion</w:t>
      </w:r>
    </w:p>
    <w:p w14:paraId="2F3962A3" w14:textId="01C2A10D" w:rsidR="00027608" w:rsidRPr="00AA6126" w:rsidRDefault="00715419" w:rsidP="00FD0A30">
      <w:r w:rsidRPr="00AA6126">
        <w:rPr>
          <w:b/>
          <w:bCs/>
        </w:rPr>
        <w:t>United States Promotional Tactics:</w:t>
      </w:r>
      <w:r w:rsidRPr="00AA6126">
        <w:t xml:space="preserve"> </w:t>
      </w:r>
      <w:r w:rsidR="00027608" w:rsidRPr="00AA6126">
        <w:t>High-budget mass-media advertising, targeted internet efforts, and sports sponsorships dominate US promotions. At key events like the Super Bowl, the business airs powerful TV ads and runs targeted digital media campaigns on YouTube, Instagram, and Pinterest</w:t>
      </w:r>
      <w:r w:rsidR="00330DDE">
        <w:t xml:space="preserve"> </w:t>
      </w:r>
      <w:r w:rsidR="00FD0A30" w:rsidRPr="00FD0A30">
        <w:t>(</w:t>
      </w:r>
      <w:proofErr w:type="spellStart"/>
      <w:r w:rsidR="00FD0A30" w:rsidRPr="00FD0A30">
        <w:t>Doell</w:t>
      </w:r>
      <w:proofErr w:type="spellEnd"/>
      <w:r w:rsidR="00FD0A30" w:rsidRPr="00FD0A30">
        <w:t>, 2025)</w:t>
      </w:r>
      <w:r w:rsidR="00FD0A30">
        <w:t>.</w:t>
      </w:r>
    </w:p>
    <w:p w14:paraId="574C0137" w14:textId="4F64930E" w:rsidR="00715419" w:rsidRPr="00AA6126" w:rsidRDefault="00027608" w:rsidP="00FD0A30">
      <w:r w:rsidRPr="00AA6126">
        <w:rPr>
          <w:b/>
          <w:bCs/>
        </w:rPr>
        <w:t>Brazilian Promotional Strategies:</w:t>
      </w:r>
      <w:r w:rsidRPr="00AA6126">
        <w:t xml:space="preserve"> </w:t>
      </w:r>
      <w:r w:rsidR="006A0E7D" w:rsidRPr="006A0E7D">
        <w:t xml:space="preserve">Brazilian advertisements stress direct interactions, localised community activities, and industrial alliances. To attract agricultural buyers, Toyota promotes its Hilux utility vehicle </w:t>
      </w:r>
      <w:proofErr w:type="spellStart"/>
      <w:r w:rsidR="006A0E7D" w:rsidRPr="006A0E7D">
        <w:t>lineup</w:t>
      </w:r>
      <w:proofErr w:type="spellEnd"/>
      <w:r w:rsidR="006A0E7D" w:rsidRPr="006A0E7D">
        <w:t xml:space="preserve"> at regional trade shows like </w:t>
      </w:r>
      <w:proofErr w:type="spellStart"/>
      <w:r w:rsidR="006A0E7D" w:rsidRPr="006A0E7D">
        <w:t>Agrishow</w:t>
      </w:r>
      <w:proofErr w:type="spellEnd"/>
      <w:r w:rsidR="006A0E7D" w:rsidRPr="006A0E7D">
        <w:t xml:space="preserve"> in </w:t>
      </w:r>
      <w:proofErr w:type="spellStart"/>
      <w:r w:rsidR="006A0E7D" w:rsidRPr="006A0E7D">
        <w:t>Ribeirão</w:t>
      </w:r>
      <w:proofErr w:type="spellEnd"/>
      <w:r w:rsidR="006A0E7D" w:rsidRPr="006A0E7D">
        <w:t xml:space="preserve"> Preto, São Paulo (CORPORATION, 2026).</w:t>
      </w:r>
    </w:p>
    <w:p w14:paraId="3643414F" w14:textId="0E2C6409" w:rsidR="00203E71" w:rsidRDefault="00203E71" w:rsidP="00203E71">
      <w:pPr>
        <w:pStyle w:val="Heading3"/>
      </w:pPr>
      <w:bookmarkStart w:id="10" w:name="_Toc236778328"/>
      <w:r w:rsidRPr="00203E71">
        <w:lastRenderedPageBreak/>
        <w:t>IMC Campaigns</w:t>
      </w:r>
      <w:bookmarkEnd w:id="10"/>
    </w:p>
    <w:p w14:paraId="5C9E4478" w14:textId="729787A3" w:rsidR="006946DF" w:rsidRDefault="00FA7B27" w:rsidP="006946DF">
      <w:r w:rsidRPr="00FA7B27">
        <w:t>Integrated Marketing Communications (IMC) is a strategic methodology that amalgamates and synchronises diverse marketing channels and messaging to enhance the efficacy of marketing initiatives</w:t>
      </w:r>
      <w:r w:rsidR="00FD0A30">
        <w:t xml:space="preserve"> </w:t>
      </w:r>
      <w:r w:rsidR="0087303B" w:rsidRPr="0087303B">
        <w:t>(Allen, 2020)</w:t>
      </w:r>
      <w:r w:rsidRPr="00FA7B27">
        <w:t>.</w:t>
      </w:r>
    </w:p>
    <w:p w14:paraId="06D17B8A" w14:textId="3EB5A53B" w:rsidR="00203E71" w:rsidRPr="00FA7B27" w:rsidRDefault="006946DF" w:rsidP="006946DF">
      <w:pPr>
        <w:rPr>
          <w:b/>
          <w:bCs/>
        </w:rPr>
      </w:pPr>
      <w:r w:rsidRPr="00FA7B27">
        <w:rPr>
          <w:b/>
          <w:bCs/>
        </w:rPr>
        <w:t>Global Campaign: "Start Your Impossible"</w:t>
      </w:r>
    </w:p>
    <w:p w14:paraId="78365715" w14:textId="05F978BB" w:rsidR="00FA7B27" w:rsidRDefault="00E54FAF" w:rsidP="006946DF">
      <w:r w:rsidRPr="00E54FAF">
        <w:t>The worldwide "Start Your Impossible" initiative illustrates Toyota's evolution from an automobile producer to a committed mobility service provider.</w:t>
      </w:r>
    </w:p>
    <w:p w14:paraId="6ADABA8E" w14:textId="118AA36C" w:rsidR="00E54FAF" w:rsidRDefault="0054088D" w:rsidP="0054088D">
      <w:pPr>
        <w:jc w:val="center"/>
      </w:pPr>
      <w:r>
        <w:rPr>
          <w:noProof/>
        </w:rPr>
        <w:drawing>
          <wp:inline distT="0" distB="0" distL="0" distR="0" wp14:anchorId="7446FD70" wp14:editId="778C0296">
            <wp:extent cx="4894579" cy="1835467"/>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09694" cy="1841135"/>
                    </a:xfrm>
                    <a:prstGeom prst="rect">
                      <a:avLst/>
                    </a:prstGeom>
                    <a:noFill/>
                  </pic:spPr>
                </pic:pic>
              </a:graphicData>
            </a:graphic>
          </wp:inline>
        </w:drawing>
      </w:r>
    </w:p>
    <w:p w14:paraId="72BF6BB8" w14:textId="1691A765" w:rsidR="0054088D" w:rsidRPr="00B57396" w:rsidRDefault="004D750C" w:rsidP="0054088D">
      <w:pPr>
        <w:jc w:val="center"/>
        <w:rPr>
          <w:b/>
          <w:bCs/>
          <w:i/>
          <w:iCs/>
        </w:rPr>
      </w:pPr>
      <w:r w:rsidRPr="00B57396">
        <w:rPr>
          <w:b/>
          <w:bCs/>
          <w:i/>
          <w:iCs/>
        </w:rPr>
        <w:t xml:space="preserve">Image: </w:t>
      </w:r>
      <w:r w:rsidR="001F7347" w:rsidRPr="00B57396">
        <w:rPr>
          <w:b/>
          <w:bCs/>
          <w:i/>
          <w:iCs/>
        </w:rPr>
        <w:t xml:space="preserve">"Start Your Impossible" Global Campaign </w:t>
      </w:r>
      <w:r w:rsidR="00B57396" w:rsidRPr="00B57396">
        <w:rPr>
          <w:b/>
          <w:bCs/>
          <w:i/>
          <w:iCs/>
        </w:rPr>
        <w:t>(CORPORATION, 2018)</w:t>
      </w:r>
    </w:p>
    <w:p w14:paraId="71362DCC" w14:textId="751BFDA9" w:rsidR="00B57396" w:rsidRDefault="00C1453D" w:rsidP="00523DED">
      <w:r w:rsidRPr="00C1453D">
        <w:t>The promotional mix coordinates several elements:</w:t>
      </w:r>
    </w:p>
    <w:p w14:paraId="12D36E52" w14:textId="68A04173" w:rsidR="00ED74A1" w:rsidRDefault="00ED74A1" w:rsidP="00ED74A1">
      <w:r w:rsidRPr="00E0056B">
        <w:rPr>
          <w:b/>
          <w:bCs/>
        </w:rPr>
        <w:t>Television Broadcasting:</w:t>
      </w:r>
      <w:r w:rsidR="00E0056B">
        <w:t xml:space="preserve"> </w:t>
      </w:r>
      <w:r w:rsidR="00FA29E1" w:rsidRPr="00FA29E1">
        <w:t>The emotionally moving "Send Off" and "Together Wins," displayed internationally in 60-, 30-, and 15-second ads, emphasised athletic dedication and community support above product features (</w:t>
      </w:r>
      <w:proofErr w:type="spellStart"/>
      <w:r w:rsidR="00FA29E1" w:rsidRPr="00FA29E1">
        <w:t>Alqarni</w:t>
      </w:r>
      <w:proofErr w:type="spellEnd"/>
      <w:r w:rsidR="00FA29E1" w:rsidRPr="00FA29E1">
        <w:t>, 2022).</w:t>
      </w:r>
    </w:p>
    <w:p w14:paraId="62E2A261" w14:textId="557633BA" w:rsidR="00ED74A1" w:rsidRDefault="00ED74A1" w:rsidP="00ED74A1">
      <w:r w:rsidRPr="00E0056B">
        <w:rPr>
          <w:b/>
          <w:bCs/>
        </w:rPr>
        <w:t>Digital Communication Platforms:</w:t>
      </w:r>
      <w:r w:rsidR="00E0056B">
        <w:t xml:space="preserve"> </w:t>
      </w:r>
      <w:r>
        <w:t>The initiative employed focused social media material, engaging online platforms, and narrative techniques tailored to various platforms.</w:t>
      </w:r>
    </w:p>
    <w:p w14:paraId="08BA049C" w14:textId="45F51A97" w:rsidR="00C1453D" w:rsidRDefault="00ED74A1" w:rsidP="00ED74A1">
      <w:r w:rsidRPr="00E0056B">
        <w:rPr>
          <w:b/>
          <w:bCs/>
        </w:rPr>
        <w:t>Public Relations and Athlete Representation:</w:t>
      </w:r>
      <w:r w:rsidR="00E0056B">
        <w:t xml:space="preserve"> </w:t>
      </w:r>
      <w:r w:rsidR="00316B6E" w:rsidRPr="00316B6E">
        <w:t>Toyota worked with over 200 Olympic and Paralympic athletes, including British double Paralympian champion Jonnie Peacock and Pakistani Olympian Arshad Nadeem, to promote universal mobility and resilience (Arvidsson and Arvidsson, 2020).</w:t>
      </w:r>
    </w:p>
    <w:p w14:paraId="4EF4A150" w14:textId="785D7CAB" w:rsidR="00AA6126" w:rsidRPr="00AA6126" w:rsidRDefault="00AA6126" w:rsidP="00ED74A1">
      <w:pPr>
        <w:rPr>
          <w:b/>
          <w:bCs/>
        </w:rPr>
      </w:pPr>
      <w:r w:rsidRPr="00AA6126">
        <w:rPr>
          <w:b/>
          <w:bCs/>
        </w:rPr>
        <w:t>Localized Campaign: "Sugarcane Biofuel"</w:t>
      </w:r>
    </w:p>
    <w:p w14:paraId="39D18C25" w14:textId="3B24F047" w:rsidR="00AA6126" w:rsidRDefault="005F13BD" w:rsidP="00ED74A1">
      <w:r w:rsidRPr="005F13BD">
        <w:t>This campaign integrated multiple promotional channels:</w:t>
      </w:r>
    </w:p>
    <w:p w14:paraId="1B0B44F5" w14:textId="606C8BCE" w:rsidR="00631A82" w:rsidRDefault="00631A82" w:rsidP="00631A82">
      <w:r w:rsidRPr="00631A82">
        <w:rPr>
          <w:b/>
          <w:bCs/>
        </w:rPr>
        <w:t>Experienced Demonstrations:</w:t>
      </w:r>
      <w:r>
        <w:t xml:space="preserve"> Toyota displayed its flex-hybrid production models and a biomethane-powered Hilux prototype at the biennial </w:t>
      </w:r>
      <w:proofErr w:type="spellStart"/>
      <w:r>
        <w:t>Agrishow</w:t>
      </w:r>
      <w:proofErr w:type="spellEnd"/>
      <w:r>
        <w:t xml:space="preserve"> in a 1,700-square-meter booth</w:t>
      </w:r>
      <w:r w:rsidR="00F4652B">
        <w:t xml:space="preserve"> </w:t>
      </w:r>
      <w:r w:rsidR="004D4FC7" w:rsidRPr="004D4FC7">
        <w:t>(</w:t>
      </w:r>
      <w:proofErr w:type="spellStart"/>
      <w:r w:rsidR="004D4FC7" w:rsidRPr="004D4FC7">
        <w:t>Athayde</w:t>
      </w:r>
      <w:proofErr w:type="spellEnd"/>
      <w:r w:rsidR="004D4FC7" w:rsidRPr="004D4FC7">
        <w:t xml:space="preserve"> and Coutinho, 2023)</w:t>
      </w:r>
      <w:r>
        <w:t>.</w:t>
      </w:r>
    </w:p>
    <w:p w14:paraId="0B85EB2D" w14:textId="77770D13" w:rsidR="00631A82" w:rsidRDefault="00631A82" w:rsidP="00631A82">
      <w:r w:rsidRPr="00631A82">
        <w:rPr>
          <w:b/>
          <w:bCs/>
        </w:rPr>
        <w:lastRenderedPageBreak/>
        <w:t>Combined marketing and PR:</w:t>
      </w:r>
      <w:r>
        <w:t xml:space="preserve"> </w:t>
      </w:r>
      <w:r w:rsidR="00AF0D72" w:rsidRPr="00AF0D72">
        <w:t xml:space="preserve">Flex-hybrid cars powered by sugarcane ethanol emit 90% less lifetime carbon than petrol, according to Toyota do </w:t>
      </w:r>
      <w:proofErr w:type="spellStart"/>
      <w:r w:rsidR="00AF0D72" w:rsidRPr="00AF0D72">
        <w:t>Brasil</w:t>
      </w:r>
      <w:proofErr w:type="spellEnd"/>
      <w:r w:rsidR="00AF0D72" w:rsidRPr="00AF0D72">
        <w:t xml:space="preserve"> and UNICA research (</w:t>
      </w:r>
      <w:proofErr w:type="spellStart"/>
      <w:r w:rsidR="00AF0D72" w:rsidRPr="00AF0D72">
        <w:t>Bhattacheryay</w:t>
      </w:r>
      <w:proofErr w:type="spellEnd"/>
      <w:r w:rsidR="00AF0D72" w:rsidRPr="00AF0D72">
        <w:t>, 2021).</w:t>
      </w:r>
    </w:p>
    <w:p w14:paraId="3197921D" w14:textId="79788E51" w:rsidR="005F13BD" w:rsidRDefault="00631A82" w:rsidP="00631A82">
      <w:r w:rsidRPr="00631A82">
        <w:rPr>
          <w:b/>
          <w:bCs/>
        </w:rPr>
        <w:t>Targeted Media:</w:t>
      </w:r>
      <w:r>
        <w:t xml:space="preserve"> Localised advertising campaigns like "Hybrids" were run in regional print, agricultural radio, and internet media.</w:t>
      </w:r>
    </w:p>
    <w:p w14:paraId="5881FF04" w14:textId="14EB1D85" w:rsidR="003C3C26" w:rsidRPr="008B4142" w:rsidRDefault="003C3C26" w:rsidP="003C3C26">
      <w:pPr>
        <w:rPr>
          <w:b/>
          <w:bCs/>
        </w:rPr>
      </w:pPr>
      <w:r w:rsidRPr="008B4142">
        <w:rPr>
          <w:b/>
          <w:bCs/>
        </w:rPr>
        <w:t>People</w:t>
      </w:r>
    </w:p>
    <w:p w14:paraId="0B9615F2" w14:textId="487A1A38" w:rsidR="00275FAB" w:rsidRDefault="00275FAB" w:rsidP="00275FAB">
      <w:r>
        <w:t>The U.S. and Brazil both value "People," yet their implementations differ. Toyota trains its highly professionalised dealer sales staff and service personnel to provide an integrated, friction-free, low-uncertainty, high-individualism customer experience in the U.S</w:t>
      </w:r>
      <w:r w:rsidR="00756020">
        <w:t xml:space="preserve"> </w:t>
      </w:r>
      <w:r w:rsidR="00756020" w:rsidRPr="00756020">
        <w:t>(Business Research Methodology, 2023)</w:t>
      </w:r>
      <w:r>
        <w:t>.</w:t>
      </w:r>
    </w:p>
    <w:p w14:paraId="2CBE1FF6" w14:textId="17D49B8A" w:rsidR="003C3C26" w:rsidRDefault="00275FAB" w:rsidP="00275FAB">
      <w:r>
        <w:t>In Brazil, collectivism and connection are vital, and customer-relationship staff engagement is crucial to selling. The dealership staff is taught to build trust and long-term relationships with consumers.</w:t>
      </w:r>
    </w:p>
    <w:p w14:paraId="7AB72919" w14:textId="79652EBE" w:rsidR="003C3C26" w:rsidRPr="008B4142" w:rsidRDefault="003C3C26" w:rsidP="003C3C26">
      <w:pPr>
        <w:rPr>
          <w:b/>
          <w:bCs/>
        </w:rPr>
      </w:pPr>
      <w:r w:rsidRPr="008B4142">
        <w:rPr>
          <w:b/>
          <w:bCs/>
        </w:rPr>
        <w:t>Process</w:t>
      </w:r>
    </w:p>
    <w:p w14:paraId="6B04B59B" w14:textId="1251977F" w:rsidR="001112D4" w:rsidRDefault="001112D4" w:rsidP="001112D4">
      <w:r>
        <w:t>Kaizen and "just in time" delivery underpin the Toyota Production System, which controls global production and service. Toyota is investing over $5 billion in advanced manufacturing automation, giga-casting, and AI-enabled quality control to save US vehicle assembly man-hours by 20% to counteract labour price increases on operating margins (Chen, 2023).</w:t>
      </w:r>
    </w:p>
    <w:p w14:paraId="4AAA288E" w14:textId="337FC625" w:rsidR="003C3C26" w:rsidRDefault="001112D4" w:rsidP="001112D4">
      <w:r>
        <w:t xml:space="preserve">The TPS is well built for Brazilian sourcing and delivery. Two production lines one for engines in Porto </w:t>
      </w:r>
      <w:proofErr w:type="spellStart"/>
      <w:r>
        <w:t>Feliz</w:t>
      </w:r>
      <w:proofErr w:type="spellEnd"/>
      <w:r>
        <w:t xml:space="preserve"> and one for batteries in Sorocaba are integrated to boost local content and earn tax incentive parameters from the national government's MOVER program (EWG, 2021).</w:t>
      </w:r>
    </w:p>
    <w:p w14:paraId="21DA861F" w14:textId="4AF3DF30" w:rsidR="003C3C26" w:rsidRPr="008B4142" w:rsidRDefault="003C3C26" w:rsidP="003C3C26">
      <w:pPr>
        <w:rPr>
          <w:b/>
          <w:bCs/>
        </w:rPr>
      </w:pPr>
      <w:r w:rsidRPr="008B4142">
        <w:rPr>
          <w:b/>
          <w:bCs/>
        </w:rPr>
        <w:t>Physical Evidence</w:t>
      </w:r>
    </w:p>
    <w:p w14:paraId="68C1FE6A" w14:textId="5F2DA140" w:rsidR="003C3C26" w:rsidRDefault="003C3C26" w:rsidP="003C3C26">
      <w:r>
        <w:t>The physical brand imagery in the USA is well translated into sleek, digitally enabled dealership showrooms that contain interactive vehicle configurators, comfy customer lounges and a very clear service bay</w:t>
      </w:r>
      <w:r w:rsidR="000E18EC">
        <w:t xml:space="preserve"> </w:t>
      </w:r>
      <w:r w:rsidR="00C53D26" w:rsidRPr="00C53D26">
        <w:t>(</w:t>
      </w:r>
      <w:proofErr w:type="spellStart"/>
      <w:r w:rsidR="00C53D26" w:rsidRPr="00C53D26">
        <w:t>Hollensen</w:t>
      </w:r>
      <w:proofErr w:type="spellEnd"/>
      <w:r w:rsidR="00C53D26" w:rsidRPr="00C53D26">
        <w:t>, 2024)</w:t>
      </w:r>
      <w:r w:rsidR="001112D4">
        <w:t>.</w:t>
      </w:r>
    </w:p>
    <w:p w14:paraId="7482C0FD" w14:textId="2EB52720" w:rsidR="008B4142" w:rsidRDefault="003C3C26" w:rsidP="003C3C26">
      <w:r>
        <w:t>In Brazil, Toyota dealerships are built to create a high class, premium atmosphere and confirm the status of high PDI buyers. The “Flex Hybrid” Powertrain is prominently displayed at the dealerships, and physical awards for environmental sustainability are prominently displayed.</w:t>
      </w:r>
    </w:p>
    <w:p w14:paraId="76AABC01" w14:textId="6CF81D28" w:rsidR="001D5706" w:rsidRDefault="001D5706" w:rsidP="001D5706">
      <w:pPr>
        <w:jc w:val="center"/>
      </w:pPr>
      <w:r w:rsidRPr="001D5706">
        <w:rPr>
          <w:noProof/>
        </w:rPr>
        <w:lastRenderedPageBreak/>
        <w:drawing>
          <wp:inline distT="0" distB="0" distL="0" distR="0" wp14:anchorId="05836891" wp14:editId="6601E50E">
            <wp:extent cx="4264660" cy="2456455"/>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66438" cy="2457479"/>
                    </a:xfrm>
                    <a:prstGeom prst="rect">
                      <a:avLst/>
                    </a:prstGeom>
                  </pic:spPr>
                </pic:pic>
              </a:graphicData>
            </a:graphic>
          </wp:inline>
        </w:drawing>
      </w:r>
    </w:p>
    <w:p w14:paraId="279D0390" w14:textId="77777777" w:rsidR="00F5736A" w:rsidRDefault="00F5736A" w:rsidP="00F5736A">
      <w:pPr>
        <w:pStyle w:val="Heading2"/>
      </w:pPr>
      <w:bookmarkStart w:id="11" w:name="_Toc236778329"/>
      <w:r>
        <w:t xml:space="preserve">c. </w:t>
      </w:r>
      <w:r w:rsidRPr="00F5736A">
        <w:t>Analysis of Market Entry Methods</w:t>
      </w:r>
      <w:bookmarkEnd w:id="11"/>
    </w:p>
    <w:p w14:paraId="456BEE91" w14:textId="58AC1B86" w:rsidR="00E763A2" w:rsidRDefault="00E763A2" w:rsidP="00E763A2">
      <w:pPr>
        <w:pStyle w:val="Heading3"/>
      </w:pPr>
      <w:bookmarkStart w:id="12" w:name="_Toc236778330"/>
      <w:r w:rsidRPr="00E763A2">
        <w:t>The Uppsala Internationalization Model</w:t>
      </w:r>
      <w:bookmarkEnd w:id="12"/>
    </w:p>
    <w:p w14:paraId="74DF2929" w14:textId="262252C4" w:rsidR="00147B8C" w:rsidRPr="00147B8C" w:rsidRDefault="006D704E" w:rsidP="00147B8C">
      <w:r w:rsidRPr="006D704E">
        <w:t>The Uppsala internationalization model (</w:t>
      </w:r>
      <w:proofErr w:type="spellStart"/>
      <w:r w:rsidRPr="006D704E">
        <w:t>Johanson</w:t>
      </w:r>
      <w:proofErr w:type="spellEnd"/>
      <w:r w:rsidRPr="006D704E">
        <w:t xml:space="preserve"> and Vahlne) suggests that the internationalization of firms is a slow and incremental process.</w:t>
      </w:r>
    </w:p>
    <w:p w14:paraId="25BDD2A8" w14:textId="77777777" w:rsidR="00DE2423" w:rsidRDefault="00DE2423" w:rsidP="00DE2423">
      <w:pPr>
        <w:jc w:val="center"/>
      </w:pPr>
      <w:r>
        <w:rPr>
          <w:noProof/>
        </w:rPr>
        <w:drawing>
          <wp:inline distT="0" distB="0" distL="0" distR="0" wp14:anchorId="3C884FD5" wp14:editId="099F9993">
            <wp:extent cx="4070350" cy="2338620"/>
            <wp:effectExtent l="0" t="0" r="6350" b="5080"/>
            <wp:docPr id="5" name="Picture 5" descr="Uppsala Model of Internationalisation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ppsala Model of Internationalisation - Research-Methodolog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72921" cy="2340097"/>
                    </a:xfrm>
                    <a:prstGeom prst="rect">
                      <a:avLst/>
                    </a:prstGeom>
                    <a:noFill/>
                    <a:ln>
                      <a:noFill/>
                    </a:ln>
                  </pic:spPr>
                </pic:pic>
              </a:graphicData>
            </a:graphic>
          </wp:inline>
        </w:drawing>
      </w:r>
    </w:p>
    <w:p w14:paraId="259974BE" w14:textId="77777777" w:rsidR="00BF60A2" w:rsidRDefault="00DE2423" w:rsidP="00DE2423">
      <w:pPr>
        <w:jc w:val="center"/>
        <w:rPr>
          <w:b/>
          <w:bCs/>
          <w:i/>
          <w:iCs/>
        </w:rPr>
      </w:pPr>
      <w:r w:rsidRPr="00BF60A2">
        <w:rPr>
          <w:b/>
          <w:bCs/>
          <w:i/>
          <w:iCs/>
        </w:rPr>
        <w:t xml:space="preserve">Figure 5: </w:t>
      </w:r>
      <w:r w:rsidR="0011186B" w:rsidRPr="00BF60A2">
        <w:rPr>
          <w:b/>
          <w:bCs/>
          <w:i/>
          <w:iCs/>
        </w:rPr>
        <w:t xml:space="preserve">Uppsala Model of Internationalisation </w:t>
      </w:r>
      <w:r w:rsidR="00BF60A2" w:rsidRPr="00BF60A2">
        <w:rPr>
          <w:b/>
          <w:bCs/>
          <w:i/>
          <w:iCs/>
        </w:rPr>
        <w:t>(Arvidsson and Arvidsson, 2020)</w:t>
      </w:r>
    </w:p>
    <w:p w14:paraId="0C39A652" w14:textId="149B6B31" w:rsidR="00B95E60" w:rsidRDefault="00B95E60" w:rsidP="00BF60A2">
      <w:r w:rsidRPr="00B95E60">
        <w:t>The static state aspects relate to the dynamic change aspects in a recursive loop. Market knowledge is important, especially practical knowledge gained from conducting business abroad. As a company continues to conduct business, it brings in new local information; this information systematically lowers uncertainty, and then leads to additional investment decisions with more risk</w:t>
      </w:r>
      <w:r w:rsidR="009F22D8">
        <w:t xml:space="preserve"> </w:t>
      </w:r>
      <w:r w:rsidR="009F22D8" w:rsidRPr="009F22D8">
        <w:t>(Arvidsson and Arvidsson, 2020)</w:t>
      </w:r>
      <w:r w:rsidR="009F22D8">
        <w:t>.</w:t>
      </w:r>
    </w:p>
    <w:p w14:paraId="4136D5BC" w14:textId="73B915E1" w:rsidR="00B95E60" w:rsidRDefault="00B95E60" w:rsidP="00B95E60">
      <w:r w:rsidRPr="00B95E60">
        <w:rPr>
          <w:b/>
          <w:bCs/>
        </w:rPr>
        <w:t>Stage 1: Irregular Export:</w:t>
      </w:r>
      <w:r>
        <w:t xml:space="preserve"> Toyota began low-risk, intermittent exports of fully engineered Land Cruisers to South America in the early 1950s to see how tough its cars are on the local road surfaces</w:t>
      </w:r>
      <w:r w:rsidR="009F22D8">
        <w:t xml:space="preserve"> </w:t>
      </w:r>
      <w:r w:rsidR="008732BD" w:rsidRPr="008732BD">
        <w:t>(Vieira do Nascimento, 2014)</w:t>
      </w:r>
      <w:r w:rsidR="008732BD">
        <w:t>.</w:t>
      </w:r>
    </w:p>
    <w:p w14:paraId="6A3777DF" w14:textId="77777777" w:rsidR="00960314" w:rsidRDefault="00960314" w:rsidP="00B95E60">
      <w:r w:rsidRPr="00960314">
        <w:rPr>
          <w:b/>
          <w:bCs/>
        </w:rPr>
        <w:lastRenderedPageBreak/>
        <w:t>Stage 2: Export via Independent Intermediaries:</w:t>
      </w:r>
      <w:r>
        <w:t xml:space="preserve"> </w:t>
      </w:r>
      <w:r w:rsidRPr="00960314">
        <w:t>Once demands had evened out, Toyota decided to formalize their distribution by joining independent Brazilian agents and import houses via their local distribution network, gaining a basic market presence.</w:t>
      </w:r>
    </w:p>
    <w:p w14:paraId="5AD47F95" w14:textId="24F858FA" w:rsidR="008E6578" w:rsidRDefault="008E6578" w:rsidP="008E6578">
      <w:r w:rsidRPr="008E6578">
        <w:rPr>
          <w:b/>
          <w:bCs/>
        </w:rPr>
        <w:t>Stage 3: Establishment of Sales Subsidiaries:</w:t>
      </w:r>
      <w:r>
        <w:t xml:space="preserve"> With important empirical understanding of the local business environment, Toyota set up a 100% subsidiary, "Toyota do </w:t>
      </w:r>
      <w:proofErr w:type="spellStart"/>
      <w:r>
        <w:t>Brasil</w:t>
      </w:r>
      <w:proofErr w:type="spellEnd"/>
      <w:r>
        <w:t xml:space="preserve"> </w:t>
      </w:r>
      <w:proofErr w:type="spellStart"/>
      <w:r>
        <w:t>Ltda</w:t>
      </w:r>
      <w:proofErr w:type="spellEnd"/>
      <w:r>
        <w:t>", in January 1958, to handle marketing and after-sales service</w:t>
      </w:r>
      <w:r w:rsidR="0009622F">
        <w:t xml:space="preserve"> </w:t>
      </w:r>
      <w:r w:rsidR="0009622F" w:rsidRPr="0009622F">
        <w:t>(TOYOTA MOTOR CORPORATION, 2026)</w:t>
      </w:r>
      <w:r w:rsidR="0009622F">
        <w:t>.</w:t>
      </w:r>
    </w:p>
    <w:p w14:paraId="39D18744" w14:textId="2DBD6E82" w:rsidR="008E6578" w:rsidRDefault="008E6578" w:rsidP="008E6578">
      <w:r w:rsidRPr="008E6578">
        <w:rPr>
          <w:b/>
          <w:bCs/>
        </w:rPr>
        <w:t>Stage 4: Local Production (Foreign Direct Investment):</w:t>
      </w:r>
      <w:r>
        <w:t xml:space="preserve"> Toyota made its final resource pledge, realising the enormous long-term potential in Brazil and the necessity to circumvent the highly protectionist import tariffs. Toyota started building its first overseas factory outside Japan in 1958 in São Bernardo do Campo, São Paulo, and full production of the "</w:t>
      </w:r>
      <w:proofErr w:type="spellStart"/>
      <w:r>
        <w:t>Bandeirante</w:t>
      </w:r>
      <w:proofErr w:type="spellEnd"/>
      <w:r>
        <w:t>" (localized Land Cruiser) began in 1962</w:t>
      </w:r>
      <w:r w:rsidR="008732BD">
        <w:t xml:space="preserve"> </w:t>
      </w:r>
      <w:r w:rsidR="008732BD" w:rsidRPr="008732BD">
        <w:t>(</w:t>
      </w:r>
      <w:proofErr w:type="spellStart"/>
      <w:r w:rsidR="008732BD" w:rsidRPr="008732BD">
        <w:t>Torelli</w:t>
      </w:r>
      <w:proofErr w:type="spellEnd"/>
      <w:r w:rsidR="008732BD" w:rsidRPr="008732BD">
        <w:t xml:space="preserve"> and </w:t>
      </w:r>
      <w:proofErr w:type="spellStart"/>
      <w:r w:rsidR="008732BD" w:rsidRPr="008732BD">
        <w:t>Rodas</w:t>
      </w:r>
      <w:proofErr w:type="spellEnd"/>
      <w:r w:rsidR="008732BD" w:rsidRPr="008732BD">
        <w:t>, 2024)</w:t>
      </w:r>
      <w:r>
        <w:t>. This is a brave step which changed Toyota from an exotic importer to a deeply settled Japanese manufacturer.</w:t>
      </w:r>
    </w:p>
    <w:p w14:paraId="0573C043" w14:textId="77777777" w:rsidR="00036826" w:rsidRDefault="00036826" w:rsidP="00036826">
      <w:pPr>
        <w:pStyle w:val="Heading3"/>
      </w:pPr>
      <w:bookmarkStart w:id="13" w:name="_Toc236778331"/>
      <w:r>
        <w:t>Critique of Foreign Direct Investment (FDI) in Brazil</w:t>
      </w:r>
      <w:bookmarkEnd w:id="13"/>
    </w:p>
    <w:p w14:paraId="5B30A2B1" w14:textId="77777777" w:rsidR="00036826" w:rsidRDefault="00036826" w:rsidP="00036826">
      <w:r>
        <w:t>By establishing local manufacturing facilities in São Paulo, Toyota executed a high-control, high-risk Foreign Direct Investment strategy.</w:t>
      </w:r>
    </w:p>
    <w:p w14:paraId="2F0BAF03" w14:textId="77777777" w:rsidR="00036826" w:rsidRPr="00036826" w:rsidRDefault="00036826" w:rsidP="00036826">
      <w:pPr>
        <w:rPr>
          <w:b/>
          <w:bCs/>
        </w:rPr>
      </w:pPr>
      <w:r w:rsidRPr="00036826">
        <w:rPr>
          <w:b/>
          <w:bCs/>
        </w:rPr>
        <w:t>Advantages of FDI</w:t>
      </w:r>
    </w:p>
    <w:p w14:paraId="5D4E4A70" w14:textId="01EA4532" w:rsidR="00CB58F7" w:rsidRDefault="00CB58F7" w:rsidP="00CB58F7">
      <w:r w:rsidRPr="00CB58F7">
        <w:rPr>
          <w:b/>
          <w:bCs/>
        </w:rPr>
        <w:t>Circumvention of Trade Barriers:</w:t>
      </w:r>
      <w:r>
        <w:t xml:space="preserve"> </w:t>
      </w:r>
      <w:r w:rsidR="00D314EB" w:rsidRPr="00D314EB">
        <w:t>For domestic industry protection, Brazil has maintained high import tariffs on fully built vehicles. To minimise import charges and maintain a competitive price, Toyota assembles its automobiles locally (</w:t>
      </w:r>
      <w:proofErr w:type="spellStart"/>
      <w:r w:rsidR="00D314EB" w:rsidRPr="00D314EB">
        <w:t>Teles</w:t>
      </w:r>
      <w:proofErr w:type="spellEnd"/>
      <w:r w:rsidR="00D314EB" w:rsidRPr="00D314EB">
        <w:t>, 2026).</w:t>
      </w:r>
    </w:p>
    <w:p w14:paraId="234C9B36" w14:textId="402B7052" w:rsidR="00CB58F7" w:rsidRDefault="00CB58F7" w:rsidP="00CB58F7">
      <w:r w:rsidRPr="00CB58F7">
        <w:rPr>
          <w:b/>
          <w:bCs/>
        </w:rPr>
        <w:t>Access to Regional Trade Blocs:</w:t>
      </w:r>
      <w:r>
        <w:t xml:space="preserve"> </w:t>
      </w:r>
      <w:r w:rsidR="00ED790D" w:rsidRPr="00ED790D">
        <w:t>Toyota may ship Sorocaba-made cars to Argentina without tariffs because it manufactures in Brazil.</w:t>
      </w:r>
    </w:p>
    <w:p w14:paraId="48238CED" w14:textId="4F5FBAD4" w:rsidR="00CB58F7" w:rsidRDefault="00CB58F7" w:rsidP="00CB58F7">
      <w:r w:rsidRPr="00CB58F7">
        <w:rPr>
          <w:b/>
          <w:bCs/>
        </w:rPr>
        <w:t>Alignment with Government Incentives:</w:t>
      </w:r>
      <w:r>
        <w:t xml:space="preserve"> </w:t>
      </w:r>
      <w:r w:rsidR="00ED790D" w:rsidRPr="00ED790D">
        <w:t>Toyota receives billions in national tax credits and investment incentives under MOVER by localising production.</w:t>
      </w:r>
    </w:p>
    <w:p w14:paraId="0059B7EA" w14:textId="0B0F6129" w:rsidR="00CB58F7" w:rsidRPr="009C3064" w:rsidRDefault="009C3064" w:rsidP="00CB58F7">
      <w:pPr>
        <w:rPr>
          <w:b/>
          <w:bCs/>
        </w:rPr>
      </w:pPr>
      <w:r w:rsidRPr="009C3064">
        <w:rPr>
          <w:b/>
          <w:bCs/>
        </w:rPr>
        <w:t>Disadvantages of FDI</w:t>
      </w:r>
    </w:p>
    <w:p w14:paraId="120CE735" w14:textId="5E3D93D6" w:rsidR="009C3064" w:rsidRDefault="009C3064" w:rsidP="00CB58F7">
      <w:r w:rsidRPr="009C3064">
        <w:rPr>
          <w:b/>
          <w:bCs/>
        </w:rPr>
        <w:t>Massive Capital Expenditure Risk:</w:t>
      </w:r>
      <w:r w:rsidRPr="009C3064">
        <w:t xml:space="preserve"> </w:t>
      </w:r>
      <w:r w:rsidR="00A22C76" w:rsidRPr="00A22C76">
        <w:t>Building and sustaining modern manufacturing facilities involves massive investments. Toyota's Sorocaba development is underpinned by a significant BRL 11 billion (roughly $2.2 billion) investment plan, which might cost the company a lot if market growth slows (Santos et al., 2026).</w:t>
      </w:r>
    </w:p>
    <w:p w14:paraId="0EDD7CE6" w14:textId="71ACF48D" w:rsidR="009C3064" w:rsidRDefault="009C3064" w:rsidP="00CB58F7">
      <w:r w:rsidRPr="009C3064">
        <w:rPr>
          <w:b/>
          <w:bCs/>
        </w:rPr>
        <w:t>Exposure to Macroeconomic Instability:</w:t>
      </w:r>
      <w:r w:rsidRPr="009C3064">
        <w:t xml:space="preserve"> By tying its manufacturing assets to Brazil, Toyota is highly exposed to local economic crises, including historical hyperinflation, currency devaluations, and fluctuating consumer purchasing power</w:t>
      </w:r>
      <w:r w:rsidR="003818C0">
        <w:t xml:space="preserve"> </w:t>
      </w:r>
      <w:r w:rsidR="006B6D17" w:rsidRPr="006B6D17">
        <w:t>(</w:t>
      </w:r>
      <w:proofErr w:type="spellStart"/>
      <w:r w:rsidR="006B6D17" w:rsidRPr="006B6D17">
        <w:t>Nikbin</w:t>
      </w:r>
      <w:proofErr w:type="spellEnd"/>
      <w:r w:rsidR="006B6D17" w:rsidRPr="006B6D17">
        <w:t xml:space="preserve"> et al., 2021)</w:t>
      </w:r>
      <w:r w:rsidR="006B6D17">
        <w:t>.</w:t>
      </w:r>
    </w:p>
    <w:p w14:paraId="2BE5C236" w14:textId="77777777" w:rsidR="001626BA" w:rsidRDefault="001626BA" w:rsidP="001626BA">
      <w:pPr>
        <w:pStyle w:val="Heading2"/>
      </w:pPr>
      <w:bookmarkStart w:id="14" w:name="_Toc236778332"/>
      <w:r>
        <w:lastRenderedPageBreak/>
        <w:t xml:space="preserve">d. </w:t>
      </w:r>
      <w:r w:rsidRPr="001626BA">
        <w:t>Ethical Evaluation of the Marketing Mix</w:t>
      </w:r>
      <w:bookmarkEnd w:id="14"/>
    </w:p>
    <w:p w14:paraId="39B57A26" w14:textId="77777777" w:rsidR="00EB5ADB" w:rsidRDefault="00EB5ADB" w:rsidP="00EB5ADB">
      <w:pPr>
        <w:pStyle w:val="Heading3"/>
      </w:pPr>
      <w:bookmarkStart w:id="15" w:name="_Toc236778333"/>
      <w:r>
        <w:t>Ethical Marketing Practices in the United States</w:t>
      </w:r>
      <w:bookmarkEnd w:id="15"/>
    </w:p>
    <w:p w14:paraId="33D98D57" w14:textId="77777777" w:rsidR="00EB5ADB" w:rsidRPr="00EB5ADB" w:rsidRDefault="00EB5ADB" w:rsidP="00EB5ADB">
      <w:pPr>
        <w:rPr>
          <w:b/>
          <w:bCs/>
        </w:rPr>
      </w:pPr>
      <w:r w:rsidRPr="00EB5ADB">
        <w:rPr>
          <w:b/>
          <w:bCs/>
        </w:rPr>
        <w:t>1. Standardizing Active Vehicle Safety Suites (Product &amp; Promotion)</w:t>
      </w:r>
    </w:p>
    <w:p w14:paraId="0AF818E1" w14:textId="4DF22DEA" w:rsidR="00432025" w:rsidRDefault="00432025" w:rsidP="00432025">
      <w:r>
        <w:t>After the 2009–2010 unanticipated acceleration safety and recall crisis, Toyota changed their product development, advertising, and ethics (</w:t>
      </w:r>
      <w:proofErr w:type="spellStart"/>
      <w:r>
        <w:t>Nikbin</w:t>
      </w:r>
      <w:proofErr w:type="spellEnd"/>
      <w:r>
        <w:t xml:space="preserve"> et al., 2021). Akio Toyoda, who directly reported to Congress, prioritised safety.</w:t>
      </w:r>
    </w:p>
    <w:p w14:paraId="5ECC60FD" w14:textId="13123B3D" w:rsidR="009076D9" w:rsidRDefault="00432025" w:rsidP="00432025">
      <w:r>
        <w:t>Toyota later shifted its advertising approach to consumer safety education and engineering transparency, creating particular channels to educate the public on quality control advancements (</w:t>
      </w:r>
      <w:proofErr w:type="spellStart"/>
      <w:r>
        <w:t>Matus</w:t>
      </w:r>
      <w:proofErr w:type="spellEnd"/>
      <w:r>
        <w:t>, 2021).</w:t>
      </w:r>
    </w:p>
    <w:p w14:paraId="0D164647" w14:textId="77777777" w:rsidR="0020392D" w:rsidRPr="0020392D" w:rsidRDefault="0020392D" w:rsidP="009076D9">
      <w:pPr>
        <w:rPr>
          <w:b/>
          <w:bCs/>
        </w:rPr>
      </w:pPr>
      <w:r w:rsidRPr="0020392D">
        <w:rPr>
          <w:b/>
          <w:bCs/>
        </w:rPr>
        <w:t>2. Localizing Green Technology and Sustainable Supply Chains (Product &amp; Process)</w:t>
      </w:r>
    </w:p>
    <w:p w14:paraId="171D0E7A" w14:textId="431E6945" w:rsidR="0020392D" w:rsidRDefault="0020392D" w:rsidP="0020392D">
      <w:r>
        <w:t>Toyota has also shown to the world how to market ethically, investing multi-billion dollars in local, green technologies, which directly helps to decarbonize the world. The company opened its first battery plant in the United States in 2025 in North Carolina with an investment of almost $14 billion and the creation of up to 5,100 North Carolina job positions</w:t>
      </w:r>
      <w:r w:rsidR="00510A1E">
        <w:t xml:space="preserve"> </w:t>
      </w:r>
      <w:r w:rsidR="002168A1" w:rsidRPr="002168A1">
        <w:t>(</w:t>
      </w:r>
      <w:proofErr w:type="spellStart"/>
      <w:r w:rsidR="002168A1" w:rsidRPr="002168A1">
        <w:t>Marceli</w:t>
      </w:r>
      <w:proofErr w:type="spellEnd"/>
      <w:r w:rsidR="002168A1" w:rsidRPr="002168A1">
        <w:t xml:space="preserve"> Adriane </w:t>
      </w:r>
      <w:proofErr w:type="spellStart"/>
      <w:r w:rsidR="002168A1" w:rsidRPr="002168A1">
        <w:t>Schvartz</w:t>
      </w:r>
      <w:proofErr w:type="spellEnd"/>
      <w:r w:rsidR="002168A1" w:rsidRPr="002168A1">
        <w:t xml:space="preserve"> et al., 2024)</w:t>
      </w:r>
      <w:r>
        <w:t>.</w:t>
      </w:r>
    </w:p>
    <w:p w14:paraId="53E2EA89" w14:textId="77777777" w:rsidR="00DE78CA" w:rsidRDefault="00DE78CA" w:rsidP="00DE78CA">
      <w:pPr>
        <w:pStyle w:val="Heading3"/>
      </w:pPr>
      <w:bookmarkStart w:id="16" w:name="_Toc236778334"/>
      <w:r>
        <w:t>Unethical Marketing Practices in the United States</w:t>
      </w:r>
      <w:bookmarkEnd w:id="16"/>
    </w:p>
    <w:p w14:paraId="2437AF54" w14:textId="77777777" w:rsidR="00DE78CA" w:rsidRPr="00DE78CA" w:rsidRDefault="00DE78CA" w:rsidP="00DE78CA">
      <w:pPr>
        <w:rPr>
          <w:b/>
          <w:bCs/>
        </w:rPr>
      </w:pPr>
      <w:r w:rsidRPr="00DE78CA">
        <w:rPr>
          <w:b/>
          <w:bCs/>
        </w:rPr>
        <w:t>1. Deliberate Concealment of Mechanical Safety Defects (Product &amp; Promotion)</w:t>
      </w:r>
    </w:p>
    <w:p w14:paraId="39A80B44" w14:textId="2DE8E7CB" w:rsidR="00E42DBA" w:rsidRDefault="00E42DBA" w:rsidP="00E42DBA">
      <w:r>
        <w:t>Toyota's worst ethics controversy was 2009-2010's unexpected acceleration scandal (Liu, 2024). Toyota misled to US customers and authorities, according to the DOJ's criminal probe.</w:t>
      </w:r>
    </w:p>
    <w:p w14:paraId="227D0D3F" w14:textId="7EC4FEAD" w:rsidR="00AE0A2F" w:rsidRDefault="00E42DBA" w:rsidP="00E42DBA">
      <w:r>
        <w:t>Floor mat entrapment and “sticky pedals” were detected by internal quality engineers. Toyota wanted to keep the problem hidden, even from the NHTSA, to avoid an expensive floor mat recall and retain its public image, making a simple recall seem like a remedy. A deliberate deceit led to a wire fraud indictment and a record $1.2 billion criminal penalty (</w:t>
      </w:r>
      <w:proofErr w:type="spellStart"/>
      <w:r>
        <w:t>Kuraž</w:t>
      </w:r>
      <w:proofErr w:type="spellEnd"/>
      <w:r>
        <w:t>, 2026).</w:t>
      </w:r>
    </w:p>
    <w:p w14:paraId="2FC1CB3F" w14:textId="77777777" w:rsidR="00AE0A2F" w:rsidRPr="00AE0A2F" w:rsidRDefault="00AE0A2F" w:rsidP="00AE0A2F">
      <w:pPr>
        <w:rPr>
          <w:b/>
          <w:bCs/>
        </w:rPr>
      </w:pPr>
      <w:r w:rsidRPr="00AE0A2F">
        <w:rPr>
          <w:b/>
          <w:bCs/>
        </w:rPr>
        <w:t>2. Systematic Violations of Clean Air Act Emissions Reporting (Product &amp; Process)</w:t>
      </w:r>
    </w:p>
    <w:p w14:paraId="69BAD8BB" w14:textId="41616F40" w:rsidR="008847CB" w:rsidRDefault="008847CB" w:rsidP="008847CB">
      <w:r>
        <w:t>Toyota received a record $180 million civil fine from the U.S. Department of Justice and EPA in January 2021 for "systemic and longstanding" violations of the Clean Air Act</w:t>
      </w:r>
      <w:r w:rsidR="005C5C01">
        <w:t xml:space="preserve"> </w:t>
      </w:r>
      <w:r w:rsidR="005A0B57" w:rsidRPr="005A0B57">
        <w:t>(Kane, 2026)</w:t>
      </w:r>
      <w:r>
        <w:t>. Toyota missed 10 years (2005-2015) of required data on emission defect issues in vehicles.</w:t>
      </w:r>
    </w:p>
    <w:p w14:paraId="43A247EF" w14:textId="65BF7B48" w:rsidR="00F0121A" w:rsidRDefault="00F0121A" w:rsidP="00F0121A">
      <w:pPr>
        <w:pStyle w:val="Heading2"/>
      </w:pPr>
      <w:bookmarkStart w:id="17" w:name="_Toc236778335"/>
      <w:r>
        <w:t xml:space="preserve">e. </w:t>
      </w:r>
      <w:r w:rsidRPr="00F0121A">
        <w:t>Recommendations</w:t>
      </w:r>
      <w:bookmarkEnd w:id="17"/>
    </w:p>
    <w:p w14:paraId="400278DC" w14:textId="77777777" w:rsidR="00F0121A" w:rsidRDefault="00F0121A" w:rsidP="008847CB">
      <w:r w:rsidRPr="00F0121A">
        <w:t>To navigate the evolving global automotive landscape, protect its brand equity, and capitalize on green mobility trends, Toyota should execute the following strategic recommendations.</w:t>
      </w:r>
    </w:p>
    <w:p w14:paraId="6D63FCD3" w14:textId="516F905F" w:rsidR="00F0121A" w:rsidRPr="00F0121A" w:rsidRDefault="00F0121A" w:rsidP="008847CB">
      <w:pPr>
        <w:rPr>
          <w:b/>
          <w:bCs/>
        </w:rPr>
      </w:pPr>
      <w:r w:rsidRPr="00F0121A">
        <w:rPr>
          <w:b/>
          <w:bCs/>
        </w:rPr>
        <w:t>1. Refine the Multi-Path Electrification Strategy</w:t>
      </w:r>
    </w:p>
    <w:p w14:paraId="51CC9FFE" w14:textId="77777777" w:rsidR="003A0942" w:rsidRDefault="003A0942" w:rsidP="008847CB">
      <w:r w:rsidRPr="003A0942">
        <w:lastRenderedPageBreak/>
        <w:t>Toyota must continue to leverage its "multiple-path approach" but with more precise regional adaptation.</w:t>
      </w:r>
    </w:p>
    <w:p w14:paraId="60F783C5" w14:textId="254F2AAD" w:rsidR="00FD7F3D" w:rsidRDefault="00FD7F3D" w:rsidP="00FD7F3D">
      <w:r w:rsidRPr="00FD7F3D">
        <w:rPr>
          <w:b/>
          <w:bCs/>
        </w:rPr>
        <w:t>United States:</w:t>
      </w:r>
      <w:r>
        <w:t xml:space="preserve"> While hybrid demand remains highly robust in 2026, Toyota must rapidly scale its battery-electric vehicle and plug-in hybrid portfolios to regain technological leadership and satisfy evolving regulatory standards</w:t>
      </w:r>
      <w:r w:rsidR="005A0B57">
        <w:t xml:space="preserve"> </w:t>
      </w:r>
      <w:r w:rsidR="003878A5" w:rsidRPr="003878A5">
        <w:t>(</w:t>
      </w:r>
      <w:proofErr w:type="spellStart"/>
      <w:r w:rsidR="003878A5" w:rsidRPr="003878A5">
        <w:t>İşiner</w:t>
      </w:r>
      <w:proofErr w:type="spellEnd"/>
      <w:r w:rsidR="003878A5" w:rsidRPr="003878A5">
        <w:t xml:space="preserve"> and Kenan </w:t>
      </w:r>
      <w:proofErr w:type="spellStart"/>
      <w:r w:rsidR="003878A5" w:rsidRPr="003878A5">
        <w:t>Aydın</w:t>
      </w:r>
      <w:proofErr w:type="spellEnd"/>
      <w:r w:rsidR="003878A5" w:rsidRPr="003878A5">
        <w:t>, 2023)</w:t>
      </w:r>
      <w:r w:rsidR="003878A5">
        <w:t>.</w:t>
      </w:r>
    </w:p>
    <w:p w14:paraId="63874D53" w14:textId="61FC40C9" w:rsidR="00FD7F3D" w:rsidRDefault="00FD7F3D" w:rsidP="00FD7F3D">
      <w:r w:rsidRPr="00FD7F3D">
        <w:rPr>
          <w:b/>
          <w:bCs/>
        </w:rPr>
        <w:t>Brazil:</w:t>
      </w:r>
      <w:r>
        <w:t xml:space="preserve"> Toyota should focus its investments on dominant flexible-fuel hybrid technology, capitalizing on the country's sugarcane ethanol infrastructure</w:t>
      </w:r>
      <w:r w:rsidR="003B7B64">
        <w:t xml:space="preserve"> </w:t>
      </w:r>
      <w:r w:rsidR="003878A5" w:rsidRPr="003878A5">
        <w:t>(International Trade, 2025)</w:t>
      </w:r>
      <w:r w:rsidR="003878A5">
        <w:t>.</w:t>
      </w:r>
    </w:p>
    <w:p w14:paraId="326943A2" w14:textId="1E2DE84A" w:rsidR="00FD7F3D" w:rsidRPr="00FD7F3D" w:rsidRDefault="00FD7F3D" w:rsidP="00FD7F3D">
      <w:pPr>
        <w:rPr>
          <w:b/>
          <w:bCs/>
        </w:rPr>
      </w:pPr>
      <w:r w:rsidRPr="00FD7F3D">
        <w:rPr>
          <w:b/>
          <w:bCs/>
        </w:rPr>
        <w:t>2. Standardize Independent Environmental Audits</w:t>
      </w:r>
    </w:p>
    <w:p w14:paraId="414FE0AE" w14:textId="7D24C8FB" w:rsidR="00FD7F3D" w:rsidRDefault="00FD7F3D" w:rsidP="00FD7F3D">
      <w:r>
        <w:t>To rebuild trust and eliminate greenwashing risks, Toyota should implement a strict, independent auditing system for all emissions and defect-reporting processes</w:t>
      </w:r>
      <w:r w:rsidR="003B7B64">
        <w:t xml:space="preserve"> </w:t>
      </w:r>
      <w:r w:rsidR="0024075F" w:rsidRPr="0024075F">
        <w:t>(Greene, 2024)</w:t>
      </w:r>
      <w:r w:rsidR="0024075F">
        <w:t>.</w:t>
      </w:r>
    </w:p>
    <w:p w14:paraId="219FA491" w14:textId="341A243D" w:rsidR="00FD7F3D" w:rsidRPr="00FD7F3D" w:rsidRDefault="00FD7F3D" w:rsidP="00FD7F3D">
      <w:pPr>
        <w:rPr>
          <w:b/>
          <w:bCs/>
        </w:rPr>
      </w:pPr>
      <w:r w:rsidRPr="00FD7F3D">
        <w:rPr>
          <w:b/>
          <w:bCs/>
        </w:rPr>
        <w:t>3. Leverage Localized R&amp;D and Strategic Alliances</w:t>
      </w:r>
    </w:p>
    <w:p w14:paraId="392AA88F" w14:textId="6BD3082D" w:rsidR="00006E61" w:rsidRPr="003E4E99" w:rsidRDefault="001B4187" w:rsidP="003E4E99">
      <w:r w:rsidRPr="001B4187">
        <w:t>Toyota could form local engineering relationships with Brazilian colleges and research institutions using Brazil's MOVER program's hefty tax incentives. Toyota should strengthen its strategic partnerships with local aerospace and software industries like Joby Aviation to stay ahead of future mobility concepts in the US (EWG, 2021).</w:t>
      </w:r>
    </w:p>
    <w:p w14:paraId="609362F8" w14:textId="3E1B5222" w:rsidR="00F24209" w:rsidRDefault="00F24209" w:rsidP="00F24209">
      <w:pPr>
        <w:pStyle w:val="Heading1"/>
      </w:pPr>
      <w:bookmarkStart w:id="18" w:name="_Toc236778336"/>
      <w:r w:rsidRPr="00F24209">
        <w:t>Section 2:</w:t>
      </w:r>
      <w:bookmarkEnd w:id="18"/>
      <w:r w:rsidRPr="00F24209">
        <w:t xml:space="preserve"> </w:t>
      </w:r>
    </w:p>
    <w:p w14:paraId="6EEF1FD8" w14:textId="56771D27" w:rsidR="00F63E36" w:rsidRDefault="00A5139B" w:rsidP="00F63E36">
      <w:pPr>
        <w:pStyle w:val="Heading2"/>
      </w:pPr>
      <w:bookmarkStart w:id="19" w:name="_Toc236778337"/>
      <w:r w:rsidRPr="00A5139B">
        <w:t>Reflective Analysis</w:t>
      </w:r>
      <w:bookmarkEnd w:id="19"/>
    </w:p>
    <w:p w14:paraId="1BBC96B8" w14:textId="53A58822" w:rsidR="005F050E" w:rsidRDefault="005F050E" w:rsidP="005F050E">
      <w:r>
        <w:t>This section offers a reflective critique of the research, analysis and preparation processes as a means of assessing the developmental journey in compiling this international marketing report. This reflection is organised by the Reflective Cycle developed by Graham Gibbs (1988)</w:t>
      </w:r>
    </w:p>
    <w:p w14:paraId="78B06FC2" w14:textId="536A16D9" w:rsidR="005F050E" w:rsidRDefault="007F6A9B" w:rsidP="007F6A9B">
      <w:pPr>
        <w:jc w:val="center"/>
      </w:pPr>
      <w:r>
        <w:rPr>
          <w:noProof/>
        </w:rPr>
        <w:drawing>
          <wp:inline distT="0" distB="0" distL="0" distR="0" wp14:anchorId="6BEF4C60" wp14:editId="29684430">
            <wp:extent cx="3675450" cy="2756588"/>
            <wp:effectExtent l="0" t="0" r="127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86706" cy="2765030"/>
                    </a:xfrm>
                    <a:prstGeom prst="rect">
                      <a:avLst/>
                    </a:prstGeom>
                    <a:noFill/>
                  </pic:spPr>
                </pic:pic>
              </a:graphicData>
            </a:graphic>
          </wp:inline>
        </w:drawing>
      </w:r>
    </w:p>
    <w:p w14:paraId="2385FECE" w14:textId="7A3455FA" w:rsidR="007F6A9B" w:rsidRPr="0034736D" w:rsidRDefault="007F6A9B" w:rsidP="007F6A9B">
      <w:pPr>
        <w:jc w:val="center"/>
        <w:rPr>
          <w:b/>
          <w:bCs/>
          <w:i/>
          <w:iCs/>
        </w:rPr>
      </w:pPr>
      <w:r w:rsidRPr="0034736D">
        <w:rPr>
          <w:b/>
          <w:bCs/>
          <w:i/>
          <w:iCs/>
        </w:rPr>
        <w:lastRenderedPageBreak/>
        <w:t xml:space="preserve">Figure 6: </w:t>
      </w:r>
      <w:r w:rsidR="00A37BCC" w:rsidRPr="0034736D">
        <w:rPr>
          <w:b/>
          <w:bCs/>
          <w:i/>
          <w:iCs/>
        </w:rPr>
        <w:t xml:space="preserve">Gibbs' Reflective Cycle </w:t>
      </w:r>
      <w:r w:rsidR="0034736D" w:rsidRPr="0034736D">
        <w:rPr>
          <w:b/>
          <w:bCs/>
          <w:i/>
          <w:iCs/>
        </w:rPr>
        <w:t>(McLeod, 2025)</w:t>
      </w:r>
    </w:p>
    <w:p w14:paraId="5EDD103C" w14:textId="198AE24C" w:rsidR="005F050E" w:rsidRPr="005F050E" w:rsidRDefault="005F050E" w:rsidP="005F050E">
      <w:pPr>
        <w:rPr>
          <w:b/>
          <w:bCs/>
        </w:rPr>
      </w:pPr>
      <w:r w:rsidRPr="005F050E">
        <w:rPr>
          <w:b/>
          <w:bCs/>
        </w:rPr>
        <w:t>Description</w:t>
      </w:r>
    </w:p>
    <w:p w14:paraId="54033FFC" w14:textId="3CD3D9CE" w:rsidR="005F050E" w:rsidRDefault="005F050E" w:rsidP="005F050E">
      <w:r>
        <w:t xml:space="preserve">The researcher had to develop a comprehensive and academic-level strategic report </w:t>
      </w:r>
      <w:proofErr w:type="spellStart"/>
      <w:r>
        <w:t>analyzing</w:t>
      </w:r>
      <w:proofErr w:type="spellEnd"/>
      <w:r>
        <w:t xml:space="preserve"> the international strategy for market entry and local marketing mix of Toyota do </w:t>
      </w:r>
      <w:proofErr w:type="spellStart"/>
      <w:r>
        <w:t>Brasil</w:t>
      </w:r>
      <w:proofErr w:type="spellEnd"/>
      <w:r>
        <w:t xml:space="preserve"> and Toyota USA. The investigation involved a comparative macro-environmental analysis of both countries using PESTEL and Hofstede models, a comparison of the STP and 7Ps breakdown, a critique of the Uppsala internationalization model and a detailed ethical analysis of the marketing mix, along with future strategic recommendations. For this purpose, the researcher followed a systematic approach to collect secondary qualitative and quantitative information from academic journals, corporate databases, industry reports and regulatory filings.</w:t>
      </w:r>
    </w:p>
    <w:p w14:paraId="5DEA5B7B" w14:textId="5E6B4508" w:rsidR="005F050E" w:rsidRPr="005F050E" w:rsidRDefault="005F050E" w:rsidP="005F050E">
      <w:pPr>
        <w:rPr>
          <w:b/>
          <w:bCs/>
        </w:rPr>
      </w:pPr>
      <w:r w:rsidRPr="005F050E">
        <w:rPr>
          <w:b/>
          <w:bCs/>
        </w:rPr>
        <w:t>Feelings</w:t>
      </w:r>
    </w:p>
    <w:p w14:paraId="40BD8898" w14:textId="30E4AFD4" w:rsidR="005F050E" w:rsidRDefault="005F050E" w:rsidP="005F050E">
      <w:r>
        <w:t>In the initial stages of research, the researcher felt a sense of intellectual pressure as they were overwhelmed by the amount of information that surrounded Toyota's operations around the world, especially the detailed information about bioethanol chemistry in the context of the 2010 safety recalls</w:t>
      </w:r>
      <w:r w:rsidR="0024075F">
        <w:t xml:space="preserve"> </w:t>
      </w:r>
      <w:r w:rsidR="002064ED" w:rsidRPr="002064ED">
        <w:t>(Chen, 2023)</w:t>
      </w:r>
      <w:r>
        <w:t>. Much was also said about the need to balance two hugely different national markets, one being a techno-superpower and the other being a developing agricultural giant, in a single, unified strategic narrative. The researcher's progress, however, was soon filled with professional curiosity as she began to discover Toyota's strategic integration with the Brazilian policies of sugarcane, that initially sparked anxiety.</w:t>
      </w:r>
    </w:p>
    <w:p w14:paraId="7B242CDD" w14:textId="07D86173" w:rsidR="005F050E" w:rsidRPr="005F050E" w:rsidRDefault="005F050E" w:rsidP="005F050E">
      <w:pPr>
        <w:rPr>
          <w:b/>
          <w:bCs/>
        </w:rPr>
      </w:pPr>
      <w:r w:rsidRPr="005F050E">
        <w:rPr>
          <w:b/>
          <w:bCs/>
        </w:rPr>
        <w:t>Evaluation</w:t>
      </w:r>
    </w:p>
    <w:p w14:paraId="088DBDE3" w14:textId="3A395DA9" w:rsidR="005F050E" w:rsidRDefault="005F050E" w:rsidP="005F050E">
      <w:r>
        <w:t>The most important achievement of the research process was the successful integration of academic frameworks (PESTEL, Hofstede and Uppsala) to concrete business activities, thus refraining from purely abstract analysis. The analysis was enriched by the identification of data that is very current, in relation to the MOVER program for Brazil 2024-2026 and the expansion in the city of Sorocaba, which brings a contemporary aspect to the study</w:t>
      </w:r>
      <w:r w:rsidR="002064ED">
        <w:t xml:space="preserve"> </w:t>
      </w:r>
      <w:r w:rsidR="002064ED" w:rsidRPr="002064ED">
        <w:t>(</w:t>
      </w:r>
      <w:proofErr w:type="spellStart"/>
      <w:r w:rsidR="002064ED" w:rsidRPr="002064ED">
        <w:t>ABGi</w:t>
      </w:r>
      <w:proofErr w:type="spellEnd"/>
      <w:r w:rsidR="002064ED" w:rsidRPr="002064ED">
        <w:t>, 2024)</w:t>
      </w:r>
      <w:r>
        <w:t>. On the other hand, consolidating and obtaining consistent and directly comparable financial data for both subsidiaries was a major difficulty, as the Toyota often provides figures for consolidated regions instead of marketing budget figures for specific countries. The researcher has made a number of industry estimates, which necessitated the process of triangulation in the study.</w:t>
      </w:r>
    </w:p>
    <w:p w14:paraId="480EFBC4" w14:textId="527A7F76" w:rsidR="005F050E" w:rsidRPr="005F050E" w:rsidRDefault="005F050E" w:rsidP="005F050E">
      <w:pPr>
        <w:rPr>
          <w:b/>
          <w:bCs/>
        </w:rPr>
      </w:pPr>
      <w:r w:rsidRPr="005F050E">
        <w:rPr>
          <w:b/>
          <w:bCs/>
        </w:rPr>
        <w:t>Analysis</w:t>
      </w:r>
    </w:p>
    <w:p w14:paraId="284604A4" w14:textId="03438EAD" w:rsidR="005F050E" w:rsidRDefault="005F050E" w:rsidP="005F050E">
      <w:r>
        <w:t xml:space="preserve">The research process has been analysed in the context of Kolb's work on experiential learning theory, and the researcher can be seen to have moved from concrete experience (data </w:t>
      </w:r>
      <w:r>
        <w:lastRenderedPageBreak/>
        <w:t>gathering) to reflective observation (Comparing US and Brazil), conceptualisation (Mapping the data to the 7Ps) to active experimentation (Formulating strategic recommendations). The researcher realised that the first obstacle of having too much data was overcome through the use of structured analytical filters. For example, the application of the 7Ps comparative analysis in a different way, through the lens of Geert Hofstede's model, helped to make sense of consumer statistics that were otherwise unorganized</w:t>
      </w:r>
      <w:r w:rsidR="00E94D98">
        <w:t xml:space="preserve"> </w:t>
      </w:r>
      <w:r w:rsidR="00E94D98" w:rsidRPr="00E94D98">
        <w:t>(Greene, 2024)</w:t>
      </w:r>
      <w:r>
        <w:t>. But the criticism of Hofstede's model also made the researcher aware of the ever-present risk of stereotyping markets: cultural models need to be always checked against regional economic facts.</w:t>
      </w:r>
    </w:p>
    <w:p w14:paraId="4F276D32" w14:textId="07663B4E" w:rsidR="005F050E" w:rsidRPr="005F050E" w:rsidRDefault="005F050E" w:rsidP="005F050E">
      <w:pPr>
        <w:rPr>
          <w:b/>
          <w:bCs/>
        </w:rPr>
      </w:pPr>
      <w:r w:rsidRPr="005F050E">
        <w:rPr>
          <w:b/>
          <w:bCs/>
        </w:rPr>
        <w:t>Conclusion</w:t>
      </w:r>
    </w:p>
    <w:p w14:paraId="7D0BD2FF" w14:textId="43B64C30" w:rsidR="00290AF6" w:rsidRDefault="005F050E" w:rsidP="005F050E">
      <w:r>
        <w:t>The researcher finds that the final report is strong, complete and very analytical, but that the process might have been shortened by having a firm conceptual structure earlier in the project. The secondary research could have been enriched with some of the additional context gained from interacting with the primary source information, such as interviewing a regional Toyota marketing manager or using real-time dealer tracking software. In the end, this exercise highlighted not only that international marketing is not a simple repetition of the same playbook, but requires a level of highly localized understanding of the macro-environmental forces</w:t>
      </w:r>
      <w:r w:rsidR="00E94D98">
        <w:t xml:space="preserve"> </w:t>
      </w:r>
      <w:r w:rsidR="003F2FAB" w:rsidRPr="003F2FAB">
        <w:t>(</w:t>
      </w:r>
      <w:proofErr w:type="spellStart"/>
      <w:r w:rsidR="003F2FAB" w:rsidRPr="003F2FAB">
        <w:t>Marceli</w:t>
      </w:r>
      <w:proofErr w:type="spellEnd"/>
      <w:r w:rsidR="003F2FAB" w:rsidRPr="003F2FAB">
        <w:t xml:space="preserve"> Adriane </w:t>
      </w:r>
      <w:proofErr w:type="spellStart"/>
      <w:r w:rsidR="003F2FAB" w:rsidRPr="003F2FAB">
        <w:t>Schvartz</w:t>
      </w:r>
      <w:proofErr w:type="spellEnd"/>
      <w:r w:rsidR="003F2FAB" w:rsidRPr="003F2FAB">
        <w:t xml:space="preserve"> et al., 2024)</w:t>
      </w:r>
      <w:r w:rsidR="003F2FAB">
        <w:t>.</w:t>
      </w:r>
    </w:p>
    <w:p w14:paraId="5B9EF6E6" w14:textId="77777777" w:rsidR="00290AF6" w:rsidRPr="00290AF6" w:rsidRDefault="00290AF6" w:rsidP="00290AF6">
      <w:pPr>
        <w:spacing w:line="259" w:lineRule="auto"/>
        <w:jc w:val="left"/>
        <w:rPr>
          <w:b/>
          <w:bCs/>
        </w:rPr>
      </w:pPr>
      <w:r w:rsidRPr="00290AF6">
        <w:rPr>
          <w:b/>
          <w:bCs/>
        </w:rPr>
        <w:t>Action Plan</w:t>
      </w:r>
    </w:p>
    <w:p w14:paraId="1B412D04" w14:textId="77777777" w:rsidR="00290AF6" w:rsidRDefault="00290AF6" w:rsidP="00290AF6">
      <w:r>
        <w:t>In future research undertakings of this scale, the researcher will implement a specific, three-step action plan to optimize performance:</w:t>
      </w:r>
    </w:p>
    <w:p w14:paraId="2798F32E" w14:textId="60BBC079" w:rsidR="00123790" w:rsidRDefault="00542C11" w:rsidP="00123790">
      <w:r w:rsidRPr="00123790">
        <w:rPr>
          <w:b/>
          <w:bCs/>
        </w:rPr>
        <w:t>Develop a Visual Concept Map:</w:t>
      </w:r>
      <w:r>
        <w:t xml:space="preserve"> </w:t>
      </w:r>
      <w:r w:rsidR="00123790">
        <w:t>To avoid cognitive data overload, the researcher will create a visual hierarchy map of the frameworks which are required before drafting any narrative.</w:t>
      </w:r>
    </w:p>
    <w:p w14:paraId="242D400E" w14:textId="16EFD5BB" w:rsidR="00123790" w:rsidRDefault="00123790" w:rsidP="00123790">
      <w:r w:rsidRPr="00123790">
        <w:rPr>
          <w:b/>
          <w:bCs/>
        </w:rPr>
        <w:t>Adopt Dual-Track Data Gathering:</w:t>
      </w:r>
      <w:r>
        <w:t xml:space="preserve"> The researcher will develop a systematic repository in excel to collect the qualitative theory and quantitative statistics simultaneously, and data will be neatly triangulated as soon as they are collected.</w:t>
      </w:r>
    </w:p>
    <w:p w14:paraId="30C8C73B" w14:textId="77777777" w:rsidR="00123790" w:rsidRDefault="00123790" w:rsidP="00123790">
      <w:r w:rsidRPr="00123790">
        <w:rPr>
          <w:b/>
          <w:bCs/>
        </w:rPr>
        <w:t>Prepare a Dedicated Limitations Log:</w:t>
      </w:r>
      <w:r>
        <w:t xml:space="preserve"> Throughout the research process, the researcher will actively record any gaps in data that are encountered, which will be able to be corrected in a timely fashion with minor changes to the search query to avoid delays in research.</w:t>
      </w:r>
    </w:p>
    <w:p w14:paraId="2DDB4151" w14:textId="7C7BB482" w:rsidR="00290AF6" w:rsidRDefault="00290AF6" w:rsidP="00123790">
      <w:r>
        <w:br w:type="page"/>
      </w:r>
    </w:p>
    <w:p w14:paraId="6B0B8736" w14:textId="5984D4CB" w:rsidR="00FD7888" w:rsidRDefault="00FD7888" w:rsidP="00FD7888">
      <w:pPr>
        <w:pStyle w:val="Heading1"/>
      </w:pPr>
      <w:bookmarkStart w:id="20" w:name="_Toc236778338"/>
      <w:r>
        <w:lastRenderedPageBreak/>
        <w:t>Conclusion</w:t>
      </w:r>
      <w:bookmarkEnd w:id="20"/>
    </w:p>
    <w:p w14:paraId="6EA4641D" w14:textId="77777777" w:rsidR="00FD7888" w:rsidRDefault="00FD7888" w:rsidP="00FD7888">
      <w:r>
        <w:t>Toyota Motor Corporation's worldwide market entry methods and US and Brazilian marketing mix adjustments were compared in this study. The study used PESTEL and Hofstede models to show how a global automotive behemoth may traverse two very distinct macro-environments. The mature, high-income, individualistic US market requires quick battery electrification, high-tech digital integration, and tight regulatory compliance.</w:t>
      </w:r>
    </w:p>
    <w:p w14:paraId="54B50BC4" w14:textId="0B107F5F" w:rsidR="00FD7888" w:rsidRDefault="00FD7888" w:rsidP="00FD7888">
      <w:r>
        <w:t>Toyota's market launch in Brazil validates the Uppsala model by illustrating how the corporation gradually switched from low-risk exports to high-control, localised Foreign Direct Investment. The ethical assessment of Toyota's US marketing mix shows that long-term brand equity requires openness, rigorous regulatory compliance, and true environmental management, not greenwashing or safety concealment.</w:t>
      </w:r>
    </w:p>
    <w:p w14:paraId="045D06D1" w14:textId="02962278" w:rsidR="00E93986" w:rsidRPr="00BF60A2" w:rsidRDefault="00E93986" w:rsidP="00FD7888">
      <w:r w:rsidRPr="00BF60A2">
        <w:br w:type="page"/>
      </w:r>
    </w:p>
    <w:p w14:paraId="7BBA328B" w14:textId="75773496" w:rsidR="00E87074" w:rsidRPr="00E87074" w:rsidRDefault="00E93986" w:rsidP="00E87074">
      <w:pPr>
        <w:pStyle w:val="Heading1"/>
      </w:pPr>
      <w:bookmarkStart w:id="21" w:name="_Toc236778339"/>
      <w:r w:rsidRPr="00E93986">
        <w:lastRenderedPageBreak/>
        <w:t>References</w:t>
      </w:r>
      <w:bookmarkEnd w:id="21"/>
    </w:p>
    <w:p w14:paraId="3187FD2F" w14:textId="77777777" w:rsidR="001D5706" w:rsidRPr="001D5706" w:rsidRDefault="001D5706" w:rsidP="001D5706">
      <w:pPr>
        <w:rPr>
          <w:lang w:eastAsia="en-GB"/>
        </w:rPr>
      </w:pPr>
      <w:proofErr w:type="spellStart"/>
      <w:r w:rsidRPr="001D5706">
        <w:rPr>
          <w:lang w:eastAsia="en-GB"/>
        </w:rPr>
        <w:t>ABGi</w:t>
      </w:r>
      <w:proofErr w:type="spellEnd"/>
      <w:r w:rsidRPr="001D5706">
        <w:rPr>
          <w:lang w:eastAsia="en-GB"/>
        </w:rPr>
        <w:t xml:space="preserve"> (2024). </w:t>
      </w:r>
      <w:r w:rsidRPr="001D5706">
        <w:rPr>
          <w:i/>
          <w:iCs/>
          <w:lang w:eastAsia="en-GB"/>
        </w:rPr>
        <w:t>MOVER programme: Towards green mobility in Brazil</w:t>
      </w:r>
      <w:r w:rsidRPr="001D5706">
        <w:rPr>
          <w:lang w:eastAsia="en-GB"/>
        </w:rPr>
        <w:t xml:space="preserve">. [online] </w:t>
      </w:r>
      <w:proofErr w:type="spellStart"/>
      <w:r w:rsidRPr="001D5706">
        <w:rPr>
          <w:lang w:eastAsia="en-GB"/>
        </w:rPr>
        <w:t>ABGi</w:t>
      </w:r>
      <w:proofErr w:type="spellEnd"/>
      <w:r w:rsidRPr="001D5706">
        <w:rPr>
          <w:lang w:eastAsia="en-GB"/>
        </w:rPr>
        <w:t xml:space="preserve"> | </w:t>
      </w:r>
      <w:proofErr w:type="spellStart"/>
      <w:r w:rsidRPr="001D5706">
        <w:rPr>
          <w:lang w:eastAsia="en-GB"/>
        </w:rPr>
        <w:t>ABGi</w:t>
      </w:r>
      <w:proofErr w:type="spellEnd"/>
      <w:r w:rsidRPr="001D5706">
        <w:rPr>
          <w:lang w:eastAsia="en-GB"/>
        </w:rPr>
        <w:t>, sustainable transformation. Available at: https://abgi-france.com/en/expertises/innovation-practice/international-schemes/mover-programme/ [Accessed 12 July 2026].</w:t>
      </w:r>
    </w:p>
    <w:p w14:paraId="4908C3F3" w14:textId="77777777" w:rsidR="001D5706" w:rsidRPr="001D5706" w:rsidRDefault="001D5706" w:rsidP="001D5706">
      <w:pPr>
        <w:rPr>
          <w:lang w:eastAsia="en-GB"/>
        </w:rPr>
      </w:pPr>
      <w:r w:rsidRPr="001D5706">
        <w:rPr>
          <w:lang w:eastAsia="en-GB"/>
        </w:rPr>
        <w:t xml:space="preserve">Allen, A. (2020). </w:t>
      </w:r>
      <w:r w:rsidRPr="001D5706">
        <w:rPr>
          <w:i/>
          <w:iCs/>
          <w:lang w:eastAsia="en-GB"/>
        </w:rPr>
        <w:t>The 7Ps of The Marketing Mix</w:t>
      </w:r>
      <w:r w:rsidRPr="001D5706">
        <w:rPr>
          <w:lang w:eastAsia="en-GB"/>
        </w:rPr>
        <w:t>. [online] Oxford College of Marketing. Available at: https://blog.oxfordcollegeofmarketing.com/2020/10/08/understanding-the-7ps-of-the-marketing-mix/ [Accessed 12 July 2026].</w:t>
      </w:r>
    </w:p>
    <w:p w14:paraId="70520CE1" w14:textId="77777777" w:rsidR="001D5706" w:rsidRPr="001D5706" w:rsidRDefault="001D5706" w:rsidP="001D5706">
      <w:pPr>
        <w:rPr>
          <w:lang w:eastAsia="en-GB"/>
        </w:rPr>
      </w:pPr>
      <w:proofErr w:type="spellStart"/>
      <w:r w:rsidRPr="001D5706">
        <w:rPr>
          <w:lang w:eastAsia="en-GB"/>
        </w:rPr>
        <w:t>Alqarni</w:t>
      </w:r>
      <w:proofErr w:type="spellEnd"/>
      <w:r w:rsidRPr="001D5706">
        <w:rPr>
          <w:lang w:eastAsia="en-GB"/>
        </w:rPr>
        <w:t xml:space="preserve">, A. (2022). Hofstede’s cultural dimensions in relation to learning behaviours and learning styles: A critical analysis of studies under different cultural and language learning environments. </w:t>
      </w:r>
      <w:proofErr w:type="spellStart"/>
      <w:r w:rsidRPr="001D5706">
        <w:rPr>
          <w:i/>
          <w:iCs/>
          <w:lang w:eastAsia="en-GB"/>
        </w:rPr>
        <w:t>Alqarni</w:t>
      </w:r>
      <w:proofErr w:type="spellEnd"/>
      <w:r w:rsidRPr="001D5706">
        <w:rPr>
          <w:i/>
          <w:iCs/>
          <w:lang w:eastAsia="en-GB"/>
        </w:rPr>
        <w:t xml:space="preserve"> / Journal of Language and Linguistic Studies</w:t>
      </w:r>
      <w:r w:rsidRPr="001D5706">
        <w:rPr>
          <w:lang w:eastAsia="en-GB"/>
        </w:rPr>
        <w:t>, [online] 18(1), pp.721–739. Available at: https://files.eric.ed.gov/fulltext/EJ1328766.pdf [Accessed 13 July 2026].</w:t>
      </w:r>
    </w:p>
    <w:p w14:paraId="16C4F825" w14:textId="69921555" w:rsidR="001D5706" w:rsidRPr="001D5706" w:rsidRDefault="001D5706" w:rsidP="001D5706">
      <w:pPr>
        <w:rPr>
          <w:lang w:eastAsia="en-GB"/>
        </w:rPr>
      </w:pPr>
      <w:proofErr w:type="spellStart"/>
      <w:r w:rsidRPr="001D5706">
        <w:rPr>
          <w:lang w:eastAsia="en-GB"/>
        </w:rPr>
        <w:t>Anfavea</w:t>
      </w:r>
      <w:proofErr w:type="spellEnd"/>
      <w:r w:rsidRPr="001D5706">
        <w:rPr>
          <w:lang w:eastAsia="en-GB"/>
        </w:rPr>
        <w:t xml:space="preserve"> (2026). </w:t>
      </w:r>
      <w:r w:rsidRPr="001D5706">
        <w:rPr>
          <w:i/>
          <w:iCs/>
          <w:lang w:eastAsia="en-GB"/>
        </w:rPr>
        <w:t xml:space="preserve">Route 2030 | </w:t>
      </w:r>
      <w:proofErr w:type="spellStart"/>
      <w:r w:rsidRPr="001D5706">
        <w:rPr>
          <w:i/>
          <w:iCs/>
          <w:lang w:eastAsia="en-GB"/>
        </w:rPr>
        <w:t>Anfavea</w:t>
      </w:r>
      <w:proofErr w:type="spellEnd"/>
      <w:r w:rsidRPr="001D5706">
        <w:rPr>
          <w:lang w:eastAsia="en-GB"/>
        </w:rPr>
        <w:t>. [online] Anfavea.com.br. Available at: https://anfavea.com.br/site/route-2030/ [Accessed 1</w:t>
      </w:r>
      <w:r>
        <w:rPr>
          <w:lang w:eastAsia="en-GB"/>
        </w:rPr>
        <w:t>0</w:t>
      </w:r>
      <w:r w:rsidRPr="001D5706">
        <w:rPr>
          <w:lang w:eastAsia="en-GB"/>
        </w:rPr>
        <w:t xml:space="preserve"> July 2026].</w:t>
      </w:r>
    </w:p>
    <w:p w14:paraId="1D706634" w14:textId="2CA58912" w:rsidR="001D5706" w:rsidRPr="001D5706" w:rsidRDefault="001D5706" w:rsidP="001D5706">
      <w:pPr>
        <w:rPr>
          <w:lang w:eastAsia="en-GB"/>
        </w:rPr>
      </w:pPr>
      <w:r w:rsidRPr="001D5706">
        <w:rPr>
          <w:lang w:eastAsia="en-GB"/>
        </w:rPr>
        <w:t xml:space="preserve">Arvidsson, H.G.S. and Arvidsson, R. (2020). </w:t>
      </w:r>
      <w:r w:rsidRPr="001D5706">
        <w:rPr>
          <w:i/>
          <w:iCs/>
          <w:lang w:eastAsia="en-GB"/>
        </w:rPr>
        <w:t xml:space="preserve">The Uppsala Model of Internationalisation and </w:t>
      </w:r>
      <w:proofErr w:type="gramStart"/>
      <w:r w:rsidRPr="001D5706">
        <w:rPr>
          <w:i/>
          <w:iCs/>
          <w:lang w:eastAsia="en-GB"/>
        </w:rPr>
        <w:t>beyond:</w:t>
      </w:r>
      <w:r w:rsidRPr="001D5706">
        <w:rPr>
          <w:lang w:eastAsia="en-GB"/>
        </w:rPr>
        <w:t>.</w:t>
      </w:r>
      <w:proofErr w:type="gramEnd"/>
      <w:r w:rsidRPr="001D5706">
        <w:rPr>
          <w:lang w:eastAsia="en-GB"/>
        </w:rPr>
        <w:t xml:space="preserve"> [online] ResearchGate. Available at: https://www.researchgate.net/publication/340756944_The_Uppsala_Model_of_internationalisation_and_beyond [Accessed 1</w:t>
      </w:r>
      <w:r>
        <w:rPr>
          <w:lang w:eastAsia="en-GB"/>
        </w:rPr>
        <w:t>4</w:t>
      </w:r>
      <w:r w:rsidRPr="001D5706">
        <w:rPr>
          <w:lang w:eastAsia="en-GB"/>
        </w:rPr>
        <w:t xml:space="preserve"> July 2026].</w:t>
      </w:r>
    </w:p>
    <w:p w14:paraId="7C0DACA8" w14:textId="77777777" w:rsidR="001D5706" w:rsidRPr="001D5706" w:rsidRDefault="001D5706" w:rsidP="001D5706">
      <w:pPr>
        <w:rPr>
          <w:lang w:eastAsia="en-GB"/>
        </w:rPr>
      </w:pPr>
      <w:proofErr w:type="spellStart"/>
      <w:r w:rsidRPr="001D5706">
        <w:rPr>
          <w:lang w:eastAsia="en-GB"/>
        </w:rPr>
        <w:t>Athayde</w:t>
      </w:r>
      <w:proofErr w:type="spellEnd"/>
      <w:r w:rsidRPr="001D5706">
        <w:rPr>
          <w:lang w:eastAsia="en-GB"/>
        </w:rPr>
        <w:t xml:space="preserve">, A.L.M. and Coutinho, H.I.S. (2023). </w:t>
      </w:r>
      <w:proofErr w:type="spellStart"/>
      <w:r w:rsidRPr="001D5706">
        <w:rPr>
          <w:lang w:eastAsia="en-GB"/>
        </w:rPr>
        <w:t>Características</w:t>
      </w:r>
      <w:proofErr w:type="spellEnd"/>
      <w:r w:rsidRPr="001D5706">
        <w:rPr>
          <w:lang w:eastAsia="en-GB"/>
        </w:rPr>
        <w:t xml:space="preserve"> </w:t>
      </w:r>
      <w:proofErr w:type="spellStart"/>
      <w:r w:rsidRPr="001D5706">
        <w:rPr>
          <w:lang w:eastAsia="en-GB"/>
        </w:rPr>
        <w:t>individuais</w:t>
      </w:r>
      <w:proofErr w:type="spellEnd"/>
      <w:r w:rsidRPr="001D5706">
        <w:rPr>
          <w:lang w:eastAsia="en-GB"/>
        </w:rPr>
        <w:t xml:space="preserve"> da </w:t>
      </w:r>
      <w:proofErr w:type="spellStart"/>
      <w:r w:rsidRPr="001D5706">
        <w:rPr>
          <w:lang w:eastAsia="en-GB"/>
        </w:rPr>
        <w:t>inovação</w:t>
      </w:r>
      <w:proofErr w:type="spellEnd"/>
      <w:proofErr w:type="gramStart"/>
      <w:r w:rsidRPr="001D5706">
        <w:rPr>
          <w:lang w:eastAsia="en-GB"/>
        </w:rPr>
        <w:t>: :</w:t>
      </w:r>
      <w:proofErr w:type="gramEnd"/>
      <w:r w:rsidRPr="001D5706">
        <w:rPr>
          <w:lang w:eastAsia="en-GB"/>
        </w:rPr>
        <w:t xml:space="preserve"> Uma </w:t>
      </w:r>
      <w:proofErr w:type="spellStart"/>
      <w:r w:rsidRPr="001D5706">
        <w:rPr>
          <w:lang w:eastAsia="en-GB"/>
        </w:rPr>
        <w:t>comparação</w:t>
      </w:r>
      <w:proofErr w:type="spellEnd"/>
      <w:r w:rsidRPr="001D5706">
        <w:rPr>
          <w:lang w:eastAsia="en-GB"/>
        </w:rPr>
        <w:t xml:space="preserve"> transcultural entre </w:t>
      </w:r>
      <w:proofErr w:type="spellStart"/>
      <w:r w:rsidRPr="001D5706">
        <w:rPr>
          <w:lang w:eastAsia="en-GB"/>
        </w:rPr>
        <w:t>brasileiros</w:t>
      </w:r>
      <w:proofErr w:type="spellEnd"/>
      <w:r w:rsidRPr="001D5706">
        <w:rPr>
          <w:lang w:eastAsia="en-GB"/>
        </w:rPr>
        <w:t xml:space="preserve"> e americanos. </w:t>
      </w:r>
      <w:proofErr w:type="spellStart"/>
      <w:r w:rsidRPr="001D5706">
        <w:rPr>
          <w:i/>
          <w:iCs/>
          <w:lang w:eastAsia="en-GB"/>
        </w:rPr>
        <w:t>Revista</w:t>
      </w:r>
      <w:proofErr w:type="spellEnd"/>
      <w:r w:rsidRPr="001D5706">
        <w:rPr>
          <w:i/>
          <w:iCs/>
          <w:lang w:eastAsia="en-GB"/>
        </w:rPr>
        <w:t xml:space="preserve"> de </w:t>
      </w:r>
      <w:proofErr w:type="spellStart"/>
      <w:r w:rsidRPr="001D5706">
        <w:rPr>
          <w:i/>
          <w:iCs/>
          <w:lang w:eastAsia="en-GB"/>
        </w:rPr>
        <w:t>Administração</w:t>
      </w:r>
      <w:proofErr w:type="spellEnd"/>
      <w:r w:rsidRPr="001D5706">
        <w:rPr>
          <w:i/>
          <w:iCs/>
          <w:lang w:eastAsia="en-GB"/>
        </w:rPr>
        <w:t xml:space="preserve">, </w:t>
      </w:r>
      <w:proofErr w:type="spellStart"/>
      <w:r w:rsidRPr="001D5706">
        <w:rPr>
          <w:i/>
          <w:iCs/>
          <w:lang w:eastAsia="en-GB"/>
        </w:rPr>
        <w:t>Sociedade</w:t>
      </w:r>
      <w:proofErr w:type="spellEnd"/>
      <w:r w:rsidRPr="001D5706">
        <w:rPr>
          <w:i/>
          <w:iCs/>
          <w:lang w:eastAsia="en-GB"/>
        </w:rPr>
        <w:t xml:space="preserve"> e </w:t>
      </w:r>
      <w:proofErr w:type="spellStart"/>
      <w:r w:rsidRPr="001D5706">
        <w:rPr>
          <w:i/>
          <w:iCs/>
          <w:lang w:eastAsia="en-GB"/>
        </w:rPr>
        <w:t>Inovação</w:t>
      </w:r>
      <w:proofErr w:type="spellEnd"/>
      <w:r w:rsidRPr="001D5706">
        <w:rPr>
          <w:lang w:eastAsia="en-GB"/>
        </w:rPr>
        <w:t>, [online] 9(1), pp.11–24. doi:10.20401/rasi.9.1.665.</w:t>
      </w:r>
    </w:p>
    <w:p w14:paraId="33A5AC15" w14:textId="384AF78F" w:rsidR="001D5706" w:rsidRPr="001D5706" w:rsidRDefault="001D5706" w:rsidP="001D5706">
      <w:pPr>
        <w:rPr>
          <w:lang w:eastAsia="en-GB"/>
        </w:rPr>
      </w:pPr>
      <w:r w:rsidRPr="001D5706">
        <w:rPr>
          <w:lang w:eastAsia="en-GB"/>
        </w:rPr>
        <w:t xml:space="preserve">Bennett, M. (2026). </w:t>
      </w:r>
      <w:r w:rsidRPr="001D5706">
        <w:rPr>
          <w:i/>
          <w:iCs/>
          <w:lang w:eastAsia="en-GB"/>
        </w:rPr>
        <w:t xml:space="preserve">Toyota Do </w:t>
      </w:r>
      <w:proofErr w:type="spellStart"/>
      <w:r w:rsidRPr="001D5706">
        <w:rPr>
          <w:i/>
          <w:iCs/>
          <w:lang w:eastAsia="en-GB"/>
        </w:rPr>
        <w:t>Brasil</w:t>
      </w:r>
      <w:proofErr w:type="spellEnd"/>
      <w:r w:rsidRPr="001D5706">
        <w:rPr>
          <w:i/>
          <w:iCs/>
          <w:lang w:eastAsia="en-GB"/>
        </w:rPr>
        <w:t>: Bloomberg Insights &amp; Analysis</w:t>
      </w:r>
      <w:r w:rsidRPr="001D5706">
        <w:rPr>
          <w:lang w:eastAsia="en-GB"/>
        </w:rPr>
        <w:t xml:space="preserve">. [online] </w:t>
      </w:r>
      <w:proofErr w:type="spellStart"/>
      <w:r w:rsidRPr="001D5706">
        <w:rPr>
          <w:lang w:eastAsia="en-GB"/>
        </w:rPr>
        <w:t>Bolair</w:t>
      </w:r>
      <w:proofErr w:type="spellEnd"/>
      <w:r w:rsidRPr="001D5706">
        <w:rPr>
          <w:lang w:eastAsia="en-GB"/>
        </w:rPr>
        <w:t xml:space="preserve"> News. Available at: https://academy.bolair.ca/bolair-news/toyota-do-brasil-bloomberg-insights-and-analysis-1767648717 [Accessed 1</w:t>
      </w:r>
      <w:r>
        <w:rPr>
          <w:lang w:eastAsia="en-GB"/>
        </w:rPr>
        <w:t>1</w:t>
      </w:r>
      <w:r w:rsidRPr="001D5706">
        <w:rPr>
          <w:lang w:eastAsia="en-GB"/>
        </w:rPr>
        <w:t xml:space="preserve"> July 2026].</w:t>
      </w:r>
    </w:p>
    <w:p w14:paraId="75C76FA0" w14:textId="77777777" w:rsidR="001D5706" w:rsidRPr="001D5706" w:rsidRDefault="001D5706" w:rsidP="001D5706">
      <w:pPr>
        <w:rPr>
          <w:lang w:eastAsia="en-GB"/>
        </w:rPr>
      </w:pPr>
      <w:proofErr w:type="spellStart"/>
      <w:r w:rsidRPr="001D5706">
        <w:rPr>
          <w:lang w:eastAsia="en-GB"/>
        </w:rPr>
        <w:t>Beugelsdijk</w:t>
      </w:r>
      <w:proofErr w:type="spellEnd"/>
      <w:r w:rsidRPr="001D5706">
        <w:rPr>
          <w:lang w:eastAsia="en-GB"/>
        </w:rPr>
        <w:t xml:space="preserve">, S. and </w:t>
      </w:r>
      <w:proofErr w:type="spellStart"/>
      <w:r w:rsidRPr="001D5706">
        <w:rPr>
          <w:lang w:eastAsia="en-GB"/>
        </w:rPr>
        <w:t>Welzel</w:t>
      </w:r>
      <w:proofErr w:type="spellEnd"/>
      <w:r w:rsidRPr="001D5706">
        <w:rPr>
          <w:lang w:eastAsia="en-GB"/>
        </w:rPr>
        <w:t xml:space="preserve">, C. (2018). Dimensions and Dynamics of National Culture: Synthesizing Hofstede </w:t>
      </w:r>
      <w:proofErr w:type="gramStart"/>
      <w:r w:rsidRPr="001D5706">
        <w:rPr>
          <w:lang w:eastAsia="en-GB"/>
        </w:rPr>
        <w:t>With</w:t>
      </w:r>
      <w:proofErr w:type="gramEnd"/>
      <w:r w:rsidRPr="001D5706">
        <w:rPr>
          <w:lang w:eastAsia="en-GB"/>
        </w:rPr>
        <w:t xml:space="preserve"> Inglehart. </w:t>
      </w:r>
      <w:r w:rsidRPr="001D5706">
        <w:rPr>
          <w:i/>
          <w:iCs/>
          <w:lang w:eastAsia="en-GB"/>
        </w:rPr>
        <w:t>Journal of Cross-Cultural Psychology</w:t>
      </w:r>
      <w:r w:rsidRPr="001D5706">
        <w:rPr>
          <w:lang w:eastAsia="en-GB"/>
        </w:rPr>
        <w:t>, [online] 49(10), pp.1469–1505. doi:10.1177/0022022118798505.</w:t>
      </w:r>
    </w:p>
    <w:p w14:paraId="7F1250B2" w14:textId="77777777" w:rsidR="001D5706" w:rsidRPr="001D5706" w:rsidRDefault="001D5706" w:rsidP="001D5706">
      <w:pPr>
        <w:rPr>
          <w:lang w:eastAsia="en-GB"/>
        </w:rPr>
      </w:pPr>
      <w:proofErr w:type="spellStart"/>
      <w:r w:rsidRPr="001D5706">
        <w:rPr>
          <w:lang w:eastAsia="en-GB"/>
        </w:rPr>
        <w:t>Bhattacheryay</w:t>
      </w:r>
      <w:proofErr w:type="spellEnd"/>
      <w:r w:rsidRPr="001D5706">
        <w:rPr>
          <w:lang w:eastAsia="en-GB"/>
        </w:rPr>
        <w:t xml:space="preserve">, S. (2021). Multinational Working Capital Management a Study on Toyota Motor Corporation. </w:t>
      </w:r>
      <w:r w:rsidRPr="001D5706">
        <w:rPr>
          <w:i/>
          <w:iCs/>
          <w:lang w:eastAsia="en-GB"/>
        </w:rPr>
        <w:t>International Journal of Finance &amp; Economics</w:t>
      </w:r>
      <w:r w:rsidRPr="001D5706">
        <w:rPr>
          <w:lang w:eastAsia="en-GB"/>
        </w:rPr>
        <w:t>, 28(1).</w:t>
      </w:r>
    </w:p>
    <w:p w14:paraId="7CAEBB5D" w14:textId="614BB1F5" w:rsidR="001D5706" w:rsidRPr="001D5706" w:rsidRDefault="001D5706" w:rsidP="001D5706">
      <w:pPr>
        <w:rPr>
          <w:lang w:eastAsia="en-GB"/>
        </w:rPr>
      </w:pPr>
      <w:r w:rsidRPr="001D5706">
        <w:rPr>
          <w:lang w:eastAsia="en-GB"/>
        </w:rPr>
        <w:t xml:space="preserve">Business Research Methodology (2023). </w:t>
      </w:r>
      <w:r w:rsidRPr="001D5706">
        <w:rPr>
          <w:i/>
          <w:iCs/>
          <w:lang w:eastAsia="en-GB"/>
        </w:rPr>
        <w:t>Segmentation, Targeting &amp; Positioning (STP)</w:t>
      </w:r>
      <w:r w:rsidRPr="001D5706">
        <w:rPr>
          <w:lang w:eastAsia="en-GB"/>
        </w:rPr>
        <w:t>. [online] Research-Methodology. Available at: https://research-methodology.net/theory/marketing/segmentation-targeting-positioning-stp/ [Accessed 1</w:t>
      </w:r>
      <w:r>
        <w:rPr>
          <w:lang w:eastAsia="en-GB"/>
        </w:rPr>
        <w:t>4</w:t>
      </w:r>
      <w:r w:rsidRPr="001D5706">
        <w:rPr>
          <w:lang w:eastAsia="en-GB"/>
        </w:rPr>
        <w:t xml:space="preserve"> July 2026].</w:t>
      </w:r>
    </w:p>
    <w:p w14:paraId="5656E4FB" w14:textId="77777777" w:rsidR="001D5706" w:rsidRPr="001D5706" w:rsidRDefault="001D5706" w:rsidP="001D5706">
      <w:pPr>
        <w:rPr>
          <w:lang w:eastAsia="en-GB"/>
        </w:rPr>
      </w:pPr>
      <w:r w:rsidRPr="001D5706">
        <w:rPr>
          <w:lang w:eastAsia="en-GB"/>
        </w:rPr>
        <w:lastRenderedPageBreak/>
        <w:t xml:space="preserve">Chen, S. (2023). The Motivation and Performance Analysis of the Multinational Strategic Alliance between BYD and Toyota. </w:t>
      </w:r>
      <w:r w:rsidRPr="001D5706">
        <w:rPr>
          <w:i/>
          <w:iCs/>
          <w:lang w:eastAsia="en-GB"/>
        </w:rPr>
        <w:t>Information Systems and Economics</w:t>
      </w:r>
      <w:r w:rsidRPr="001D5706">
        <w:rPr>
          <w:lang w:eastAsia="en-GB"/>
        </w:rPr>
        <w:t>, 4(2). doi:10.23977/infse.2023.040207.</w:t>
      </w:r>
    </w:p>
    <w:p w14:paraId="5E9B574F" w14:textId="77777777" w:rsidR="001D5706" w:rsidRPr="001D5706" w:rsidRDefault="001D5706" w:rsidP="001D5706">
      <w:pPr>
        <w:rPr>
          <w:lang w:eastAsia="en-GB"/>
        </w:rPr>
      </w:pPr>
      <w:r w:rsidRPr="001D5706">
        <w:rPr>
          <w:lang w:eastAsia="en-GB"/>
        </w:rPr>
        <w:t xml:space="preserve">CORPORATION, T.M. (2018). </w:t>
      </w:r>
      <w:r w:rsidRPr="001D5706">
        <w:rPr>
          <w:i/>
          <w:iCs/>
          <w:lang w:eastAsia="en-GB"/>
        </w:rPr>
        <w:t>Toyota Reveals World-First Flexible Fuel Hybrid Prototype in Brazil | Corporate | Global Newsroom</w:t>
      </w:r>
      <w:r w:rsidRPr="001D5706">
        <w:rPr>
          <w:lang w:eastAsia="en-GB"/>
        </w:rPr>
        <w:t>. [online] Toyota Motor Corporation Official Global Website. Available at: https://global.toyota/en/newsroom/corporate/21633112.html [Accessed 13 July 2026].</w:t>
      </w:r>
    </w:p>
    <w:p w14:paraId="087161A5" w14:textId="110A6193" w:rsidR="001D5706" w:rsidRPr="001D5706" w:rsidRDefault="001D5706" w:rsidP="001D5706">
      <w:pPr>
        <w:rPr>
          <w:lang w:eastAsia="en-GB"/>
        </w:rPr>
      </w:pPr>
      <w:r w:rsidRPr="001D5706">
        <w:rPr>
          <w:lang w:eastAsia="en-GB"/>
        </w:rPr>
        <w:t xml:space="preserve">EWG (2021). </w:t>
      </w:r>
      <w:r w:rsidRPr="001D5706">
        <w:rPr>
          <w:i/>
          <w:iCs/>
          <w:lang w:eastAsia="en-GB"/>
        </w:rPr>
        <w:t>Toyota to Pay $180 Million for ‘Systemic, Longstanding’ Emissions Violations of Clean Air Act</w:t>
      </w:r>
      <w:r w:rsidRPr="001D5706">
        <w:rPr>
          <w:lang w:eastAsia="en-GB"/>
        </w:rPr>
        <w:t>. [online] Environmental Working Group. Available at: https://www.ewg.org/news-insights/news-release/toyota-pay-180-million-systemic-longstanding-emissions-violations-clean [Accessed 1</w:t>
      </w:r>
      <w:r w:rsidR="00F86EDF">
        <w:rPr>
          <w:lang w:eastAsia="en-GB"/>
        </w:rPr>
        <w:t>5</w:t>
      </w:r>
      <w:r w:rsidRPr="001D5706">
        <w:rPr>
          <w:lang w:eastAsia="en-GB"/>
        </w:rPr>
        <w:t xml:space="preserve"> July 2026].</w:t>
      </w:r>
    </w:p>
    <w:p w14:paraId="00BBB8A8" w14:textId="0B6FBEC8" w:rsidR="001D5706" w:rsidRPr="001D5706" w:rsidRDefault="001D5706" w:rsidP="001D5706">
      <w:pPr>
        <w:rPr>
          <w:lang w:eastAsia="en-GB"/>
        </w:rPr>
      </w:pPr>
      <w:r w:rsidRPr="001D5706">
        <w:rPr>
          <w:lang w:eastAsia="en-GB"/>
        </w:rPr>
        <w:t xml:space="preserve">Greene, J. (2024). </w:t>
      </w:r>
      <w:r w:rsidRPr="001D5706">
        <w:rPr>
          <w:i/>
          <w:iCs/>
          <w:lang w:eastAsia="en-GB"/>
        </w:rPr>
        <w:t>Hofstede’s cultural dimensions theory | EBSCO</w:t>
      </w:r>
      <w:r w:rsidRPr="001D5706">
        <w:rPr>
          <w:lang w:eastAsia="en-GB"/>
        </w:rPr>
        <w:t>. [online] EBSCO Information Services, Inc. | www.ebsco.com. Available at: https://www.ebsco.com/research-starters/business-and-management/hofstedes-cultural-dimensions-theory [Accessed 1</w:t>
      </w:r>
      <w:r w:rsidR="00F86EDF">
        <w:rPr>
          <w:lang w:eastAsia="en-GB"/>
        </w:rPr>
        <w:t>0</w:t>
      </w:r>
      <w:r w:rsidRPr="001D5706">
        <w:rPr>
          <w:lang w:eastAsia="en-GB"/>
        </w:rPr>
        <w:t xml:space="preserve"> July 2026].</w:t>
      </w:r>
    </w:p>
    <w:p w14:paraId="3CA7C3F9" w14:textId="098D0601" w:rsidR="001D5706" w:rsidRPr="001D5706" w:rsidRDefault="001D5706" w:rsidP="001D5706">
      <w:pPr>
        <w:rPr>
          <w:lang w:eastAsia="en-GB"/>
        </w:rPr>
      </w:pPr>
      <w:r w:rsidRPr="001D5706">
        <w:rPr>
          <w:lang w:eastAsia="en-GB"/>
        </w:rPr>
        <w:t xml:space="preserve">Guo, S. and </w:t>
      </w:r>
      <w:proofErr w:type="spellStart"/>
      <w:r w:rsidRPr="001D5706">
        <w:rPr>
          <w:lang w:eastAsia="en-GB"/>
        </w:rPr>
        <w:t>Pasapoo</w:t>
      </w:r>
      <w:proofErr w:type="spellEnd"/>
      <w:r w:rsidRPr="001D5706">
        <w:rPr>
          <w:lang w:eastAsia="en-GB"/>
        </w:rPr>
        <w:t xml:space="preserve"> </w:t>
      </w:r>
      <w:proofErr w:type="spellStart"/>
      <w:r w:rsidRPr="001D5706">
        <w:rPr>
          <w:lang w:eastAsia="en-GB"/>
        </w:rPr>
        <w:t>Upathamwaranon</w:t>
      </w:r>
      <w:proofErr w:type="spellEnd"/>
      <w:r w:rsidRPr="001D5706">
        <w:rPr>
          <w:lang w:eastAsia="en-GB"/>
        </w:rPr>
        <w:t xml:space="preserve"> (2008). </w:t>
      </w:r>
      <w:r w:rsidRPr="001D5706">
        <w:rPr>
          <w:i/>
          <w:iCs/>
          <w:lang w:eastAsia="en-GB"/>
        </w:rPr>
        <w:t xml:space="preserve">The Internationalization Process of Toyota in </w:t>
      </w:r>
      <w:proofErr w:type="gramStart"/>
      <w:r w:rsidRPr="001D5706">
        <w:rPr>
          <w:i/>
          <w:iCs/>
          <w:lang w:eastAsia="en-GB"/>
        </w:rPr>
        <w:t>Europe :</w:t>
      </w:r>
      <w:proofErr w:type="gramEnd"/>
      <w:r w:rsidRPr="001D5706">
        <w:rPr>
          <w:i/>
          <w:iCs/>
          <w:lang w:eastAsia="en-GB"/>
        </w:rPr>
        <w:t xml:space="preserve"> From the Perspectives of Entry Mode and Network Structure</w:t>
      </w:r>
      <w:r w:rsidRPr="001D5706">
        <w:rPr>
          <w:lang w:eastAsia="en-GB"/>
        </w:rPr>
        <w:t>. [online] Sixing Guo. Available at: https://www.researchgate.net/publication/277801018_The_Internationalization_Process_of_Toyota_in_Europe_From_the_Perspectives_of_Entry_Mode_and_Network_Structure [Accessed 1</w:t>
      </w:r>
      <w:r w:rsidR="00F86EDF">
        <w:rPr>
          <w:lang w:eastAsia="en-GB"/>
        </w:rPr>
        <w:t>0</w:t>
      </w:r>
      <w:r w:rsidRPr="001D5706">
        <w:rPr>
          <w:lang w:eastAsia="en-GB"/>
        </w:rPr>
        <w:t xml:space="preserve"> July 2026].</w:t>
      </w:r>
    </w:p>
    <w:p w14:paraId="0B15F11E" w14:textId="77777777" w:rsidR="001D5706" w:rsidRPr="001D5706" w:rsidRDefault="001D5706" w:rsidP="001D5706">
      <w:pPr>
        <w:rPr>
          <w:lang w:eastAsia="en-GB"/>
        </w:rPr>
      </w:pPr>
      <w:proofErr w:type="spellStart"/>
      <w:r w:rsidRPr="001D5706">
        <w:rPr>
          <w:lang w:eastAsia="en-GB"/>
        </w:rPr>
        <w:t>Hollensen</w:t>
      </w:r>
      <w:proofErr w:type="spellEnd"/>
      <w:r w:rsidRPr="001D5706">
        <w:rPr>
          <w:lang w:eastAsia="en-GB"/>
        </w:rPr>
        <w:t xml:space="preserve">, S. (2024). </w:t>
      </w:r>
      <w:r w:rsidRPr="001D5706">
        <w:rPr>
          <w:i/>
          <w:iCs/>
          <w:lang w:eastAsia="en-GB"/>
        </w:rPr>
        <w:t>Global Marketing</w:t>
      </w:r>
      <w:r w:rsidRPr="001D5706">
        <w:rPr>
          <w:lang w:eastAsia="en-GB"/>
        </w:rPr>
        <w:t xml:space="preserve">. 8th </w:t>
      </w:r>
      <w:proofErr w:type="spellStart"/>
      <w:r w:rsidRPr="001D5706">
        <w:rPr>
          <w:lang w:eastAsia="en-GB"/>
        </w:rPr>
        <w:t>edn</w:t>
      </w:r>
      <w:proofErr w:type="spellEnd"/>
      <w:r w:rsidRPr="001D5706">
        <w:rPr>
          <w:lang w:eastAsia="en-GB"/>
        </w:rPr>
        <w:t>. Pearson Education Limited.</w:t>
      </w:r>
    </w:p>
    <w:p w14:paraId="63CFB9AE" w14:textId="77777777" w:rsidR="001D5706" w:rsidRPr="001D5706" w:rsidRDefault="001D5706" w:rsidP="001D5706">
      <w:pPr>
        <w:rPr>
          <w:lang w:eastAsia="en-GB"/>
        </w:rPr>
      </w:pPr>
      <w:r w:rsidRPr="001D5706">
        <w:rPr>
          <w:lang w:eastAsia="en-GB"/>
        </w:rPr>
        <w:t xml:space="preserve">International Trade (2025). </w:t>
      </w:r>
      <w:r w:rsidRPr="001D5706">
        <w:rPr>
          <w:i/>
          <w:iCs/>
          <w:lang w:eastAsia="en-GB"/>
        </w:rPr>
        <w:t>Brazil Automotive Incentives for EV Competition and Innovation</w:t>
      </w:r>
      <w:r w:rsidRPr="001D5706">
        <w:rPr>
          <w:lang w:eastAsia="en-GB"/>
        </w:rPr>
        <w:t>. [online] International Trade Administration | Trade.gov. Available at: https://www.trade.gov/market-intelligence/brazil-automotive-incentives-ev-competition-and-innovation [Accessed 13 July 2026].</w:t>
      </w:r>
    </w:p>
    <w:p w14:paraId="33132160" w14:textId="77777777" w:rsidR="001D5706" w:rsidRPr="001D5706" w:rsidRDefault="001D5706" w:rsidP="001D5706">
      <w:pPr>
        <w:rPr>
          <w:lang w:eastAsia="en-GB"/>
        </w:rPr>
      </w:pPr>
      <w:r w:rsidRPr="001D5706">
        <w:rPr>
          <w:lang w:eastAsia="en-GB"/>
        </w:rPr>
        <w:t xml:space="preserve">Iqbal, A. (2025). </w:t>
      </w:r>
      <w:r w:rsidRPr="001D5706">
        <w:rPr>
          <w:i/>
          <w:iCs/>
          <w:lang w:eastAsia="en-GB"/>
        </w:rPr>
        <w:t>PESTLE Analysis: The CEO’s Guide to Future-Proofing a Business</w:t>
      </w:r>
      <w:r w:rsidRPr="001D5706">
        <w:rPr>
          <w:lang w:eastAsia="en-GB"/>
        </w:rPr>
        <w:t>. [online] Medium. Available at: https://medium.com/techno-preneurship/pestle-analysis-the-ceos-guide-to-future-proofing-a-business-877e6c4e20ea [Accessed 14 July 2026].</w:t>
      </w:r>
    </w:p>
    <w:p w14:paraId="7FF43F8E" w14:textId="1F811057" w:rsidR="001D5706" w:rsidRPr="001D5706" w:rsidRDefault="001D5706" w:rsidP="001D5706">
      <w:pPr>
        <w:rPr>
          <w:lang w:eastAsia="en-GB"/>
        </w:rPr>
      </w:pPr>
      <w:proofErr w:type="spellStart"/>
      <w:r w:rsidRPr="001D5706">
        <w:rPr>
          <w:lang w:eastAsia="en-GB"/>
        </w:rPr>
        <w:t>İşiner</w:t>
      </w:r>
      <w:proofErr w:type="spellEnd"/>
      <w:r w:rsidRPr="001D5706">
        <w:rPr>
          <w:lang w:eastAsia="en-GB"/>
        </w:rPr>
        <w:t xml:space="preserve">, R.A. and Kenan </w:t>
      </w:r>
      <w:proofErr w:type="spellStart"/>
      <w:r w:rsidRPr="001D5706">
        <w:rPr>
          <w:lang w:eastAsia="en-GB"/>
        </w:rPr>
        <w:t>Aydın</w:t>
      </w:r>
      <w:proofErr w:type="spellEnd"/>
      <w:r w:rsidRPr="001D5706">
        <w:rPr>
          <w:lang w:eastAsia="en-GB"/>
        </w:rPr>
        <w:t xml:space="preserve"> (2023). Strategies for Entry to International Markets: The Case of Japanese Companies. </w:t>
      </w:r>
      <w:r w:rsidRPr="001D5706">
        <w:rPr>
          <w:i/>
          <w:iCs/>
          <w:lang w:eastAsia="en-GB"/>
        </w:rPr>
        <w:t>Turkish Journal of Marketing Research</w:t>
      </w:r>
      <w:r w:rsidRPr="001D5706">
        <w:rPr>
          <w:lang w:eastAsia="en-GB"/>
        </w:rPr>
        <w:t xml:space="preserve">, [online] 2(1), pp.40–49. Available at: https://dergipark.org.tr/en/pub/tujomr/article/1561042 [Accessed </w:t>
      </w:r>
      <w:r w:rsidR="00F86EDF">
        <w:rPr>
          <w:lang w:eastAsia="en-GB"/>
        </w:rPr>
        <w:t xml:space="preserve">9 </w:t>
      </w:r>
      <w:r w:rsidRPr="001D5706">
        <w:rPr>
          <w:lang w:eastAsia="en-GB"/>
        </w:rPr>
        <w:t>July 2026].</w:t>
      </w:r>
    </w:p>
    <w:p w14:paraId="58372910" w14:textId="77777777" w:rsidR="001D5706" w:rsidRPr="001D5706" w:rsidRDefault="001D5706" w:rsidP="001D5706">
      <w:pPr>
        <w:rPr>
          <w:lang w:eastAsia="en-GB"/>
        </w:rPr>
      </w:pPr>
      <w:r w:rsidRPr="001D5706">
        <w:rPr>
          <w:lang w:eastAsia="en-GB"/>
        </w:rPr>
        <w:lastRenderedPageBreak/>
        <w:t xml:space="preserve">Justice.gov (2021). </w:t>
      </w:r>
      <w:r w:rsidRPr="001D5706">
        <w:rPr>
          <w:i/>
          <w:iCs/>
          <w:lang w:eastAsia="en-GB"/>
        </w:rPr>
        <w:t>Toyota Motor Company to Pay $180 Million in Settlement for Decade-Long Noncompliance with Clean Air Act Reporting Requirements</w:t>
      </w:r>
      <w:r w:rsidRPr="001D5706">
        <w:rPr>
          <w:lang w:eastAsia="en-GB"/>
        </w:rPr>
        <w:t>. [online] Justice.gov. Available at: https://www.justice.gov/archives/opa/pr/toyota-motor-company-pay-180-million-settlement-decade-long-noncompliance-clean-air-act [Accessed 13 July 2026].</w:t>
      </w:r>
    </w:p>
    <w:p w14:paraId="572F3C07" w14:textId="77777777" w:rsidR="001D5706" w:rsidRPr="001D5706" w:rsidRDefault="001D5706" w:rsidP="001D5706">
      <w:pPr>
        <w:rPr>
          <w:lang w:eastAsia="en-GB"/>
        </w:rPr>
      </w:pPr>
      <w:r w:rsidRPr="001D5706">
        <w:rPr>
          <w:lang w:eastAsia="en-GB"/>
        </w:rPr>
        <w:t xml:space="preserve">Kane, M. (2026). </w:t>
      </w:r>
      <w:r w:rsidRPr="001D5706">
        <w:rPr>
          <w:i/>
          <w:iCs/>
          <w:lang w:eastAsia="en-GB"/>
        </w:rPr>
        <w:t xml:space="preserve">Toyota and Lexus EV Sales Continued </w:t>
      </w:r>
      <w:proofErr w:type="gramStart"/>
      <w:r w:rsidRPr="001D5706">
        <w:rPr>
          <w:i/>
          <w:iCs/>
          <w:lang w:eastAsia="en-GB"/>
        </w:rPr>
        <w:t>To</w:t>
      </w:r>
      <w:proofErr w:type="gramEnd"/>
      <w:r w:rsidRPr="001D5706">
        <w:rPr>
          <w:i/>
          <w:iCs/>
          <w:lang w:eastAsia="en-GB"/>
        </w:rPr>
        <w:t xml:space="preserve"> Double in Q2 2026</w:t>
      </w:r>
      <w:r w:rsidRPr="001D5706">
        <w:rPr>
          <w:lang w:eastAsia="en-GB"/>
        </w:rPr>
        <w:t xml:space="preserve">. [online] EV Charging Stations </w:t>
      </w:r>
      <w:proofErr w:type="gramStart"/>
      <w:r w:rsidRPr="001D5706">
        <w:rPr>
          <w:lang w:eastAsia="en-GB"/>
        </w:rPr>
        <w:t>With</w:t>
      </w:r>
      <w:proofErr w:type="gramEnd"/>
      <w:r w:rsidRPr="001D5706">
        <w:rPr>
          <w:lang w:eastAsia="en-GB"/>
        </w:rPr>
        <w:t xml:space="preserve"> Tom Moloughney. Available at: https://evchargingstations.com/chargingnews/toyota-lexus-ev-sales-q2-2026/ [Accessed 12 July 2026].</w:t>
      </w:r>
    </w:p>
    <w:p w14:paraId="4A1EC3FD" w14:textId="77777777" w:rsidR="001D5706" w:rsidRPr="001D5706" w:rsidRDefault="001D5706" w:rsidP="001D5706">
      <w:pPr>
        <w:rPr>
          <w:lang w:eastAsia="en-GB"/>
        </w:rPr>
      </w:pPr>
      <w:proofErr w:type="spellStart"/>
      <w:r w:rsidRPr="001D5706">
        <w:rPr>
          <w:lang w:eastAsia="en-GB"/>
        </w:rPr>
        <w:t>Kuraś</w:t>
      </w:r>
      <w:proofErr w:type="spellEnd"/>
      <w:r w:rsidRPr="001D5706">
        <w:rPr>
          <w:lang w:eastAsia="en-GB"/>
        </w:rPr>
        <w:t xml:space="preserve">, P. (2026). Identification and Description of Changes in the Production Strategies of Automotive Companies in the Context of Internationalization. </w:t>
      </w:r>
      <w:r w:rsidRPr="001D5706">
        <w:rPr>
          <w:i/>
          <w:iCs/>
          <w:lang w:eastAsia="en-GB"/>
        </w:rPr>
        <w:t>System Safety: Human - Technical Facility - Environment</w:t>
      </w:r>
      <w:r w:rsidRPr="001D5706">
        <w:rPr>
          <w:lang w:eastAsia="en-GB"/>
        </w:rPr>
        <w:t>, 8(1), pp.34–45. doi:10.2478/czoto-2026-0004.</w:t>
      </w:r>
    </w:p>
    <w:p w14:paraId="1951ACE2" w14:textId="77777777" w:rsidR="001D5706" w:rsidRPr="001D5706" w:rsidRDefault="001D5706" w:rsidP="001D5706">
      <w:pPr>
        <w:rPr>
          <w:lang w:eastAsia="en-GB"/>
        </w:rPr>
      </w:pPr>
      <w:r w:rsidRPr="001D5706">
        <w:rPr>
          <w:lang w:eastAsia="en-GB"/>
        </w:rPr>
        <w:t xml:space="preserve">Liu, X. (2024). Effective Strategies for Cross-Cultural Business Negotiations. </w:t>
      </w:r>
      <w:r w:rsidRPr="001D5706">
        <w:rPr>
          <w:i/>
          <w:iCs/>
          <w:lang w:eastAsia="en-GB"/>
        </w:rPr>
        <w:t>International Journal of Global Economics and Management</w:t>
      </w:r>
      <w:r w:rsidRPr="001D5706">
        <w:rPr>
          <w:lang w:eastAsia="en-GB"/>
        </w:rPr>
        <w:t>, [online] 3(3), pp.189–199. doi:10.62051/</w:t>
      </w:r>
      <w:proofErr w:type="gramStart"/>
      <w:r w:rsidRPr="001D5706">
        <w:rPr>
          <w:lang w:eastAsia="en-GB"/>
        </w:rPr>
        <w:t>ijgem.v</w:t>
      </w:r>
      <w:proofErr w:type="gramEnd"/>
      <w:r w:rsidRPr="001D5706">
        <w:rPr>
          <w:lang w:eastAsia="en-GB"/>
        </w:rPr>
        <w:t>3n3.24.</w:t>
      </w:r>
    </w:p>
    <w:p w14:paraId="6D622A1F" w14:textId="77777777" w:rsidR="001D5706" w:rsidRPr="001D5706" w:rsidRDefault="001D5706" w:rsidP="001D5706">
      <w:pPr>
        <w:rPr>
          <w:lang w:eastAsia="en-GB"/>
        </w:rPr>
      </w:pPr>
      <w:proofErr w:type="spellStart"/>
      <w:r w:rsidRPr="001D5706">
        <w:rPr>
          <w:lang w:eastAsia="en-GB"/>
        </w:rPr>
        <w:t>Marceli</w:t>
      </w:r>
      <w:proofErr w:type="spellEnd"/>
      <w:r w:rsidRPr="001D5706">
        <w:rPr>
          <w:lang w:eastAsia="en-GB"/>
        </w:rPr>
        <w:t xml:space="preserve"> Adriane </w:t>
      </w:r>
      <w:proofErr w:type="spellStart"/>
      <w:r w:rsidRPr="001D5706">
        <w:rPr>
          <w:lang w:eastAsia="en-GB"/>
        </w:rPr>
        <w:t>Schvartz</w:t>
      </w:r>
      <w:proofErr w:type="spellEnd"/>
      <w:r w:rsidRPr="001D5706">
        <w:rPr>
          <w:lang w:eastAsia="en-GB"/>
        </w:rPr>
        <w:t xml:space="preserve">, Amanda Lange Salvia, Luciana </w:t>
      </w:r>
      <w:proofErr w:type="spellStart"/>
      <w:r w:rsidRPr="001D5706">
        <w:rPr>
          <w:lang w:eastAsia="en-GB"/>
        </w:rPr>
        <w:t>Londero</w:t>
      </w:r>
      <w:proofErr w:type="spellEnd"/>
      <w:r w:rsidRPr="001D5706">
        <w:rPr>
          <w:lang w:eastAsia="en-GB"/>
        </w:rPr>
        <w:t xml:space="preserve"> </w:t>
      </w:r>
      <w:proofErr w:type="spellStart"/>
      <w:r w:rsidRPr="001D5706">
        <w:rPr>
          <w:lang w:eastAsia="en-GB"/>
        </w:rPr>
        <w:t>Brandli</w:t>
      </w:r>
      <w:proofErr w:type="spellEnd"/>
      <w:r w:rsidRPr="001D5706">
        <w:rPr>
          <w:lang w:eastAsia="en-GB"/>
        </w:rPr>
        <w:t xml:space="preserve">, Walter Leal Filho and Lucas </w:t>
      </w:r>
      <w:proofErr w:type="spellStart"/>
      <w:r w:rsidRPr="001D5706">
        <w:rPr>
          <w:lang w:eastAsia="en-GB"/>
        </w:rPr>
        <w:t>Veiga</w:t>
      </w:r>
      <w:proofErr w:type="spellEnd"/>
      <w:r w:rsidRPr="001D5706">
        <w:rPr>
          <w:lang w:eastAsia="en-GB"/>
        </w:rPr>
        <w:t xml:space="preserve"> Avila (2024). The Electric Vehicle Market in Brazil: A Systematic Literature Review of Factors Influencing Purchase Decisions. </w:t>
      </w:r>
      <w:r w:rsidRPr="001D5706">
        <w:rPr>
          <w:i/>
          <w:iCs/>
          <w:lang w:eastAsia="en-GB"/>
        </w:rPr>
        <w:t>Sustainability</w:t>
      </w:r>
      <w:r w:rsidRPr="001D5706">
        <w:rPr>
          <w:lang w:eastAsia="en-GB"/>
        </w:rPr>
        <w:t>, 16(11), pp.4594–4594. doi:10.3390/su16114594.</w:t>
      </w:r>
    </w:p>
    <w:p w14:paraId="69F6E729" w14:textId="77777777" w:rsidR="001D5706" w:rsidRPr="001D5706" w:rsidRDefault="001D5706" w:rsidP="001D5706">
      <w:pPr>
        <w:rPr>
          <w:lang w:eastAsia="en-GB"/>
        </w:rPr>
      </w:pPr>
      <w:proofErr w:type="spellStart"/>
      <w:r w:rsidRPr="001D5706">
        <w:rPr>
          <w:lang w:eastAsia="en-GB"/>
        </w:rPr>
        <w:t>Matus</w:t>
      </w:r>
      <w:proofErr w:type="spellEnd"/>
      <w:r w:rsidRPr="001D5706">
        <w:rPr>
          <w:lang w:eastAsia="en-GB"/>
        </w:rPr>
        <w:t xml:space="preserve">, J.C. (2021). A Comparison of Country’s Cultural Dimensions and Health Outcomes. </w:t>
      </w:r>
      <w:r w:rsidRPr="001D5706">
        <w:rPr>
          <w:i/>
          <w:iCs/>
          <w:lang w:eastAsia="en-GB"/>
        </w:rPr>
        <w:t>Healthcare</w:t>
      </w:r>
      <w:r w:rsidRPr="001D5706">
        <w:rPr>
          <w:lang w:eastAsia="en-GB"/>
        </w:rPr>
        <w:t>, 9(12), p.1654. doi:10.3390/healthcare9121654.</w:t>
      </w:r>
    </w:p>
    <w:p w14:paraId="400F127F" w14:textId="77777777" w:rsidR="001D5706" w:rsidRPr="001D5706" w:rsidRDefault="001D5706" w:rsidP="001D5706">
      <w:pPr>
        <w:rPr>
          <w:lang w:eastAsia="en-GB"/>
        </w:rPr>
      </w:pPr>
      <w:r w:rsidRPr="001D5706">
        <w:rPr>
          <w:lang w:eastAsia="en-GB"/>
        </w:rPr>
        <w:t xml:space="preserve">McLeod, S. (2025). </w:t>
      </w:r>
      <w:r w:rsidRPr="001D5706">
        <w:rPr>
          <w:i/>
          <w:iCs/>
          <w:lang w:eastAsia="en-GB"/>
        </w:rPr>
        <w:t>Gibbs Reflective Cycle</w:t>
      </w:r>
      <w:r w:rsidRPr="001D5706">
        <w:rPr>
          <w:lang w:eastAsia="en-GB"/>
        </w:rPr>
        <w:t>. [online] Simply Psychology. Available at: https://www.simplypsychology.org/gibbs-reflective-cycle.html [Accessed 13 July 2026].</w:t>
      </w:r>
    </w:p>
    <w:p w14:paraId="1D455C9E" w14:textId="77777777" w:rsidR="001D5706" w:rsidRPr="001D5706" w:rsidRDefault="001D5706" w:rsidP="001D5706">
      <w:pPr>
        <w:rPr>
          <w:lang w:eastAsia="en-GB"/>
        </w:rPr>
      </w:pPr>
      <w:proofErr w:type="spellStart"/>
      <w:r w:rsidRPr="001D5706">
        <w:rPr>
          <w:lang w:eastAsia="en-GB"/>
        </w:rPr>
        <w:t>Nikbin</w:t>
      </w:r>
      <w:proofErr w:type="spellEnd"/>
      <w:r w:rsidRPr="001D5706">
        <w:rPr>
          <w:lang w:eastAsia="en-GB"/>
        </w:rPr>
        <w:t xml:space="preserve">, D., </w:t>
      </w:r>
      <w:proofErr w:type="spellStart"/>
      <w:r w:rsidRPr="001D5706">
        <w:rPr>
          <w:lang w:eastAsia="en-GB"/>
        </w:rPr>
        <w:t>Iranmanesh</w:t>
      </w:r>
      <w:proofErr w:type="spellEnd"/>
      <w:r w:rsidRPr="001D5706">
        <w:rPr>
          <w:lang w:eastAsia="en-GB"/>
        </w:rPr>
        <w:t xml:space="preserve">, M., </w:t>
      </w:r>
      <w:proofErr w:type="spellStart"/>
      <w:r w:rsidRPr="001D5706">
        <w:rPr>
          <w:lang w:eastAsia="en-GB"/>
        </w:rPr>
        <w:t>Ghobakhloo</w:t>
      </w:r>
      <w:proofErr w:type="spellEnd"/>
      <w:r w:rsidRPr="001D5706">
        <w:rPr>
          <w:lang w:eastAsia="en-GB"/>
        </w:rPr>
        <w:t xml:space="preserve">, M. and Foroughi, B. (2021). Marketing mix strategies during and after COVID-19 pandemic and recession: A systematic review. </w:t>
      </w:r>
      <w:r w:rsidRPr="001D5706">
        <w:rPr>
          <w:i/>
          <w:iCs/>
          <w:lang w:eastAsia="en-GB"/>
        </w:rPr>
        <w:t>Asia-Pacific Journal of Business Administration</w:t>
      </w:r>
      <w:r w:rsidRPr="001D5706">
        <w:rPr>
          <w:lang w:eastAsia="en-GB"/>
        </w:rPr>
        <w:t>, ahead-of-print(ahead-of-print). doi:10.1108/apjba-06-2021-0243.</w:t>
      </w:r>
    </w:p>
    <w:p w14:paraId="08FEE202" w14:textId="77777777" w:rsidR="001D5706" w:rsidRPr="001D5706" w:rsidRDefault="001D5706" w:rsidP="001D5706">
      <w:pPr>
        <w:rPr>
          <w:lang w:eastAsia="en-GB"/>
        </w:rPr>
      </w:pPr>
      <w:r w:rsidRPr="001D5706">
        <w:rPr>
          <w:lang w:eastAsia="en-GB"/>
        </w:rPr>
        <w:t xml:space="preserve">Santos, R.F. dos, </w:t>
      </w:r>
      <w:proofErr w:type="spellStart"/>
      <w:r w:rsidRPr="001D5706">
        <w:rPr>
          <w:lang w:eastAsia="en-GB"/>
        </w:rPr>
        <w:t>Sellitto</w:t>
      </w:r>
      <w:proofErr w:type="spellEnd"/>
      <w:r w:rsidRPr="001D5706">
        <w:rPr>
          <w:lang w:eastAsia="en-GB"/>
        </w:rPr>
        <w:t xml:space="preserve">, M.A., Antunes, J.A.V. and Silva, D.O. da (2026). Drivers and Barriers for Electric Vehicles in the USA and Brazil: A Comparative Analysis. </w:t>
      </w:r>
      <w:r w:rsidRPr="001D5706">
        <w:rPr>
          <w:i/>
          <w:iCs/>
          <w:lang w:eastAsia="en-GB"/>
        </w:rPr>
        <w:t>Sustainability</w:t>
      </w:r>
      <w:r w:rsidRPr="001D5706">
        <w:rPr>
          <w:lang w:eastAsia="en-GB"/>
        </w:rPr>
        <w:t>, 18(11), p.5538. doi:10.3390/su18115538.</w:t>
      </w:r>
    </w:p>
    <w:p w14:paraId="35311A94" w14:textId="77777777" w:rsidR="001D5706" w:rsidRPr="001D5706" w:rsidRDefault="001D5706" w:rsidP="001D5706">
      <w:pPr>
        <w:rPr>
          <w:lang w:eastAsia="en-GB"/>
        </w:rPr>
      </w:pPr>
      <w:proofErr w:type="spellStart"/>
      <w:r w:rsidRPr="001D5706">
        <w:rPr>
          <w:lang w:eastAsia="en-GB"/>
        </w:rPr>
        <w:t>Teles</w:t>
      </w:r>
      <w:proofErr w:type="spellEnd"/>
      <w:r w:rsidRPr="001D5706">
        <w:rPr>
          <w:lang w:eastAsia="en-GB"/>
        </w:rPr>
        <w:t xml:space="preserve">, B. (2026). </w:t>
      </w:r>
      <w:r w:rsidRPr="001D5706">
        <w:rPr>
          <w:i/>
          <w:iCs/>
          <w:lang w:eastAsia="en-GB"/>
        </w:rPr>
        <w:t>Brazil Plans to Launch Ethanol-</w:t>
      </w:r>
      <w:proofErr w:type="spellStart"/>
      <w:r w:rsidRPr="001D5706">
        <w:rPr>
          <w:i/>
          <w:iCs/>
          <w:lang w:eastAsia="en-GB"/>
        </w:rPr>
        <w:t>Fueled</w:t>
      </w:r>
      <w:proofErr w:type="spellEnd"/>
      <w:r w:rsidRPr="001D5706">
        <w:rPr>
          <w:i/>
          <w:iCs/>
          <w:lang w:eastAsia="en-GB"/>
        </w:rPr>
        <w:t xml:space="preserve"> Hybrid Cars in 2026 as an Alternative to Fully Electric Vehicles</w:t>
      </w:r>
      <w:r w:rsidRPr="001D5706">
        <w:rPr>
          <w:lang w:eastAsia="en-GB"/>
        </w:rPr>
        <w:t>. [online] CPG Click Oil and Gas. Available at: https://en.clickpetroleoegas.com.br/brazil-plans-to-launch-ethanol-fueled-hybrid-cars-in-2026-as-an-alternative-to-fully-electric-vehicles-btl96/ [Accessed 12 July 2026].</w:t>
      </w:r>
    </w:p>
    <w:p w14:paraId="37D56DEB" w14:textId="77777777" w:rsidR="001D5706" w:rsidRPr="001D5706" w:rsidRDefault="001D5706" w:rsidP="001D5706">
      <w:pPr>
        <w:rPr>
          <w:lang w:eastAsia="en-GB"/>
        </w:rPr>
      </w:pPr>
      <w:r w:rsidRPr="001D5706">
        <w:rPr>
          <w:lang w:eastAsia="en-GB"/>
        </w:rPr>
        <w:lastRenderedPageBreak/>
        <w:t xml:space="preserve">The Culture Factor Group (2026). </w:t>
      </w:r>
      <w:r w:rsidRPr="001D5706">
        <w:rPr>
          <w:i/>
          <w:iCs/>
          <w:lang w:eastAsia="en-GB"/>
        </w:rPr>
        <w:t>Country Comparison Tool</w:t>
      </w:r>
      <w:r w:rsidRPr="001D5706">
        <w:rPr>
          <w:lang w:eastAsia="en-GB"/>
        </w:rPr>
        <w:t>. [online] Theculturefactor.com. Available at: https://www.theculturefactor.com/country-comparison-tool?countries=brazil%2Cunited+states [Accessed 12 July 2026].</w:t>
      </w:r>
    </w:p>
    <w:p w14:paraId="11E69529" w14:textId="77777777" w:rsidR="001D5706" w:rsidRPr="001D5706" w:rsidRDefault="001D5706" w:rsidP="001D5706">
      <w:pPr>
        <w:rPr>
          <w:lang w:eastAsia="en-GB"/>
        </w:rPr>
      </w:pPr>
      <w:proofErr w:type="spellStart"/>
      <w:r w:rsidRPr="001D5706">
        <w:rPr>
          <w:lang w:eastAsia="en-GB"/>
        </w:rPr>
        <w:t>Torelli</w:t>
      </w:r>
      <w:proofErr w:type="spellEnd"/>
      <w:r w:rsidRPr="001D5706">
        <w:rPr>
          <w:lang w:eastAsia="en-GB"/>
        </w:rPr>
        <w:t xml:space="preserve">, C.J. and </w:t>
      </w:r>
      <w:proofErr w:type="spellStart"/>
      <w:r w:rsidRPr="001D5706">
        <w:rPr>
          <w:lang w:eastAsia="en-GB"/>
        </w:rPr>
        <w:t>Rodas</w:t>
      </w:r>
      <w:proofErr w:type="spellEnd"/>
      <w:r w:rsidRPr="001D5706">
        <w:rPr>
          <w:lang w:eastAsia="en-GB"/>
        </w:rPr>
        <w:t xml:space="preserve">, M.A. (2024). Crafting a Comprehensive Marketing Plan: Cultural Positioning and Economic Foundations. </w:t>
      </w:r>
      <w:r w:rsidRPr="001D5706">
        <w:rPr>
          <w:i/>
          <w:iCs/>
          <w:lang w:eastAsia="en-GB"/>
        </w:rPr>
        <w:t>Springer eBooks</w:t>
      </w:r>
      <w:r w:rsidRPr="001D5706">
        <w:rPr>
          <w:lang w:eastAsia="en-GB"/>
        </w:rPr>
        <w:t>, pp.119–131. doi:10.1007/978-3-031-50812-7_9.</w:t>
      </w:r>
    </w:p>
    <w:p w14:paraId="55F4EFA1" w14:textId="77777777" w:rsidR="001D5706" w:rsidRPr="001D5706" w:rsidRDefault="001D5706" w:rsidP="001D5706">
      <w:pPr>
        <w:rPr>
          <w:lang w:eastAsia="en-GB"/>
        </w:rPr>
      </w:pPr>
      <w:r w:rsidRPr="001D5706">
        <w:rPr>
          <w:lang w:eastAsia="en-GB"/>
        </w:rPr>
        <w:t xml:space="preserve">TOYOTA MOTOR CORPORATION (2024). </w:t>
      </w:r>
      <w:proofErr w:type="spellStart"/>
      <w:r w:rsidRPr="001D5706">
        <w:rPr>
          <w:i/>
          <w:iCs/>
          <w:lang w:eastAsia="en-GB"/>
        </w:rPr>
        <w:t>SPOTLIGHTS</w:t>
      </w:r>
      <w:r w:rsidRPr="001D5706">
        <w:rPr>
          <w:rFonts w:ascii="MS Mincho" w:eastAsia="MS Mincho" w:hAnsi="MS Mincho" w:cs="MS Mincho" w:hint="eastAsia"/>
          <w:i/>
          <w:iCs/>
          <w:lang w:eastAsia="en-GB"/>
        </w:rPr>
        <w:t>｜</w:t>
      </w:r>
      <w:r w:rsidRPr="001D5706">
        <w:rPr>
          <w:i/>
          <w:iCs/>
          <w:lang w:eastAsia="en-GB"/>
        </w:rPr>
        <w:t>Toyota’s</w:t>
      </w:r>
      <w:proofErr w:type="spellEnd"/>
      <w:r w:rsidRPr="001D5706">
        <w:rPr>
          <w:i/>
          <w:iCs/>
          <w:lang w:eastAsia="en-GB"/>
        </w:rPr>
        <w:t xml:space="preserve"> First Overseas Plant Bids Farewell but Leaves a Timeless </w:t>
      </w:r>
      <w:proofErr w:type="spellStart"/>
      <w:r w:rsidRPr="001D5706">
        <w:rPr>
          <w:i/>
          <w:iCs/>
          <w:lang w:eastAsia="en-GB"/>
        </w:rPr>
        <w:t>Legacy</w:t>
      </w:r>
      <w:r w:rsidRPr="001D5706">
        <w:rPr>
          <w:rFonts w:ascii="MS Mincho" w:eastAsia="MS Mincho" w:hAnsi="MS Mincho" w:cs="MS Mincho" w:hint="eastAsia"/>
          <w:i/>
          <w:iCs/>
          <w:lang w:eastAsia="en-GB"/>
        </w:rPr>
        <w:t>｜</w:t>
      </w:r>
      <w:r w:rsidRPr="001D5706">
        <w:rPr>
          <w:i/>
          <w:iCs/>
          <w:lang w:eastAsia="en-GB"/>
        </w:rPr>
        <w:t>TOYOTA</w:t>
      </w:r>
      <w:proofErr w:type="spellEnd"/>
      <w:r w:rsidRPr="001D5706">
        <w:rPr>
          <w:i/>
          <w:iCs/>
          <w:lang w:eastAsia="en-GB"/>
        </w:rPr>
        <w:t xml:space="preserve"> TIMES</w:t>
      </w:r>
      <w:r w:rsidRPr="001D5706">
        <w:rPr>
          <w:lang w:eastAsia="en-GB"/>
        </w:rPr>
        <w:t>. [online] TOYOTA TIMES. Available at: https://toyotatimes.jp/en/spotlights/1045.html [Accessed 12 July 2026].</w:t>
      </w:r>
    </w:p>
    <w:p w14:paraId="3099D3FF" w14:textId="77777777" w:rsidR="001D5706" w:rsidRPr="001D5706" w:rsidRDefault="001D5706" w:rsidP="001D5706">
      <w:pPr>
        <w:rPr>
          <w:lang w:eastAsia="en-GB"/>
        </w:rPr>
      </w:pPr>
      <w:r w:rsidRPr="001D5706">
        <w:rPr>
          <w:lang w:eastAsia="en-GB"/>
        </w:rPr>
        <w:t xml:space="preserve">TOYOTA MOTOR CORPORATION (2026). </w:t>
      </w:r>
      <w:r w:rsidRPr="001D5706">
        <w:rPr>
          <w:i/>
          <w:iCs/>
          <w:lang w:eastAsia="en-GB"/>
        </w:rPr>
        <w:t>Toyota Opens New Vehicle Plant in Brazil | Toyota Motor Corporation Official Global Website</w:t>
      </w:r>
      <w:r w:rsidRPr="001D5706">
        <w:rPr>
          <w:lang w:eastAsia="en-GB"/>
        </w:rPr>
        <w:t xml:space="preserve">. [online] </w:t>
      </w:r>
      <w:proofErr w:type="spellStart"/>
      <w:r w:rsidRPr="001D5706">
        <w:rPr>
          <w:lang w:eastAsia="en-GB"/>
        </w:rPr>
        <w:t>Global.toyota</w:t>
      </w:r>
      <w:proofErr w:type="spellEnd"/>
      <w:r w:rsidRPr="001D5706">
        <w:rPr>
          <w:lang w:eastAsia="en-GB"/>
        </w:rPr>
        <w:t>. Available at: https://global.toyota/en/detail/150068 [Accessed 12 July 2026].</w:t>
      </w:r>
    </w:p>
    <w:p w14:paraId="1866B5AE" w14:textId="77777777" w:rsidR="001D5706" w:rsidRPr="001D5706" w:rsidRDefault="001D5706" w:rsidP="001D5706">
      <w:pPr>
        <w:rPr>
          <w:lang w:eastAsia="en-GB"/>
        </w:rPr>
      </w:pPr>
      <w:r w:rsidRPr="001D5706">
        <w:rPr>
          <w:lang w:eastAsia="en-GB"/>
        </w:rPr>
        <w:t xml:space="preserve">Uchida, Y. (2024). The Meaning of Change in International Business Strategies: A Case of Toyota Motor Corporation. </w:t>
      </w:r>
      <w:r w:rsidRPr="001D5706">
        <w:rPr>
          <w:i/>
          <w:iCs/>
          <w:lang w:eastAsia="en-GB"/>
        </w:rPr>
        <w:t>Transformation of Japanese Multinational Enterprises and Business</w:t>
      </w:r>
      <w:r w:rsidRPr="001D5706">
        <w:rPr>
          <w:lang w:eastAsia="en-GB"/>
        </w:rPr>
        <w:t>, pp.189–202. doi:10.1007/978-981-99-8616-3_6.</w:t>
      </w:r>
    </w:p>
    <w:p w14:paraId="37549819" w14:textId="77777777" w:rsidR="001D5706" w:rsidRPr="001D5706" w:rsidRDefault="001D5706" w:rsidP="001D5706">
      <w:pPr>
        <w:rPr>
          <w:lang w:eastAsia="en-GB"/>
        </w:rPr>
      </w:pPr>
      <w:r w:rsidRPr="001D5706">
        <w:rPr>
          <w:lang w:eastAsia="en-GB"/>
        </w:rPr>
        <w:t xml:space="preserve">Vieira do Nascimento, D.M. (2014). The Brazilian experience of flex-fuel vehicles technology: Towards low carbon mobility. </w:t>
      </w:r>
      <w:r w:rsidRPr="001D5706">
        <w:rPr>
          <w:i/>
          <w:iCs/>
          <w:lang w:eastAsia="en-GB"/>
        </w:rPr>
        <w:t>WIT Transactions on The Built Environment</w:t>
      </w:r>
      <w:r w:rsidRPr="001D5706">
        <w:rPr>
          <w:lang w:eastAsia="en-GB"/>
        </w:rPr>
        <w:t>, 1, pp.545–553. doi:10.2495/ut140451.</w:t>
      </w:r>
    </w:p>
    <w:p w14:paraId="435BC049" w14:textId="77777777" w:rsidR="001D5706" w:rsidRPr="001D5706" w:rsidRDefault="001D5706" w:rsidP="001D5706">
      <w:pPr>
        <w:rPr>
          <w:lang w:eastAsia="en-GB"/>
        </w:rPr>
      </w:pPr>
      <w:r w:rsidRPr="001D5706">
        <w:rPr>
          <w:lang w:eastAsia="en-GB"/>
        </w:rPr>
        <w:t xml:space="preserve">Xu, Z. (2023). Analysis of Toyota and its Competitors Based on PEST and SWOT. </w:t>
      </w:r>
      <w:r w:rsidRPr="001D5706">
        <w:rPr>
          <w:i/>
          <w:iCs/>
          <w:lang w:eastAsia="en-GB"/>
        </w:rPr>
        <w:t>BCP Business &amp; Management</w:t>
      </w:r>
      <w:r w:rsidRPr="001D5706">
        <w:rPr>
          <w:lang w:eastAsia="en-GB"/>
        </w:rPr>
        <w:t>, 37(1), pp.446–455. doi:10.54691/</w:t>
      </w:r>
      <w:proofErr w:type="gramStart"/>
      <w:r w:rsidRPr="001D5706">
        <w:rPr>
          <w:lang w:eastAsia="en-GB"/>
        </w:rPr>
        <w:t>bcpbm.v</w:t>
      </w:r>
      <w:proofErr w:type="gramEnd"/>
      <w:r w:rsidRPr="001D5706">
        <w:rPr>
          <w:lang w:eastAsia="en-GB"/>
        </w:rPr>
        <w:t>37i.3597.</w:t>
      </w:r>
    </w:p>
    <w:p w14:paraId="5062C96E" w14:textId="2564F0EF" w:rsidR="00E87074" w:rsidRDefault="00E87074" w:rsidP="001D5706">
      <w:pPr>
        <w:rPr>
          <w:lang w:eastAsia="en-GB"/>
        </w:rPr>
      </w:pPr>
    </w:p>
    <w:p w14:paraId="425DBD8B" w14:textId="77777777" w:rsidR="00E87074" w:rsidRPr="00923A2D" w:rsidRDefault="00E87074" w:rsidP="00923A2D">
      <w:pPr>
        <w:rPr>
          <w:lang w:eastAsia="en-GB"/>
        </w:rPr>
      </w:pPr>
    </w:p>
    <w:p w14:paraId="779213C9" w14:textId="2D5E577C" w:rsidR="00E93986" w:rsidRPr="00124314" w:rsidRDefault="00E93986" w:rsidP="00124314">
      <w:pPr>
        <w:spacing w:line="259" w:lineRule="auto"/>
        <w:jc w:val="left"/>
        <w:rPr>
          <w:rFonts w:ascii="Times New Roman" w:hAnsi="Times New Roman"/>
        </w:rPr>
      </w:pPr>
    </w:p>
    <w:sectPr w:rsidR="00E93986" w:rsidRPr="0012431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EAE25" w14:textId="77777777" w:rsidR="00FA1C2D" w:rsidRDefault="00FA1C2D" w:rsidP="00E93986">
      <w:pPr>
        <w:spacing w:after="0" w:line="240" w:lineRule="auto"/>
      </w:pPr>
      <w:r>
        <w:separator/>
      </w:r>
    </w:p>
  </w:endnote>
  <w:endnote w:type="continuationSeparator" w:id="0">
    <w:p w14:paraId="4124FF85" w14:textId="77777777" w:rsidR="00FA1C2D" w:rsidRDefault="00FA1C2D" w:rsidP="00E93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517298"/>
      <w:docPartObj>
        <w:docPartGallery w:val="Page Numbers (Bottom of Page)"/>
        <w:docPartUnique/>
      </w:docPartObj>
    </w:sdtPr>
    <w:sdtEndPr>
      <w:rPr>
        <w:color w:val="7F7F7F" w:themeColor="background1" w:themeShade="7F"/>
        <w:spacing w:val="60"/>
      </w:rPr>
    </w:sdtEndPr>
    <w:sdtContent>
      <w:p w14:paraId="6F20F3C2" w14:textId="17E8AAD4" w:rsidR="00E93986" w:rsidRDefault="00E9398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3288A6" w14:textId="77777777" w:rsidR="00E93986" w:rsidRDefault="00E939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20049" w14:textId="77777777" w:rsidR="00FA1C2D" w:rsidRDefault="00FA1C2D" w:rsidP="00E93986">
      <w:pPr>
        <w:spacing w:after="0" w:line="240" w:lineRule="auto"/>
      </w:pPr>
      <w:r>
        <w:separator/>
      </w:r>
    </w:p>
  </w:footnote>
  <w:footnote w:type="continuationSeparator" w:id="0">
    <w:p w14:paraId="4265924E" w14:textId="77777777" w:rsidR="00FA1C2D" w:rsidRDefault="00FA1C2D" w:rsidP="00E939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25413"/>
    <w:multiLevelType w:val="hybridMultilevel"/>
    <w:tmpl w:val="4710B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4E"/>
    <w:rsid w:val="00006E61"/>
    <w:rsid w:val="00027608"/>
    <w:rsid w:val="00036826"/>
    <w:rsid w:val="00063A14"/>
    <w:rsid w:val="00094094"/>
    <w:rsid w:val="0009622F"/>
    <w:rsid w:val="000E18EC"/>
    <w:rsid w:val="000E657D"/>
    <w:rsid w:val="001112D4"/>
    <w:rsid w:val="0011186B"/>
    <w:rsid w:val="00123790"/>
    <w:rsid w:val="00124314"/>
    <w:rsid w:val="00125C28"/>
    <w:rsid w:val="00127155"/>
    <w:rsid w:val="0013351C"/>
    <w:rsid w:val="00147B8C"/>
    <w:rsid w:val="00150A87"/>
    <w:rsid w:val="00151D23"/>
    <w:rsid w:val="0016072D"/>
    <w:rsid w:val="001626BA"/>
    <w:rsid w:val="00173E03"/>
    <w:rsid w:val="0019327C"/>
    <w:rsid w:val="0019391E"/>
    <w:rsid w:val="001945FE"/>
    <w:rsid w:val="00195877"/>
    <w:rsid w:val="00196350"/>
    <w:rsid w:val="001A298D"/>
    <w:rsid w:val="001A7711"/>
    <w:rsid w:val="001B4187"/>
    <w:rsid w:val="001C43A8"/>
    <w:rsid w:val="001D5706"/>
    <w:rsid w:val="001D7918"/>
    <w:rsid w:val="001E6680"/>
    <w:rsid w:val="001F7347"/>
    <w:rsid w:val="0020392D"/>
    <w:rsid w:val="00203E71"/>
    <w:rsid w:val="002064ED"/>
    <w:rsid w:val="002168A1"/>
    <w:rsid w:val="00221FE8"/>
    <w:rsid w:val="00224DB2"/>
    <w:rsid w:val="0024075F"/>
    <w:rsid w:val="002645B9"/>
    <w:rsid w:val="00271F05"/>
    <w:rsid w:val="00275D1D"/>
    <w:rsid w:val="00275FAB"/>
    <w:rsid w:val="00277AB8"/>
    <w:rsid w:val="0028152C"/>
    <w:rsid w:val="00290AF6"/>
    <w:rsid w:val="002A330A"/>
    <w:rsid w:val="002B294B"/>
    <w:rsid w:val="002B2FBE"/>
    <w:rsid w:val="002B5A78"/>
    <w:rsid w:val="002C063C"/>
    <w:rsid w:val="002C7814"/>
    <w:rsid w:val="002E6475"/>
    <w:rsid w:val="002F236B"/>
    <w:rsid w:val="002F6622"/>
    <w:rsid w:val="00316B6E"/>
    <w:rsid w:val="00330DDE"/>
    <w:rsid w:val="00331930"/>
    <w:rsid w:val="0034736D"/>
    <w:rsid w:val="00363C59"/>
    <w:rsid w:val="003818C0"/>
    <w:rsid w:val="00381FBA"/>
    <w:rsid w:val="003878A5"/>
    <w:rsid w:val="00391E11"/>
    <w:rsid w:val="003A0942"/>
    <w:rsid w:val="003B0AC1"/>
    <w:rsid w:val="003B3577"/>
    <w:rsid w:val="003B7B64"/>
    <w:rsid w:val="003C2CC0"/>
    <w:rsid w:val="003C3C26"/>
    <w:rsid w:val="003E25F1"/>
    <w:rsid w:val="003E4E99"/>
    <w:rsid w:val="003E7F17"/>
    <w:rsid w:val="003F2FAB"/>
    <w:rsid w:val="00413F25"/>
    <w:rsid w:val="00420C07"/>
    <w:rsid w:val="00432025"/>
    <w:rsid w:val="00447810"/>
    <w:rsid w:val="00463D6A"/>
    <w:rsid w:val="004676E4"/>
    <w:rsid w:val="00472E5D"/>
    <w:rsid w:val="00473726"/>
    <w:rsid w:val="00481ADB"/>
    <w:rsid w:val="00490212"/>
    <w:rsid w:val="004A6878"/>
    <w:rsid w:val="004B64E9"/>
    <w:rsid w:val="004D4FC7"/>
    <w:rsid w:val="004D6B9D"/>
    <w:rsid w:val="004D750C"/>
    <w:rsid w:val="00504699"/>
    <w:rsid w:val="00504F9E"/>
    <w:rsid w:val="00510A1E"/>
    <w:rsid w:val="00523DED"/>
    <w:rsid w:val="00527244"/>
    <w:rsid w:val="00534CAC"/>
    <w:rsid w:val="0054088D"/>
    <w:rsid w:val="00542C11"/>
    <w:rsid w:val="00546C7B"/>
    <w:rsid w:val="00587AE4"/>
    <w:rsid w:val="005A0B57"/>
    <w:rsid w:val="005C5C01"/>
    <w:rsid w:val="005D7CD1"/>
    <w:rsid w:val="005F050E"/>
    <w:rsid w:val="005F13BD"/>
    <w:rsid w:val="005F1BA4"/>
    <w:rsid w:val="005F5EE9"/>
    <w:rsid w:val="00631A82"/>
    <w:rsid w:val="00634C80"/>
    <w:rsid w:val="00646A4A"/>
    <w:rsid w:val="006530B3"/>
    <w:rsid w:val="00657EDB"/>
    <w:rsid w:val="006664A5"/>
    <w:rsid w:val="00683B81"/>
    <w:rsid w:val="006946DF"/>
    <w:rsid w:val="006A0E7D"/>
    <w:rsid w:val="006A1CA7"/>
    <w:rsid w:val="006B21D0"/>
    <w:rsid w:val="006B6D17"/>
    <w:rsid w:val="006D2EFA"/>
    <w:rsid w:val="006D5F48"/>
    <w:rsid w:val="006D704E"/>
    <w:rsid w:val="006E45B7"/>
    <w:rsid w:val="006E7F36"/>
    <w:rsid w:val="006F4AA1"/>
    <w:rsid w:val="006F63A9"/>
    <w:rsid w:val="00714B12"/>
    <w:rsid w:val="00715419"/>
    <w:rsid w:val="007241BE"/>
    <w:rsid w:val="007417DE"/>
    <w:rsid w:val="00751F9D"/>
    <w:rsid w:val="00756020"/>
    <w:rsid w:val="00763A31"/>
    <w:rsid w:val="007721DF"/>
    <w:rsid w:val="007951DE"/>
    <w:rsid w:val="007A5B50"/>
    <w:rsid w:val="007B15E0"/>
    <w:rsid w:val="007E09E5"/>
    <w:rsid w:val="007F2698"/>
    <w:rsid w:val="007F6A9B"/>
    <w:rsid w:val="00801195"/>
    <w:rsid w:val="008145A2"/>
    <w:rsid w:val="00816470"/>
    <w:rsid w:val="00816F87"/>
    <w:rsid w:val="00822C1D"/>
    <w:rsid w:val="008352D7"/>
    <w:rsid w:val="008521FF"/>
    <w:rsid w:val="00854D78"/>
    <w:rsid w:val="00870A16"/>
    <w:rsid w:val="0087303B"/>
    <w:rsid w:val="008732BD"/>
    <w:rsid w:val="0087582C"/>
    <w:rsid w:val="00881706"/>
    <w:rsid w:val="008847CB"/>
    <w:rsid w:val="008906A1"/>
    <w:rsid w:val="008B4142"/>
    <w:rsid w:val="008B6C7F"/>
    <w:rsid w:val="008C17A9"/>
    <w:rsid w:val="008D1386"/>
    <w:rsid w:val="008E6578"/>
    <w:rsid w:val="009076D9"/>
    <w:rsid w:val="0091036A"/>
    <w:rsid w:val="009109B0"/>
    <w:rsid w:val="00912265"/>
    <w:rsid w:val="00920332"/>
    <w:rsid w:val="0092056F"/>
    <w:rsid w:val="00923A2D"/>
    <w:rsid w:val="009320BE"/>
    <w:rsid w:val="00934E10"/>
    <w:rsid w:val="0095048A"/>
    <w:rsid w:val="00955F96"/>
    <w:rsid w:val="00960314"/>
    <w:rsid w:val="00972238"/>
    <w:rsid w:val="009762E6"/>
    <w:rsid w:val="00980C79"/>
    <w:rsid w:val="00983C71"/>
    <w:rsid w:val="009A10A0"/>
    <w:rsid w:val="009B6F00"/>
    <w:rsid w:val="009C3064"/>
    <w:rsid w:val="009F22D8"/>
    <w:rsid w:val="00A024B1"/>
    <w:rsid w:val="00A21550"/>
    <w:rsid w:val="00A22C76"/>
    <w:rsid w:val="00A37BCC"/>
    <w:rsid w:val="00A4113D"/>
    <w:rsid w:val="00A5139B"/>
    <w:rsid w:val="00A95FB1"/>
    <w:rsid w:val="00AA6126"/>
    <w:rsid w:val="00AB3E35"/>
    <w:rsid w:val="00AC7764"/>
    <w:rsid w:val="00AC7BFE"/>
    <w:rsid w:val="00AD37DC"/>
    <w:rsid w:val="00AD75A6"/>
    <w:rsid w:val="00AE0A2F"/>
    <w:rsid w:val="00AE36D4"/>
    <w:rsid w:val="00AF0D72"/>
    <w:rsid w:val="00AF45C0"/>
    <w:rsid w:val="00B13718"/>
    <w:rsid w:val="00B20CB0"/>
    <w:rsid w:val="00B369F4"/>
    <w:rsid w:val="00B4704E"/>
    <w:rsid w:val="00B57396"/>
    <w:rsid w:val="00B73A41"/>
    <w:rsid w:val="00B8109F"/>
    <w:rsid w:val="00B95E60"/>
    <w:rsid w:val="00B96CF8"/>
    <w:rsid w:val="00BA56E5"/>
    <w:rsid w:val="00BC5075"/>
    <w:rsid w:val="00BD433E"/>
    <w:rsid w:val="00BD76DA"/>
    <w:rsid w:val="00BE1A1E"/>
    <w:rsid w:val="00BF3868"/>
    <w:rsid w:val="00BF60A2"/>
    <w:rsid w:val="00C12E49"/>
    <w:rsid w:val="00C132CA"/>
    <w:rsid w:val="00C1453D"/>
    <w:rsid w:val="00C316C2"/>
    <w:rsid w:val="00C53D26"/>
    <w:rsid w:val="00C74489"/>
    <w:rsid w:val="00C9042D"/>
    <w:rsid w:val="00CB58F7"/>
    <w:rsid w:val="00CB66CC"/>
    <w:rsid w:val="00CD65AD"/>
    <w:rsid w:val="00D01026"/>
    <w:rsid w:val="00D10300"/>
    <w:rsid w:val="00D13157"/>
    <w:rsid w:val="00D22CE3"/>
    <w:rsid w:val="00D314EB"/>
    <w:rsid w:val="00D432CF"/>
    <w:rsid w:val="00D57419"/>
    <w:rsid w:val="00D61C5A"/>
    <w:rsid w:val="00D650F6"/>
    <w:rsid w:val="00D9123C"/>
    <w:rsid w:val="00DB225B"/>
    <w:rsid w:val="00DB2828"/>
    <w:rsid w:val="00DB4B69"/>
    <w:rsid w:val="00DC4FD9"/>
    <w:rsid w:val="00DE2423"/>
    <w:rsid w:val="00DE2909"/>
    <w:rsid w:val="00DE78CA"/>
    <w:rsid w:val="00E0056B"/>
    <w:rsid w:val="00E24FED"/>
    <w:rsid w:val="00E42DBA"/>
    <w:rsid w:val="00E46F15"/>
    <w:rsid w:val="00E52208"/>
    <w:rsid w:val="00E54FAF"/>
    <w:rsid w:val="00E763A2"/>
    <w:rsid w:val="00E8411E"/>
    <w:rsid w:val="00E87074"/>
    <w:rsid w:val="00E93986"/>
    <w:rsid w:val="00E94D98"/>
    <w:rsid w:val="00EB5ADB"/>
    <w:rsid w:val="00ED74A1"/>
    <w:rsid w:val="00ED774C"/>
    <w:rsid w:val="00ED790D"/>
    <w:rsid w:val="00EF4879"/>
    <w:rsid w:val="00F0121A"/>
    <w:rsid w:val="00F15B15"/>
    <w:rsid w:val="00F24209"/>
    <w:rsid w:val="00F43EF3"/>
    <w:rsid w:val="00F4652B"/>
    <w:rsid w:val="00F5736A"/>
    <w:rsid w:val="00F63E36"/>
    <w:rsid w:val="00F86EDF"/>
    <w:rsid w:val="00F9275E"/>
    <w:rsid w:val="00FA04DD"/>
    <w:rsid w:val="00FA1C2D"/>
    <w:rsid w:val="00FA29E1"/>
    <w:rsid w:val="00FA7B27"/>
    <w:rsid w:val="00FC2735"/>
    <w:rsid w:val="00FC2D40"/>
    <w:rsid w:val="00FD0A30"/>
    <w:rsid w:val="00FD1D51"/>
    <w:rsid w:val="00FD7888"/>
    <w:rsid w:val="00FD7F3D"/>
    <w:rsid w:val="00FE4F2B"/>
    <w:rsid w:val="00FF0557"/>
    <w:rsid w:val="00FF4EA5"/>
    <w:rsid w:val="00FF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6FDC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4E"/>
    <w:pPr>
      <w:spacing w:line="360" w:lineRule="auto"/>
      <w:jc w:val="both"/>
    </w:pPr>
    <w:rPr>
      <w:rFonts w:ascii="Arial" w:hAnsi="Arial"/>
    </w:rPr>
  </w:style>
  <w:style w:type="paragraph" w:styleId="Heading1">
    <w:name w:val="heading 1"/>
    <w:basedOn w:val="Normal"/>
    <w:next w:val="Normal"/>
    <w:link w:val="Heading1Char"/>
    <w:autoRedefine/>
    <w:uiPriority w:val="9"/>
    <w:qFormat/>
    <w:rsid w:val="00B4704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4704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BD76DA"/>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704E"/>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B4704E"/>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B4704E"/>
    <w:pPr>
      <w:ind w:left="720"/>
      <w:contextualSpacing/>
    </w:pPr>
  </w:style>
  <w:style w:type="paragraph" w:styleId="NormalWeb">
    <w:name w:val="Normal (Web)"/>
    <w:basedOn w:val="Normal"/>
    <w:uiPriority w:val="99"/>
    <w:semiHidden/>
    <w:unhideWhenUsed/>
    <w:rsid w:val="00E9398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3986"/>
    <w:rPr>
      <w:color w:val="0563C1" w:themeColor="hyperlink"/>
      <w:u w:val="single"/>
    </w:rPr>
  </w:style>
  <w:style w:type="character" w:styleId="UnresolvedMention">
    <w:name w:val="Unresolved Mention"/>
    <w:basedOn w:val="DefaultParagraphFont"/>
    <w:uiPriority w:val="99"/>
    <w:semiHidden/>
    <w:unhideWhenUsed/>
    <w:rsid w:val="00E93986"/>
    <w:rPr>
      <w:color w:val="605E5C"/>
      <w:shd w:val="clear" w:color="auto" w:fill="E1DFDD"/>
    </w:rPr>
  </w:style>
  <w:style w:type="paragraph" w:styleId="Header">
    <w:name w:val="header"/>
    <w:basedOn w:val="Normal"/>
    <w:link w:val="HeaderChar"/>
    <w:uiPriority w:val="99"/>
    <w:unhideWhenUsed/>
    <w:rsid w:val="00E93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986"/>
    <w:rPr>
      <w:rFonts w:ascii="Arial" w:hAnsi="Arial"/>
    </w:rPr>
  </w:style>
  <w:style w:type="paragraph" w:styleId="Footer">
    <w:name w:val="footer"/>
    <w:basedOn w:val="Normal"/>
    <w:link w:val="FooterChar"/>
    <w:uiPriority w:val="99"/>
    <w:unhideWhenUsed/>
    <w:rsid w:val="00E93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986"/>
    <w:rPr>
      <w:rFonts w:ascii="Arial" w:hAnsi="Arial"/>
    </w:rPr>
  </w:style>
  <w:style w:type="table" w:styleId="TableGrid">
    <w:name w:val="Table Grid"/>
    <w:basedOn w:val="TableNormal"/>
    <w:uiPriority w:val="39"/>
    <w:rsid w:val="001939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D76DA"/>
    <w:rPr>
      <w:rFonts w:ascii="Arial" w:eastAsiaTheme="majorEastAsia" w:hAnsi="Arial" w:cstheme="majorBidi"/>
      <w:color w:val="1F3763" w:themeColor="accent1" w:themeShade="7F"/>
      <w:sz w:val="26"/>
      <w:szCs w:val="24"/>
    </w:rPr>
  </w:style>
  <w:style w:type="paragraph" w:styleId="TOCHeading">
    <w:name w:val="TOC Heading"/>
    <w:basedOn w:val="Heading1"/>
    <w:next w:val="Normal"/>
    <w:uiPriority w:val="39"/>
    <w:unhideWhenUsed/>
    <w:qFormat/>
    <w:rsid w:val="006530B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6530B3"/>
    <w:pPr>
      <w:spacing w:after="100"/>
    </w:pPr>
  </w:style>
  <w:style w:type="paragraph" w:styleId="TOC2">
    <w:name w:val="toc 2"/>
    <w:basedOn w:val="Normal"/>
    <w:next w:val="Normal"/>
    <w:autoRedefine/>
    <w:uiPriority w:val="39"/>
    <w:unhideWhenUsed/>
    <w:rsid w:val="006530B3"/>
    <w:pPr>
      <w:spacing w:after="100"/>
      <w:ind w:left="220"/>
    </w:pPr>
  </w:style>
  <w:style w:type="paragraph" w:styleId="TOC3">
    <w:name w:val="toc 3"/>
    <w:basedOn w:val="Normal"/>
    <w:next w:val="Normal"/>
    <w:autoRedefine/>
    <w:uiPriority w:val="39"/>
    <w:unhideWhenUsed/>
    <w:rsid w:val="006530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4735">
      <w:bodyDiv w:val="1"/>
      <w:marLeft w:val="0"/>
      <w:marRight w:val="0"/>
      <w:marTop w:val="0"/>
      <w:marBottom w:val="0"/>
      <w:divBdr>
        <w:top w:val="none" w:sz="0" w:space="0" w:color="auto"/>
        <w:left w:val="none" w:sz="0" w:space="0" w:color="auto"/>
        <w:bottom w:val="none" w:sz="0" w:space="0" w:color="auto"/>
        <w:right w:val="none" w:sz="0" w:space="0" w:color="auto"/>
      </w:divBdr>
      <w:divsChild>
        <w:div w:id="117383651">
          <w:marLeft w:val="0"/>
          <w:marRight w:val="0"/>
          <w:marTop w:val="0"/>
          <w:marBottom w:val="0"/>
          <w:divBdr>
            <w:top w:val="none" w:sz="0" w:space="0" w:color="auto"/>
            <w:left w:val="none" w:sz="0" w:space="0" w:color="auto"/>
            <w:bottom w:val="none" w:sz="0" w:space="0" w:color="auto"/>
            <w:right w:val="none" w:sz="0" w:space="0" w:color="auto"/>
          </w:divBdr>
        </w:div>
      </w:divsChild>
    </w:div>
    <w:div w:id="159582612">
      <w:bodyDiv w:val="1"/>
      <w:marLeft w:val="0"/>
      <w:marRight w:val="0"/>
      <w:marTop w:val="0"/>
      <w:marBottom w:val="0"/>
      <w:divBdr>
        <w:top w:val="none" w:sz="0" w:space="0" w:color="auto"/>
        <w:left w:val="none" w:sz="0" w:space="0" w:color="auto"/>
        <w:bottom w:val="none" w:sz="0" w:space="0" w:color="auto"/>
        <w:right w:val="none" w:sz="0" w:space="0" w:color="auto"/>
      </w:divBdr>
      <w:divsChild>
        <w:div w:id="2049135946">
          <w:marLeft w:val="0"/>
          <w:marRight w:val="0"/>
          <w:marTop w:val="0"/>
          <w:marBottom w:val="0"/>
          <w:divBdr>
            <w:top w:val="none" w:sz="0" w:space="0" w:color="auto"/>
            <w:left w:val="none" w:sz="0" w:space="0" w:color="auto"/>
            <w:bottom w:val="none" w:sz="0" w:space="0" w:color="auto"/>
            <w:right w:val="none" w:sz="0" w:space="0" w:color="auto"/>
          </w:divBdr>
        </w:div>
      </w:divsChild>
    </w:div>
    <w:div w:id="299847747">
      <w:bodyDiv w:val="1"/>
      <w:marLeft w:val="0"/>
      <w:marRight w:val="0"/>
      <w:marTop w:val="0"/>
      <w:marBottom w:val="0"/>
      <w:divBdr>
        <w:top w:val="none" w:sz="0" w:space="0" w:color="auto"/>
        <w:left w:val="none" w:sz="0" w:space="0" w:color="auto"/>
        <w:bottom w:val="none" w:sz="0" w:space="0" w:color="auto"/>
        <w:right w:val="none" w:sz="0" w:space="0" w:color="auto"/>
      </w:divBdr>
      <w:divsChild>
        <w:div w:id="1542784368">
          <w:marLeft w:val="0"/>
          <w:marRight w:val="0"/>
          <w:marTop w:val="0"/>
          <w:marBottom w:val="0"/>
          <w:divBdr>
            <w:top w:val="none" w:sz="0" w:space="0" w:color="auto"/>
            <w:left w:val="none" w:sz="0" w:space="0" w:color="auto"/>
            <w:bottom w:val="none" w:sz="0" w:space="0" w:color="auto"/>
            <w:right w:val="none" w:sz="0" w:space="0" w:color="auto"/>
          </w:divBdr>
        </w:div>
      </w:divsChild>
    </w:div>
    <w:div w:id="936135500">
      <w:bodyDiv w:val="1"/>
      <w:marLeft w:val="0"/>
      <w:marRight w:val="0"/>
      <w:marTop w:val="0"/>
      <w:marBottom w:val="0"/>
      <w:divBdr>
        <w:top w:val="none" w:sz="0" w:space="0" w:color="auto"/>
        <w:left w:val="none" w:sz="0" w:space="0" w:color="auto"/>
        <w:bottom w:val="none" w:sz="0" w:space="0" w:color="auto"/>
        <w:right w:val="none" w:sz="0" w:space="0" w:color="auto"/>
      </w:divBdr>
    </w:div>
    <w:div w:id="184243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E2473-C2EC-49CD-955A-3EFF5BEE3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7623</Words>
  <Characters>43454</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2026-06-27T18:14:00Z</dcterms:created>
  <dcterms:modified xsi:type="dcterms:W3CDTF">2026-08-06T17:30:00Z</dcterms:modified>
</cp:coreProperties>
</file>