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360" w:lineRule="auto"/>
        <w:rPr>
          <w:rFonts w:ascii="Arial" w:cs="Arial" w:eastAsia="Arial" w:hAnsi="Arial"/>
          <w:sz w:val="40"/>
          <w:szCs w:val="40"/>
        </w:rPr>
      </w:pPr>
      <w:r w:rsidDel="00000000" w:rsidR="00000000" w:rsidRPr="00000000">
        <w:rPr>
          <w:rFonts w:ascii="Arial" w:cs="Arial" w:eastAsia="Arial" w:hAnsi="Arial"/>
          <w:b w:val="1"/>
          <w:sz w:val="40"/>
          <w:szCs w:val="40"/>
          <w:rtl w:val="0"/>
        </w:rPr>
        <w:t xml:space="preserve">Name:</w:t>
      </w:r>
      <w:r w:rsidDel="00000000" w:rsidR="00000000" w:rsidRPr="00000000">
        <w:rPr>
          <w:rFonts w:ascii="Arial" w:cs="Arial" w:eastAsia="Arial" w:hAnsi="Arial"/>
          <w:sz w:val="40"/>
          <w:szCs w:val="40"/>
          <w:rtl w:val="0"/>
        </w:rPr>
        <w:t xml:space="preserve">  Donna Olivia Shilunga</w:t>
      </w:r>
    </w:p>
    <w:p w:rsidR="00000000" w:rsidDel="00000000" w:rsidP="00000000" w:rsidRDefault="00000000" w:rsidRPr="00000000" w14:paraId="00000002">
      <w:pPr>
        <w:spacing w:after="0" w:line="360" w:lineRule="auto"/>
        <w:rPr>
          <w:rFonts w:ascii="Arial" w:cs="Arial" w:eastAsia="Arial" w:hAnsi="Arial"/>
          <w:sz w:val="40"/>
          <w:szCs w:val="40"/>
        </w:rPr>
      </w:pPr>
      <w:r w:rsidDel="00000000" w:rsidR="00000000" w:rsidRPr="00000000">
        <w:rPr>
          <w:rFonts w:ascii="Arial" w:cs="Arial" w:eastAsia="Arial" w:hAnsi="Arial"/>
          <w:b w:val="1"/>
          <w:sz w:val="40"/>
          <w:szCs w:val="40"/>
          <w:rtl w:val="0"/>
        </w:rPr>
        <w:t xml:space="preserve">Student Number:</w:t>
      </w:r>
      <w:r w:rsidDel="00000000" w:rsidR="00000000" w:rsidRPr="00000000">
        <w:rPr>
          <w:rFonts w:ascii="Arial" w:cs="Arial" w:eastAsia="Arial" w:hAnsi="Arial"/>
          <w:sz w:val="40"/>
          <w:szCs w:val="40"/>
          <w:rtl w:val="0"/>
        </w:rPr>
        <w:t xml:space="preserve"> 2129251</w:t>
      </w:r>
    </w:p>
    <w:p w:rsidR="00000000" w:rsidDel="00000000" w:rsidP="00000000" w:rsidRDefault="00000000" w:rsidRPr="00000000" w14:paraId="00000003">
      <w:pPr>
        <w:spacing w:after="0" w:line="360" w:lineRule="auto"/>
        <w:rPr>
          <w:rFonts w:ascii="Arial" w:cs="Arial" w:eastAsia="Arial" w:hAnsi="Arial"/>
          <w:sz w:val="40"/>
          <w:szCs w:val="40"/>
        </w:rPr>
      </w:pPr>
      <w:r w:rsidDel="00000000" w:rsidR="00000000" w:rsidRPr="00000000">
        <w:rPr>
          <w:rFonts w:ascii="Arial" w:cs="Arial" w:eastAsia="Arial" w:hAnsi="Arial"/>
          <w:b w:val="1"/>
          <w:sz w:val="40"/>
          <w:szCs w:val="40"/>
          <w:rtl w:val="0"/>
        </w:rPr>
        <w:t xml:space="preserve">Programme:</w:t>
      </w:r>
      <w:r w:rsidDel="00000000" w:rsidR="00000000" w:rsidRPr="00000000">
        <w:rPr>
          <w:rFonts w:ascii="Arial" w:cs="Arial" w:eastAsia="Arial" w:hAnsi="Arial"/>
          <w:sz w:val="40"/>
          <w:szCs w:val="40"/>
          <w:rtl w:val="0"/>
        </w:rPr>
        <w:t xml:space="preserve"> BSc Health and Social Care </w:t>
      </w:r>
    </w:p>
    <w:p w:rsidR="00000000" w:rsidDel="00000000" w:rsidP="00000000" w:rsidRDefault="00000000" w:rsidRPr="00000000" w14:paraId="00000004">
      <w:pPr>
        <w:spacing w:after="0" w:line="360" w:lineRule="auto"/>
        <w:rPr>
          <w:rFonts w:ascii="Arial" w:cs="Arial" w:eastAsia="Arial" w:hAnsi="Arial"/>
          <w:sz w:val="38"/>
          <w:szCs w:val="38"/>
        </w:rPr>
      </w:pPr>
      <w:r w:rsidDel="00000000" w:rsidR="00000000" w:rsidRPr="00000000">
        <w:rPr>
          <w:rFonts w:ascii="Arial" w:cs="Arial" w:eastAsia="Arial" w:hAnsi="Arial"/>
          <w:b w:val="1"/>
          <w:sz w:val="40"/>
          <w:szCs w:val="40"/>
          <w:rtl w:val="0"/>
        </w:rPr>
        <w:t xml:space="preserve">Module Title: </w:t>
      </w:r>
      <w:r w:rsidDel="00000000" w:rsidR="00000000" w:rsidRPr="00000000">
        <w:rPr>
          <w:rFonts w:ascii="Arial" w:cs="Arial" w:eastAsia="Arial" w:hAnsi="Arial"/>
          <w:sz w:val="40"/>
          <w:szCs w:val="40"/>
          <w:rtl w:val="0"/>
        </w:rPr>
        <w:t xml:space="preserve"> </w:t>
      </w:r>
      <w:r w:rsidDel="00000000" w:rsidR="00000000" w:rsidRPr="00000000">
        <w:rPr>
          <w:rFonts w:ascii="Arial" w:cs="Arial" w:eastAsia="Arial" w:hAnsi="Arial"/>
          <w:sz w:val="38"/>
          <w:szCs w:val="38"/>
          <w:rtl w:val="0"/>
        </w:rPr>
        <w:t xml:space="preserve">Children, Young People and Families </w:t>
      </w:r>
    </w:p>
    <w:p w:rsidR="00000000" w:rsidDel="00000000" w:rsidP="00000000" w:rsidRDefault="00000000" w:rsidRPr="00000000" w14:paraId="00000005">
      <w:pPr>
        <w:spacing w:after="0" w:line="360" w:lineRule="auto"/>
        <w:rPr>
          <w:rFonts w:ascii="Arial" w:cs="Arial" w:eastAsia="Arial" w:hAnsi="Arial"/>
          <w:sz w:val="40"/>
          <w:szCs w:val="40"/>
        </w:rPr>
      </w:pPr>
      <w:r w:rsidDel="00000000" w:rsidR="00000000" w:rsidRPr="00000000">
        <w:rPr>
          <w:rFonts w:ascii="Arial" w:cs="Arial" w:eastAsia="Arial" w:hAnsi="Arial"/>
          <w:b w:val="1"/>
          <w:sz w:val="40"/>
          <w:szCs w:val="40"/>
          <w:rtl w:val="0"/>
        </w:rPr>
        <w:t xml:space="preserve">Module Code:</w:t>
      </w:r>
      <w:r w:rsidDel="00000000" w:rsidR="00000000" w:rsidRPr="00000000">
        <w:rPr>
          <w:rFonts w:ascii="Arial" w:cs="Arial" w:eastAsia="Arial" w:hAnsi="Arial"/>
          <w:sz w:val="40"/>
          <w:szCs w:val="40"/>
          <w:rtl w:val="0"/>
        </w:rPr>
        <w:t xml:space="preserve"> </w:t>
      </w:r>
      <w:r w:rsidDel="00000000" w:rsidR="00000000" w:rsidRPr="00000000">
        <w:rPr>
          <w:rFonts w:ascii="Arial" w:cs="Arial" w:eastAsia="Arial" w:hAnsi="Arial"/>
          <w:sz w:val="40"/>
          <w:szCs w:val="40"/>
          <w:rtl w:val="0"/>
        </w:rPr>
        <w:t xml:space="preserve">BMHP5004_BIRM</w:t>
      </w:r>
    </w:p>
    <w:p w:rsidR="00000000" w:rsidDel="00000000" w:rsidP="00000000" w:rsidRDefault="00000000" w:rsidRPr="00000000" w14:paraId="00000006">
      <w:pPr>
        <w:spacing w:after="0" w:line="360" w:lineRule="auto"/>
        <w:rPr>
          <w:rFonts w:ascii="Arial" w:cs="Arial" w:eastAsia="Arial" w:hAnsi="Arial"/>
          <w:sz w:val="40"/>
          <w:szCs w:val="40"/>
        </w:rPr>
      </w:pPr>
      <w:r w:rsidDel="00000000" w:rsidR="00000000" w:rsidRPr="00000000">
        <w:rPr>
          <w:rFonts w:ascii="Arial" w:cs="Arial" w:eastAsia="Arial" w:hAnsi="Arial"/>
          <w:b w:val="1"/>
          <w:sz w:val="40"/>
          <w:szCs w:val="40"/>
          <w:rtl w:val="0"/>
        </w:rPr>
        <w:t xml:space="preserve">Lecture:</w:t>
      </w:r>
      <w:r w:rsidDel="00000000" w:rsidR="00000000" w:rsidRPr="00000000">
        <w:rPr>
          <w:rFonts w:ascii="Arial" w:cs="Arial" w:eastAsia="Arial" w:hAnsi="Arial"/>
          <w:sz w:val="40"/>
          <w:szCs w:val="40"/>
          <w:rtl w:val="0"/>
        </w:rPr>
        <w:t xml:space="preserve"> Colin Barr</w:t>
      </w:r>
    </w:p>
    <w:p w:rsidR="00000000" w:rsidDel="00000000" w:rsidP="00000000" w:rsidRDefault="00000000" w:rsidRPr="00000000" w14:paraId="00000007">
      <w:pPr>
        <w:spacing w:after="0" w:line="360" w:lineRule="auto"/>
        <w:rPr>
          <w:rFonts w:ascii="Arial" w:cs="Arial" w:eastAsia="Arial" w:hAnsi="Arial"/>
          <w:sz w:val="40"/>
          <w:szCs w:val="40"/>
        </w:rPr>
      </w:pPr>
      <w:r w:rsidDel="00000000" w:rsidR="00000000" w:rsidRPr="00000000">
        <w:rPr>
          <w:rFonts w:ascii="Arial" w:cs="Arial" w:eastAsia="Arial" w:hAnsi="Arial"/>
          <w:b w:val="1"/>
          <w:sz w:val="40"/>
          <w:szCs w:val="40"/>
          <w:rtl w:val="0"/>
        </w:rPr>
        <w:t xml:space="preserve">Assignment Title: </w:t>
      </w:r>
      <w:r w:rsidDel="00000000" w:rsidR="00000000" w:rsidRPr="00000000">
        <w:rPr>
          <w:rFonts w:ascii="Arial" w:cs="Arial" w:eastAsia="Arial" w:hAnsi="Arial"/>
          <w:sz w:val="40"/>
          <w:szCs w:val="40"/>
          <w:rtl w:val="0"/>
        </w:rPr>
        <w:t xml:space="preserve">Assessment 2 – Essay</w:t>
      </w:r>
    </w:p>
    <w:p w:rsidR="00000000" w:rsidDel="00000000" w:rsidP="00000000" w:rsidRDefault="00000000" w:rsidRPr="00000000" w14:paraId="00000008">
      <w:pPr>
        <w:spacing w:after="0" w:line="360" w:lineRule="auto"/>
        <w:rPr>
          <w:rFonts w:ascii="Arial" w:cs="Arial" w:eastAsia="Arial" w:hAnsi="Arial"/>
          <w:sz w:val="40"/>
          <w:szCs w:val="40"/>
        </w:rPr>
      </w:pPr>
      <w:r w:rsidDel="00000000" w:rsidR="00000000" w:rsidRPr="00000000">
        <w:rPr>
          <w:rtl w:val="0"/>
        </w:rPr>
      </w:r>
    </w:p>
    <w:p w:rsidR="00000000" w:rsidDel="00000000" w:rsidP="00000000" w:rsidRDefault="00000000" w:rsidRPr="00000000" w14:paraId="00000009">
      <w:pPr>
        <w:spacing w:after="0" w:line="360" w:lineRule="auto"/>
        <w:jc w:val="both"/>
        <w:rPr>
          <w:rFonts w:ascii="Arial" w:cs="Arial" w:eastAsia="Arial" w:hAnsi="Arial"/>
          <w:sz w:val="46"/>
          <w:szCs w:val="46"/>
        </w:rPr>
      </w:pPr>
      <w:r w:rsidDel="00000000" w:rsidR="00000000" w:rsidRPr="00000000">
        <w:rPr>
          <w:rtl w:val="0"/>
        </w:rPr>
      </w:r>
    </w:p>
    <w:p w:rsidR="00000000" w:rsidDel="00000000" w:rsidP="00000000" w:rsidRDefault="00000000" w:rsidRPr="00000000" w14:paraId="0000000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F">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0">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1">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2">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3">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5">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6">
      <w:pPr>
        <w:spacing w:line="360" w:lineRule="auto"/>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Discuss the importance and significance of safeguarding policies and procedures in the UK: A reference on two high profile safeguarding cases in the last 20 years.</w:t>
      </w:r>
      <w:r w:rsidDel="00000000" w:rsidR="00000000" w:rsidRPr="00000000">
        <w:rPr>
          <w:rtl w:val="0"/>
        </w:rPr>
      </w:r>
    </w:p>
    <w:p w:rsidR="00000000" w:rsidDel="00000000" w:rsidP="00000000" w:rsidRDefault="00000000" w:rsidRPr="00000000" w14:paraId="0000001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essay discusses the importance of safeguarding policies, procedures and practices in relation to children, young adults and their families in the UK. It makes references to two key historical safeguarding cases in the past 20 years in the UK. Safeguarding can be defined as a set of policies, procedures and practices used to actively promote the welfare of children and young people and protect them from risks of harm, abuse and neglect (Rogowski, 2013, 2014; Sandra et al., 2014; NHS-England, 2015; Graham et al., 2016). This guides and provides reasonable interpretation for practitioners. I have chosen to use both Victoria Climbié and Peter Connelly (aka, Baby P) cases because they were high profile safeguarding incidents in the UK. Both were found to be abused and neglected by families and resulted in their deaths (Lord Laming Report, 2003; Munrow Review, 2011). The two cases call for critique of the safeguarding system which is considered to protect children, young people and their families. It concludes by drawing insights from the discussion with some recommendations.</w:t>
      </w:r>
    </w:p>
    <w:p w:rsidR="00000000" w:rsidDel="00000000" w:rsidP="00000000" w:rsidRDefault="00000000" w:rsidRPr="00000000" w14:paraId="00000018">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Introduction </w:t>
      </w:r>
    </w:p>
    <w:p w:rsidR="00000000" w:rsidDel="00000000" w:rsidP="00000000" w:rsidRDefault="00000000" w:rsidRPr="00000000" w14:paraId="0000001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 efficient and effective safeguarding policy, procedure and practice are important for providing high-quality care and welfare for individuals.  In health and social practice, it is considered as collective responsibility and partnership working (Social Services Act, 2017; NSPCC, 2021) among practitioners of multi-agencies. Such as the coordination and collaboration of various professionals and agencies’ expertise that focus on protecting people’s health, wellbeing and promoting human rights so those individuals can live free from harm, abuse and neglect (NHS-England, 2020). Every day many children and young people are protected from risk of harm or abuse through the safeguarding systems (Child Safeguarding Panel Review, 2022). Yet, deficiencies in policy, procedures and poor professional knowledge, skills and practice often lead to various preventable abuses and harm of incidences in the system (Rogowski, 2014) across the UK. </w:t>
      </w:r>
    </w:p>
    <w:p w:rsidR="00000000" w:rsidDel="00000000" w:rsidP="00000000" w:rsidRDefault="00000000" w:rsidRPr="00000000" w14:paraId="0000001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addition, despite the good intentions of  regulatory and policy reforms in recent years (e.g., the Children</w:t>
      </w:r>
      <w:r w:rsidDel="00000000" w:rsidR="00000000" w:rsidRPr="00000000">
        <w:rPr>
          <w:rFonts w:ascii="Arial" w:cs="Arial" w:eastAsia="Arial" w:hAnsi="Arial"/>
          <w:color w:val="000000"/>
          <w:sz w:val="24"/>
          <w:szCs w:val="24"/>
          <w:rtl w:val="0"/>
        </w:rPr>
        <w:t xml:space="preserve"> and Social Care Act, 2017</w:t>
      </w:r>
      <w:r w:rsidDel="00000000" w:rsidR="00000000" w:rsidRPr="00000000">
        <w:rPr>
          <w:rFonts w:ascii="Arial" w:cs="Arial" w:eastAsia="Arial" w:hAnsi="Arial"/>
          <w:sz w:val="24"/>
          <w:szCs w:val="24"/>
          <w:rtl w:val="0"/>
        </w:rPr>
        <w:t xml:space="preserve">), multi-agency and inter-professional arrangements, engagements gaps still presents significant challenges in dealing effectively with  complex circumstances and needs of service users (Garrett, 2009; NHS, 2015; Featherstone et al., 2019). This means, children and young people within and outside their homes and online face serious risks of potential harm and abuse.  This urgently appeals for effective protection approaches; the systems are strengthened and more supportive in dealing with the complex needs of people in this diverse and unequal society (Bywaters et al., 2017).</w:t>
      </w:r>
    </w:p>
    <w:p w:rsidR="00000000" w:rsidDel="00000000" w:rsidP="00000000" w:rsidRDefault="00000000" w:rsidRPr="00000000" w14:paraId="0000001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Historically, there have been several major safeguarding incidences and public inquiries across the UK (Rogowski, 2014; Featherstone et al., 2017). However, this paper focuses on two notably tragic safeguarding cases of Victoria Climbie and Peter Connelly (aka, Baby P), (Child Safeguarding Panel Review, 2022; Lord Laming Report, 2003) for the discussion. </w:t>
      </w:r>
    </w:p>
    <w:p w:rsidR="00000000" w:rsidDel="00000000" w:rsidP="00000000" w:rsidRDefault="00000000" w:rsidRPr="00000000" w14:paraId="0000001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 are different types of abuse of children and young adults such as physical, sexual, emotional, and institutional abuse (Taylor, 2009.  On the other hand, neglect is a persistent failure to meet a child’s basic needs and/or psychological needs which are likely to cause serious impairment of that child’s health and development (See for example, Department of Education and Skills, 2004; Taylor, 2009; Children and Social Care Act, 2017; Child Safeguarding Panel Review, 2022). It is documented that a child dies from some kind of abuse, cruelty and neglect each week, and between 2009/10 about 1,198 sex crimes (i.e., 3 children per day) against children were recorded in England alone. Moreover, nearly 350,000 children in the UK live in an environment deemed unsafe or unfit for human living conditions (NCPCC, 2022).</w:t>
      </w:r>
    </w:p>
    <w:p w:rsidR="00000000" w:rsidDel="00000000" w:rsidP="00000000" w:rsidRDefault="00000000" w:rsidRPr="00000000" w14:paraId="0000001D">
      <w:pPr>
        <w:spacing w:line="360" w:lineRule="auto"/>
        <w:jc w:val="both"/>
        <w:rPr>
          <w:rFonts w:ascii="Arial" w:cs="Arial" w:eastAsia="Arial" w:hAnsi="Arial"/>
          <w:b w:val="1"/>
          <w:i w:val="1"/>
          <w:sz w:val="24"/>
          <w:szCs w:val="24"/>
        </w:rPr>
      </w:pPr>
      <w:r w:rsidDel="00000000" w:rsidR="00000000" w:rsidRPr="00000000">
        <w:rPr>
          <w:rFonts w:ascii="Arial" w:cs="Arial" w:eastAsia="Arial" w:hAnsi="Arial"/>
          <w:b w:val="1"/>
          <w:i w:val="1"/>
          <w:sz w:val="24"/>
          <w:szCs w:val="24"/>
          <w:rtl w:val="0"/>
        </w:rPr>
        <w:t xml:space="preserve">Critical safeguarding case study</w:t>
      </w:r>
    </w:p>
    <w:p w:rsidR="00000000" w:rsidDel="00000000" w:rsidP="00000000" w:rsidRDefault="00000000" w:rsidRPr="00000000" w14:paraId="0000001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the case of Victoria Climbie, she was born on 2</w:t>
      </w:r>
      <w:r w:rsidDel="00000000" w:rsidR="00000000" w:rsidRPr="00000000">
        <w:rPr>
          <w:rFonts w:ascii="Arial" w:cs="Arial" w:eastAsia="Arial" w:hAnsi="Arial"/>
          <w:sz w:val="24"/>
          <w:szCs w:val="24"/>
          <w:vertAlign w:val="superscript"/>
          <w:rtl w:val="0"/>
        </w:rPr>
        <w:t xml:space="preserve">nd</w:t>
      </w:r>
      <w:r w:rsidDel="00000000" w:rsidR="00000000" w:rsidRPr="00000000">
        <w:rPr>
          <w:rFonts w:ascii="Arial" w:cs="Arial" w:eastAsia="Arial" w:hAnsi="Arial"/>
          <w:sz w:val="24"/>
          <w:szCs w:val="24"/>
          <w:rtl w:val="0"/>
        </w:rPr>
        <w:t xml:space="preserve"> November 1991 in Abijan (Ivory Coast) to her parents Francis and Berthe Climbie. Victoria and her great-aunt Marie-Therese Kouao moved to France where she was enrolled in school.  While in school in France, staff raised concerns about Victoria’s non-attendance, tiredness, general health and wellbeing, and concluded that Victoria might be at risk of harm or abuse. Notwithstanding that, Kouao and Victoria relocated to the UK in 1999, while Kouao disguisedly made Victoria travel on her sibling’s passport named </w:t>
      </w:r>
      <w:r w:rsidDel="00000000" w:rsidR="00000000" w:rsidRPr="00000000">
        <w:rPr>
          <w:rFonts w:ascii="Arial" w:cs="Arial" w:eastAsia="Arial" w:hAnsi="Arial"/>
          <w:i w:val="1"/>
          <w:sz w:val="24"/>
          <w:szCs w:val="24"/>
          <w:rtl w:val="0"/>
        </w:rPr>
        <w:t xml:space="preserve">Anna</w:t>
      </w:r>
      <w:r w:rsidDel="00000000" w:rsidR="00000000" w:rsidRPr="00000000">
        <w:rPr>
          <w:rFonts w:ascii="Arial" w:cs="Arial" w:eastAsia="Arial" w:hAnsi="Arial"/>
          <w:sz w:val="24"/>
          <w:szCs w:val="24"/>
          <w:rtl w:val="0"/>
        </w:rPr>
        <w:t xml:space="preserve">.  In the UK, Kauao sought accommodation from Ealing Homeless Persons Unit (EHPU) and were in contact with Ealing Social Services too. Also contacted was a distant family member who made anonymous calls to Brent Social Services and raised concern about Victoria’s health and social care circumstances. Also, childminder (Cameron) did raise concerns about Victoria’s health and wellbeing, especially how she has been treated in the care of her own mother: Kouao (Lord Laming Report, 2003). Kouao found a partner called Manning and immediately moved in with Victoria to Manning’s house. Victoria’s abuse increased as noticed by another childminder called Ackah. </w:t>
      </w:r>
    </w:p>
    <w:p w:rsidR="00000000" w:rsidDel="00000000" w:rsidP="00000000" w:rsidRDefault="00000000" w:rsidRPr="00000000" w14:paraId="0000001F">
      <w:pPr>
        <w:spacing w:line="360" w:lineRule="auto"/>
        <w:jc w:val="both"/>
        <w:rPr>
          <w:rFonts w:ascii="Arial" w:cs="Arial" w:eastAsia="Arial" w:hAnsi="Arial"/>
          <w:color w:val="000000"/>
          <w:sz w:val="24"/>
          <w:szCs w:val="24"/>
        </w:rPr>
      </w:pPr>
      <w:r w:rsidDel="00000000" w:rsidR="00000000" w:rsidRPr="00000000">
        <w:rPr>
          <w:rFonts w:ascii="Arial" w:cs="Arial" w:eastAsia="Arial" w:hAnsi="Arial"/>
          <w:sz w:val="24"/>
          <w:szCs w:val="24"/>
          <w:rtl w:val="0"/>
        </w:rPr>
        <w:t xml:space="preserve">A series of hospital visits identified various non-accidental injuries on Victoria. The hospital authority referred the case to police and Haringey social services. The council assigned the case to a social worker: Lisa Auhurworrey and child protection specialist police from Metropolitan Police Force). Together, they visited Victoria in hospital and decided it would be appropriate to discharge the child back to her mother’s (Kouao’s) care. Victoria and Kouao stayed in Manning’s flat where she spent the last seven months of her life. But, the mistreatments by both parents - Kouao and Manning continued. At one point in time, Kuoao informed the social services that her partner (Manning) has been sexually abusing Victoria, but upon interrogation by authority and social worker, Kouao later on </w:t>
      </w:r>
      <w:r w:rsidDel="00000000" w:rsidR="00000000" w:rsidRPr="00000000">
        <w:rPr>
          <w:rFonts w:ascii="Arial" w:cs="Arial" w:eastAsia="Arial" w:hAnsi="Arial"/>
          <w:color w:val="000000"/>
          <w:sz w:val="24"/>
          <w:szCs w:val="24"/>
          <w:rtl w:val="0"/>
        </w:rPr>
        <w:t xml:space="preserve">withdrew that allegation. </w:t>
      </w:r>
    </w:p>
    <w:p w:rsidR="00000000" w:rsidDel="00000000" w:rsidP="00000000" w:rsidRDefault="00000000" w:rsidRPr="00000000" w14:paraId="00000020">
      <w:pPr>
        <w:spacing w:line="360" w:lineRule="auto"/>
        <w:jc w:val="both"/>
        <w:rPr>
          <w:rFonts w:ascii="Arial" w:cs="Arial" w:eastAsia="Arial" w:hAnsi="Arial"/>
          <w:color w:val="ff0000"/>
          <w:sz w:val="24"/>
          <w:szCs w:val="24"/>
        </w:rPr>
      </w:pPr>
      <w:r w:rsidDel="00000000" w:rsidR="00000000" w:rsidRPr="00000000">
        <w:rPr>
          <w:rFonts w:ascii="Arial" w:cs="Arial" w:eastAsia="Arial" w:hAnsi="Arial"/>
          <w:color w:val="000000"/>
          <w:sz w:val="24"/>
          <w:szCs w:val="24"/>
          <w:rtl w:val="0"/>
        </w:rPr>
        <w:t xml:space="preserve">Thereafter, she became so ill from the abuse that Kouao took her to see a pastor in church for exorcise of perceived Victoria’s </w:t>
      </w:r>
      <w:r w:rsidDel="00000000" w:rsidR="00000000" w:rsidRPr="00000000">
        <w:rPr>
          <w:rFonts w:ascii="Arial" w:cs="Arial" w:eastAsia="Arial" w:hAnsi="Arial"/>
          <w:sz w:val="24"/>
          <w:szCs w:val="24"/>
          <w:rtl w:val="0"/>
        </w:rPr>
        <w:t xml:space="preserve">evil</w:t>
      </w:r>
      <w:r w:rsidDel="00000000" w:rsidR="00000000" w:rsidRPr="00000000">
        <w:rPr>
          <w:rFonts w:ascii="Arial" w:cs="Arial" w:eastAsia="Arial" w:hAnsi="Arial"/>
          <w:color w:val="000000"/>
          <w:sz w:val="24"/>
          <w:szCs w:val="24"/>
          <w:rtl w:val="0"/>
        </w:rPr>
        <w:t xml:space="preserve"> possession. However, her illness was so severe that the pastor sent her by taxi to Tottenham ambulance centre, where an ambulance took her to the North Middlesex hospital. Yet, Victoria’s health condition was so critical that she had to be transferred to a specialist hospital in St. Mary hospital, Paddington. Victoria sadly died on 25</w:t>
      </w:r>
      <w:r w:rsidDel="00000000" w:rsidR="00000000" w:rsidRPr="00000000">
        <w:rPr>
          <w:rFonts w:ascii="Arial" w:cs="Arial" w:eastAsia="Arial" w:hAnsi="Arial"/>
          <w:color w:val="000000"/>
          <w:sz w:val="24"/>
          <w:szCs w:val="24"/>
          <w:vertAlign w:val="superscript"/>
          <w:rtl w:val="0"/>
        </w:rPr>
        <w:t xml:space="preserve">th</w:t>
      </w:r>
      <w:r w:rsidDel="00000000" w:rsidR="00000000" w:rsidRPr="00000000">
        <w:rPr>
          <w:rFonts w:ascii="Arial" w:cs="Arial" w:eastAsia="Arial" w:hAnsi="Arial"/>
          <w:color w:val="000000"/>
          <w:sz w:val="24"/>
          <w:szCs w:val="24"/>
          <w:rtl w:val="0"/>
        </w:rPr>
        <w:t xml:space="preserve"> February 2003 from severe hypothermia, multiple organ failures and malnutrition. There were several signs of physical abuse including 128 injuries and scars found on Victoria (Laming Report, 2003). Further investigation found horrific living </w:t>
      </w:r>
      <w:r w:rsidDel="00000000" w:rsidR="00000000" w:rsidRPr="00000000">
        <w:rPr>
          <w:rFonts w:ascii="Arial" w:cs="Arial" w:eastAsia="Arial" w:hAnsi="Arial"/>
          <w:sz w:val="24"/>
          <w:szCs w:val="24"/>
          <w:rtl w:val="0"/>
        </w:rPr>
        <w:t xml:space="preserve">conditions</w:t>
      </w:r>
      <w:r w:rsidDel="00000000" w:rsidR="00000000" w:rsidRPr="00000000">
        <w:rPr>
          <w:rFonts w:ascii="Arial" w:cs="Arial" w:eastAsia="Arial" w:hAnsi="Arial"/>
          <w:color w:val="000000"/>
          <w:sz w:val="24"/>
          <w:szCs w:val="24"/>
          <w:rtl w:val="0"/>
        </w:rPr>
        <w:t xml:space="preserve"> and abusive parents. Kouao and Manning were charged with child cruelty and murder and were sentenced to life imprisonment.  Victoria’s experience through the safeguarding system was awful and elements of racism as consequent of individual and multi-agencies’ failures and incompetence at all levels (Lord Laming, 2003).</w:t>
      </w:r>
      <w:r w:rsidDel="00000000" w:rsidR="00000000" w:rsidRPr="00000000">
        <w:rPr>
          <w:rtl w:val="0"/>
        </w:rPr>
      </w:r>
    </w:p>
    <w:p w:rsidR="00000000" w:rsidDel="00000000" w:rsidP="00000000" w:rsidRDefault="00000000" w:rsidRPr="00000000" w14:paraId="0000002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second safeguarding case study relates to Peter Connelly, also known as Baby P.  Peter was born on 1</w:t>
      </w:r>
      <w:r w:rsidDel="00000000" w:rsidR="00000000" w:rsidRPr="00000000">
        <w:rPr>
          <w:rFonts w:ascii="Arial" w:cs="Arial" w:eastAsia="Arial" w:hAnsi="Arial"/>
          <w:sz w:val="24"/>
          <w:szCs w:val="24"/>
          <w:vertAlign w:val="superscript"/>
          <w:rtl w:val="0"/>
        </w:rPr>
        <w:t xml:space="preserve">st</w:t>
      </w:r>
      <w:r w:rsidDel="00000000" w:rsidR="00000000" w:rsidRPr="00000000">
        <w:rPr>
          <w:rFonts w:ascii="Arial" w:cs="Arial" w:eastAsia="Arial" w:hAnsi="Arial"/>
          <w:sz w:val="24"/>
          <w:szCs w:val="24"/>
          <w:rtl w:val="0"/>
        </w:rPr>
        <w:t xml:space="preserve"> March 2006 to Tracey Connelly. Tracey has other children and the family live in Tottenham, north London. A family background indicated that Peter’s mother Tracey is historically known to multiple agencies and was placed on child protection register when young. Also, there was concern of her mental health and would experience post-natal depression from the birth of Peter. However, that was not diagnosed (LSCB, 2009; BBC, 2008). </w:t>
      </w:r>
    </w:p>
    <w:p w:rsidR="00000000" w:rsidDel="00000000" w:rsidP="00000000" w:rsidRDefault="00000000" w:rsidRPr="00000000" w14:paraId="0000002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Ms Tracey and her family registered with a GP surgery, where the practice referred her to the PCMHW for help. The PCMHW referred her to HARTs-Trust, a charitable organisation funded by Haringey council supporting people with housing. Tracey was offered accommodation. Tracey began a relationship with Steven Barker who moved in with Tracey’s home. </w:t>
      </w:r>
    </w:p>
    <w:p w:rsidR="00000000" w:rsidDel="00000000" w:rsidP="00000000" w:rsidRDefault="00000000" w:rsidRPr="00000000" w14:paraId="0000002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Following Peter’s birth at the North Middlesex university hospital a health visitor conducted a new birth related visit in the family’s home. She found Peter developing and breast-feeding well; however, because of Tracey’s health history the case was denoted cause of concern. Tracey took Peter to the GP surgery on 18</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September 2006 and reported cough and nappy rashes on Peter. She claimed he bruises easily and she might rather be blamed for hurting him. Peter was just six (6) months old at that time. On 11</w:t>
      </w:r>
      <w:r w:rsidDel="00000000" w:rsidR="00000000" w:rsidRPr="00000000">
        <w:rPr>
          <w:rFonts w:ascii="Arial" w:cs="Arial" w:eastAsia="Arial" w:hAnsi="Arial"/>
          <w:sz w:val="24"/>
          <w:szCs w:val="24"/>
          <w:vertAlign w:val="superscript"/>
          <w:rtl w:val="0"/>
        </w:rPr>
        <w:t xml:space="preserve">th</w:t>
      </w:r>
      <w:r w:rsidDel="00000000" w:rsidR="00000000" w:rsidRPr="00000000">
        <w:rPr>
          <w:rFonts w:ascii="Arial" w:cs="Arial" w:eastAsia="Arial" w:hAnsi="Arial"/>
          <w:sz w:val="24"/>
          <w:szCs w:val="24"/>
          <w:rtl w:val="0"/>
        </w:rPr>
        <w:t xml:space="preserve"> December 2006 she phoned the surgery that Peter had swelling on his forehead. Upon examining the child, GP referred Peter to North Middlesex hospital and then to Whittington hospital. </w:t>
      </w:r>
    </w:p>
    <w:p w:rsidR="00000000" w:rsidDel="00000000" w:rsidP="00000000" w:rsidRDefault="00000000" w:rsidRPr="00000000" w14:paraId="0000002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the hospitals a number of bruises were found on Peter’s buttocks, face (e.g., two black eyes), chest and swelling on forehead. When Tracey was asked about those unexplained bruises and swelling forehead, she said ‘did not know’ when and how it happened. However, Tracey attributed the injuries to Peter often climbing, falling and bruising easily and slapping himself in play. Nonetheless, medical results showed that Peter was not suffering from any condition that would make him susceptible to bruising easily (LSCB-</w:t>
      </w:r>
      <w:r w:rsidDel="00000000" w:rsidR="00000000" w:rsidRPr="00000000">
        <w:rPr>
          <w:rFonts w:ascii="Arial" w:cs="Arial" w:eastAsia="Arial" w:hAnsi="Arial"/>
          <w:color w:val="000000"/>
          <w:sz w:val="24"/>
          <w:szCs w:val="24"/>
          <w:rtl w:val="0"/>
        </w:rPr>
        <w:t xml:space="preserve">Haringey, 2009).  </w:t>
      </w:r>
      <w:r w:rsidDel="00000000" w:rsidR="00000000" w:rsidRPr="00000000">
        <w:rPr>
          <w:rtl w:val="0"/>
        </w:rPr>
      </w:r>
    </w:p>
    <w:p w:rsidR="00000000" w:rsidDel="00000000" w:rsidP="00000000" w:rsidRDefault="00000000" w:rsidRPr="00000000" w14:paraId="0000002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 were clear concerns about Peter’s welfare and, while he remained in hospital, a multi-agency strategic meeting involving social services and the Metropolitan Police service was carried out. The Haringey Social services’ records dated on 12/11/2006 indicated ‘pummelling’ as the possible explanation for the significant and extensive bruises on Peter’s body.  A joint decision by a social worker and Met police officer on Peter’s case decided that he could not be returned to his mother -Tracey or family until (s.47) police inquiry had completed.  Police and social services made a joint visit to the school, interviewed Peter’s (older) siblings but, neither the school nor health services had concerns about their physical safety or Tracey. </w:t>
      </w:r>
    </w:p>
    <w:p w:rsidR="00000000" w:rsidDel="00000000" w:rsidP="00000000" w:rsidRDefault="00000000" w:rsidRPr="00000000" w14:paraId="0000002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 paediatrician consultant in St Mary’s hospital concluded that bruises on Peter “is very suggestive of non-accidental injury” (LSCB Review, 2009:8). Yet, Peter was discharged to the family home with Tracey. Peter continued to be unwell and had several health care visits afterwards for all sorts of issues, including infection, bloody scabs, head lice and ear infection. Once, a doctor note indicated Peter had possible viral infection, history of head butting, hyperactive, and possible metabolic disorder. On the 3</w:t>
      </w:r>
      <w:r w:rsidDel="00000000" w:rsidR="00000000" w:rsidRPr="00000000">
        <w:rPr>
          <w:rFonts w:ascii="Arial" w:cs="Arial" w:eastAsia="Arial" w:hAnsi="Arial"/>
          <w:sz w:val="24"/>
          <w:szCs w:val="24"/>
          <w:vertAlign w:val="superscript"/>
          <w:rtl w:val="0"/>
        </w:rPr>
        <w:t xml:space="preserve">rd</w:t>
      </w:r>
      <w:r w:rsidDel="00000000" w:rsidR="00000000" w:rsidRPr="00000000">
        <w:rPr>
          <w:rFonts w:ascii="Arial" w:cs="Arial" w:eastAsia="Arial" w:hAnsi="Arial"/>
          <w:sz w:val="24"/>
          <w:szCs w:val="24"/>
          <w:rtl w:val="0"/>
        </w:rPr>
        <w:t xml:space="preserve"> of August at 11:35am, Tracey made a frantic 999-call to the health services about Peter’s being seriously ill. The North London Ambulance Service responded and took Peter to the A &amp; E in the NMUH. Peter died at 12:19 pm on 03/08/2007. </w:t>
      </w:r>
    </w:p>
    <w:p w:rsidR="00000000" w:rsidDel="00000000" w:rsidP="00000000" w:rsidRDefault="00000000" w:rsidRPr="00000000" w14:paraId="00000027">
      <w:pPr>
        <w:spacing w:line="360" w:lineRule="auto"/>
        <w:jc w:val="both"/>
        <w:rPr>
          <w:rFonts w:ascii="Arial" w:cs="Arial" w:eastAsia="Arial" w:hAnsi="Arial"/>
          <w:b w:val="1"/>
          <w:i w:val="1"/>
          <w:color w:val="000000"/>
          <w:sz w:val="24"/>
          <w:szCs w:val="24"/>
        </w:rPr>
      </w:pPr>
      <w:r w:rsidDel="00000000" w:rsidR="00000000" w:rsidRPr="00000000">
        <w:rPr>
          <w:rFonts w:ascii="Arial" w:cs="Arial" w:eastAsia="Arial" w:hAnsi="Arial"/>
          <w:b w:val="1"/>
          <w:i w:val="1"/>
          <w:color w:val="000000"/>
          <w:sz w:val="24"/>
          <w:szCs w:val="24"/>
          <w:rtl w:val="0"/>
        </w:rPr>
        <w:t xml:space="preserve">Discussions of Victoria and Peter’s safeguarding critical </w:t>
      </w:r>
      <w:r w:rsidDel="00000000" w:rsidR="00000000" w:rsidRPr="00000000">
        <w:rPr>
          <w:rFonts w:ascii="Arial" w:cs="Arial" w:eastAsia="Arial" w:hAnsi="Arial"/>
          <w:b w:val="1"/>
          <w:i w:val="1"/>
          <w:sz w:val="24"/>
          <w:szCs w:val="24"/>
          <w:rtl w:val="0"/>
        </w:rPr>
        <w:t xml:space="preserve">incidents</w:t>
      </w:r>
      <w:r w:rsidDel="00000000" w:rsidR="00000000" w:rsidRPr="00000000">
        <w:rPr>
          <w:rtl w:val="0"/>
        </w:rPr>
      </w:r>
    </w:p>
    <w:p w:rsidR="00000000" w:rsidDel="00000000" w:rsidP="00000000" w:rsidRDefault="00000000" w:rsidRPr="00000000" w14:paraId="00000028">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Both Victoria and Peter’s cases revealed some significant levels of bad practice, including bureaucracy from policy, procedure to professional practices. Also, the government’s statutory multi-agency working guidance contributed in part to the children’s deaths. For instance, instead of practitioners and partners focusing on improving the general welfare of the children and their families, it rather gave undue importance to performances of meeting targets based on strict laid down rules, policies and standardised/procedures. This was confirmed in both Lord Laming Report (2003) on Victoria Climbie and Munrow Review (2011) on Peter Connelly’s cases. It found social workers spent too much times completing bureaucracies (e.g., filling forms, on computers and keeping records to demonstrate compliance) instead of providing meaningful support for the children and their family. The dominant target-driven being enforced by management and leadership across the care system weakens the principle of safeguarding. </w:t>
      </w:r>
    </w:p>
    <w:p w:rsidR="00000000" w:rsidDel="00000000" w:rsidP="00000000" w:rsidRDefault="00000000" w:rsidRPr="00000000" w14:paraId="00000029">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In addition, it weakened the good relationships between professionals/social workers agencies, children and their families, needed for effective protection and support. Moreover, </w:t>
      </w:r>
      <w:r w:rsidDel="00000000" w:rsidR="00000000" w:rsidRPr="00000000">
        <w:rPr>
          <w:rFonts w:ascii="Arial" w:cs="Arial" w:eastAsia="Arial" w:hAnsi="Arial"/>
          <w:sz w:val="24"/>
          <w:szCs w:val="24"/>
          <w:rtl w:val="0"/>
        </w:rPr>
        <w:t xml:space="preserve">such an approach</w:t>
      </w:r>
      <w:r w:rsidDel="00000000" w:rsidR="00000000" w:rsidRPr="00000000">
        <w:rPr>
          <w:rFonts w:ascii="Arial" w:cs="Arial" w:eastAsia="Arial" w:hAnsi="Arial"/>
          <w:color w:val="000000"/>
          <w:sz w:val="24"/>
          <w:szCs w:val="24"/>
          <w:rtl w:val="0"/>
        </w:rPr>
        <w:t xml:space="preserve"> affects practitioners’ freedom to take appropriate decisions and discretionary actions for the best interests of the families and children (Children and Social Service Act, 2017; Social Care Act, 2014; NSPCC, 2022; CSPRP, 2022). Therefore, bureaucratic organisational culture does not enable effective professional competence and practice that are required to deal with the complex and changing needs and welfare of children, young people and their families. </w:t>
      </w:r>
    </w:p>
    <w:p w:rsidR="00000000" w:rsidDel="00000000" w:rsidP="00000000" w:rsidRDefault="00000000" w:rsidRPr="00000000" w14:paraId="0000002A">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Another important issue was about deficiencies in Interprofessional and multi-agency working together (procedure and practice).The statutory guidance for child protection encourages relevant authorities and organisations to work together for the welfare of children and their families.  However, how professionals and organisations involved in the cases coordinated, collaborated or shared vital information about the children’s circumstances and welfare is woefully inadequate.  For instance, it was </w:t>
      </w:r>
      <w:r w:rsidDel="00000000" w:rsidR="00000000" w:rsidRPr="00000000">
        <w:rPr>
          <w:rFonts w:ascii="Arial" w:cs="Arial" w:eastAsia="Arial" w:hAnsi="Arial"/>
          <w:sz w:val="24"/>
          <w:szCs w:val="24"/>
          <w:rtl w:val="0"/>
        </w:rPr>
        <w:t xml:space="preserve">established that agencies</w:t>
      </w:r>
      <w:r w:rsidDel="00000000" w:rsidR="00000000" w:rsidRPr="00000000">
        <w:rPr>
          <w:rFonts w:ascii="Arial" w:cs="Arial" w:eastAsia="Arial" w:hAnsi="Arial"/>
          <w:color w:val="000000"/>
          <w:sz w:val="24"/>
          <w:szCs w:val="24"/>
          <w:rtl w:val="0"/>
        </w:rPr>
        <w:t xml:space="preserve"> were acting in isolation from each </w:t>
      </w:r>
      <w:r w:rsidDel="00000000" w:rsidR="00000000" w:rsidRPr="00000000">
        <w:rPr>
          <w:rFonts w:ascii="Arial" w:cs="Arial" w:eastAsia="Arial" w:hAnsi="Arial"/>
          <w:sz w:val="24"/>
          <w:szCs w:val="24"/>
          <w:rtl w:val="0"/>
        </w:rPr>
        <w:t xml:space="preserve">other</w:t>
      </w:r>
      <w:r w:rsidDel="00000000" w:rsidR="00000000" w:rsidRPr="00000000">
        <w:rPr>
          <w:rFonts w:ascii="Arial" w:cs="Arial" w:eastAsia="Arial" w:hAnsi="Arial"/>
          <w:color w:val="000000"/>
          <w:sz w:val="24"/>
          <w:szCs w:val="24"/>
          <w:rtl w:val="0"/>
        </w:rPr>
        <w:t xml:space="preserve"> without effective coordination or teamwork (BBC, 2008). Furthermore, Victoria and Peter had several contacts with relevant multiple agencies and experts, including social services, health, education, housing, and the police, yet serious and  preventable mistakes were made leading to her death (Laming, 2002). Equally, Peter’s (Baby P), for example, medical record from St Mary’s hospital was not shared with or accessed by local GPs, that led to wrong diagnosis and treatment solely based on the accounts of Tracey Connelly. </w:t>
      </w:r>
    </w:p>
    <w:p w:rsidR="00000000" w:rsidDel="00000000" w:rsidP="00000000" w:rsidRDefault="00000000" w:rsidRPr="00000000" w14:paraId="0000002B">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Besides, practitioners and organisations needed not only to engage with issues of protection, but also socio-economic and health circumstances. For instance, had professionals like social workers, doctors and police compassionately considered Peter Connelly mother’s mental health (i.e., </w:t>
      </w:r>
      <w:r w:rsidDel="00000000" w:rsidR="00000000" w:rsidRPr="00000000">
        <w:rPr>
          <w:rFonts w:ascii="Arial" w:cs="Arial" w:eastAsia="Arial" w:hAnsi="Arial"/>
          <w:sz w:val="24"/>
          <w:szCs w:val="24"/>
          <w:rtl w:val="0"/>
        </w:rPr>
        <w:t xml:space="preserve">postnatal</w:t>
      </w:r>
      <w:r w:rsidDel="00000000" w:rsidR="00000000" w:rsidRPr="00000000">
        <w:rPr>
          <w:rFonts w:ascii="Arial" w:cs="Arial" w:eastAsia="Arial" w:hAnsi="Arial"/>
          <w:color w:val="000000"/>
          <w:sz w:val="24"/>
          <w:szCs w:val="24"/>
          <w:rtl w:val="0"/>
        </w:rPr>
        <w:t xml:space="preserve"> disorder) condition, an appropriate support and more humane help could have been provided for the child and the mother (Rogowski, 2014). Likewise Victoria’s case, the underlying socio-economic factors contributed to her abuse and neglect.  As argued by Rogowski (2013), safeguarding policies and social service practices have changed from caring, supporting families’ welfare to investigation (similar to police activity) and managerial surveillance activity (Feguson et al., 2002; Garret, 2009).</w:t>
      </w:r>
    </w:p>
    <w:p w:rsidR="00000000" w:rsidDel="00000000" w:rsidP="00000000" w:rsidRDefault="00000000" w:rsidRPr="00000000" w14:paraId="0000002C">
      <w:pPr>
        <w:spacing w:line="36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 Again, it is important to work with families, taking in consideration their views, strengths, and experiences of service users rather than working against them for just child’s safety and protection and better outcomes. Again, instead of improving socio-economic conditions underlying most abuse and neglect cases of children and young people, or ensuring that basic needs of families are met, the emphasis has shifted towards cost-savings, reduction and rationing of children services. And, towards  changing behaviours and lifestyles of children and their families often in punitive ways (Featherstone et al., 2017; Sandra et al., 2014; Rogowski, 2013; Garett, 2009). However, the current safeguarding policy and procedures often ignores </w:t>
      </w:r>
      <w:r w:rsidDel="00000000" w:rsidR="00000000" w:rsidRPr="00000000">
        <w:rPr>
          <w:rFonts w:ascii="Arial" w:cs="Arial" w:eastAsia="Arial" w:hAnsi="Arial"/>
          <w:sz w:val="24"/>
          <w:szCs w:val="24"/>
          <w:rtl w:val="0"/>
        </w:rPr>
        <w:t xml:space="preserve">these</w:t>
      </w:r>
      <w:r w:rsidDel="00000000" w:rsidR="00000000" w:rsidRPr="00000000">
        <w:rPr>
          <w:rFonts w:ascii="Arial" w:cs="Arial" w:eastAsia="Arial" w:hAnsi="Arial"/>
          <w:color w:val="000000"/>
          <w:sz w:val="24"/>
          <w:szCs w:val="24"/>
          <w:rtl w:val="0"/>
        </w:rPr>
        <w:t xml:space="preserve"> impacts on parental care (Featherstone et al., 2014) leading to family’s stress and negative effects on children and young people’s health and wellbeing. </w:t>
      </w:r>
      <w:r w:rsidDel="00000000" w:rsidR="00000000" w:rsidRPr="00000000">
        <w:rPr>
          <w:rtl w:val="0"/>
        </w:rPr>
      </w:r>
    </w:p>
    <w:p w:rsidR="00000000" w:rsidDel="00000000" w:rsidP="00000000" w:rsidRDefault="00000000" w:rsidRPr="00000000" w14:paraId="0000002D">
      <w:pPr>
        <w:spacing w:line="360" w:lineRule="auto"/>
        <w:jc w:val="both"/>
        <w:rPr>
          <w:rFonts w:ascii="Arial" w:cs="Arial" w:eastAsia="Arial" w:hAnsi="Arial"/>
          <w:b w:val="1"/>
          <w:color w:val="000000"/>
          <w:sz w:val="24"/>
          <w:szCs w:val="24"/>
        </w:rPr>
      </w:pPr>
      <w:r w:rsidDel="00000000" w:rsidR="00000000" w:rsidRPr="00000000">
        <w:rPr>
          <w:rFonts w:ascii="Arial" w:cs="Arial" w:eastAsia="Arial" w:hAnsi="Arial"/>
          <w:b w:val="1"/>
          <w:color w:val="000000"/>
          <w:sz w:val="24"/>
          <w:szCs w:val="24"/>
          <w:rtl w:val="0"/>
        </w:rPr>
        <w:t xml:space="preserve">Conclusion</w:t>
      </w:r>
    </w:p>
    <w:p w:rsidR="00000000" w:rsidDel="00000000" w:rsidP="00000000" w:rsidRDefault="00000000" w:rsidRPr="00000000" w14:paraId="0000002E">
      <w:pPr>
        <w:spacing w:line="36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It is clear from the discussion </w:t>
      </w:r>
      <w:r w:rsidDel="00000000" w:rsidR="00000000" w:rsidRPr="00000000">
        <w:rPr>
          <w:rFonts w:ascii="Arial" w:cs="Arial" w:eastAsia="Arial" w:hAnsi="Arial"/>
          <w:sz w:val="24"/>
          <w:szCs w:val="24"/>
          <w:rtl w:val="0"/>
        </w:rPr>
        <w:t xml:space="preserve">that the</w:t>
      </w:r>
      <w:r w:rsidDel="00000000" w:rsidR="00000000" w:rsidRPr="00000000">
        <w:rPr>
          <w:rFonts w:ascii="Arial" w:cs="Arial" w:eastAsia="Arial" w:hAnsi="Arial"/>
          <w:color w:val="000000"/>
          <w:sz w:val="24"/>
          <w:szCs w:val="24"/>
          <w:rtl w:val="0"/>
        </w:rPr>
        <w:t xml:space="preserve"> system has been over-bureaucratised and has become over-dependence on performance and targets. This often results </w:t>
      </w:r>
      <w:r w:rsidDel="00000000" w:rsidR="00000000" w:rsidRPr="00000000">
        <w:rPr>
          <w:rFonts w:ascii="Arial" w:cs="Arial" w:eastAsia="Arial" w:hAnsi="Arial"/>
          <w:sz w:val="24"/>
          <w:szCs w:val="24"/>
          <w:rtl w:val="0"/>
        </w:rPr>
        <w:t xml:space="preserve">in poor</w:t>
      </w:r>
      <w:r w:rsidDel="00000000" w:rsidR="00000000" w:rsidRPr="00000000">
        <w:rPr>
          <w:rFonts w:ascii="Arial" w:cs="Arial" w:eastAsia="Arial" w:hAnsi="Arial"/>
          <w:color w:val="000000"/>
          <w:sz w:val="24"/>
          <w:szCs w:val="24"/>
          <w:rtl w:val="0"/>
        </w:rPr>
        <w:t xml:space="preserve"> support plans and holistic assessment that meet the needs of children, young adults and families. In addition, there </w:t>
      </w:r>
      <w:r w:rsidDel="00000000" w:rsidR="00000000" w:rsidRPr="00000000">
        <w:rPr>
          <w:rFonts w:ascii="Arial" w:cs="Arial" w:eastAsia="Arial" w:hAnsi="Arial"/>
          <w:sz w:val="24"/>
          <w:szCs w:val="24"/>
          <w:rtl w:val="0"/>
        </w:rPr>
        <w:t xml:space="preserve">was</w:t>
      </w:r>
      <w:r w:rsidDel="00000000" w:rsidR="00000000" w:rsidRPr="00000000">
        <w:rPr>
          <w:rFonts w:ascii="Arial" w:cs="Arial" w:eastAsia="Arial" w:hAnsi="Arial"/>
          <w:color w:val="000000"/>
          <w:sz w:val="24"/>
          <w:szCs w:val="24"/>
          <w:rtl w:val="0"/>
        </w:rPr>
        <w:t xml:space="preserve"> substantial </w:t>
      </w:r>
      <w:r w:rsidDel="00000000" w:rsidR="00000000" w:rsidRPr="00000000">
        <w:rPr>
          <w:rFonts w:ascii="Arial" w:cs="Arial" w:eastAsia="Arial" w:hAnsi="Arial"/>
          <w:sz w:val="24"/>
          <w:szCs w:val="24"/>
          <w:rtl w:val="0"/>
        </w:rPr>
        <w:t xml:space="preserve">evidence</w:t>
      </w:r>
      <w:r w:rsidDel="00000000" w:rsidR="00000000" w:rsidRPr="00000000">
        <w:rPr>
          <w:rFonts w:ascii="Arial" w:cs="Arial" w:eastAsia="Arial" w:hAnsi="Arial"/>
          <w:color w:val="000000"/>
          <w:sz w:val="24"/>
          <w:szCs w:val="24"/>
          <w:rtl w:val="0"/>
        </w:rPr>
        <w:t xml:space="preserve"> of poor coordination, collaboration and partnership working among various agencies which contributed to the deaths and prison terms. Such outcomes like imprisonment have significant long-term impact on children and families who the system </w:t>
      </w:r>
      <w:r w:rsidDel="00000000" w:rsidR="00000000" w:rsidRPr="00000000">
        <w:rPr>
          <w:rFonts w:ascii="Arial" w:cs="Arial" w:eastAsia="Arial" w:hAnsi="Arial"/>
          <w:sz w:val="24"/>
          <w:szCs w:val="24"/>
          <w:rtl w:val="0"/>
        </w:rPr>
        <w:t xml:space="preserve">is</w:t>
      </w:r>
      <w:r w:rsidDel="00000000" w:rsidR="00000000" w:rsidRPr="00000000">
        <w:rPr>
          <w:rFonts w:ascii="Arial" w:cs="Arial" w:eastAsia="Arial" w:hAnsi="Arial"/>
          <w:color w:val="000000"/>
          <w:sz w:val="24"/>
          <w:szCs w:val="24"/>
          <w:rtl w:val="0"/>
        </w:rPr>
        <w:t xml:space="preserve"> designed to protect and support. In Victoria and Peter’s cases their parents were sent to prison and the siblings left behind face the effects of such outcomes. </w:t>
      </w:r>
      <w:r w:rsidDel="00000000" w:rsidR="00000000" w:rsidRPr="00000000">
        <w:rPr>
          <w:rtl w:val="0"/>
        </w:rPr>
      </w:r>
    </w:p>
    <w:p w:rsidR="00000000" w:rsidDel="00000000" w:rsidP="00000000" w:rsidRDefault="00000000" w:rsidRPr="00000000" w14:paraId="0000002F">
      <w:pPr>
        <w:spacing w:line="360" w:lineRule="auto"/>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Furthermore, there </w:t>
      </w:r>
      <w:r w:rsidDel="00000000" w:rsidR="00000000" w:rsidRPr="00000000">
        <w:rPr>
          <w:rFonts w:ascii="Arial" w:cs="Arial" w:eastAsia="Arial" w:hAnsi="Arial"/>
          <w:sz w:val="24"/>
          <w:szCs w:val="24"/>
          <w:rtl w:val="0"/>
        </w:rPr>
        <w:t xml:space="preserve">was a</w:t>
      </w:r>
      <w:r w:rsidDel="00000000" w:rsidR="00000000" w:rsidRPr="00000000">
        <w:rPr>
          <w:rFonts w:ascii="Arial" w:cs="Arial" w:eastAsia="Arial" w:hAnsi="Arial"/>
          <w:color w:val="000000"/>
          <w:sz w:val="24"/>
          <w:szCs w:val="24"/>
          <w:rtl w:val="0"/>
        </w:rPr>
        <w:t xml:space="preserve"> lack of responsibility and accountability on  leadership and management, which suggests there </w:t>
      </w:r>
      <w:r w:rsidDel="00000000" w:rsidR="00000000" w:rsidRPr="00000000">
        <w:rPr>
          <w:rFonts w:ascii="Arial" w:cs="Arial" w:eastAsia="Arial" w:hAnsi="Arial"/>
          <w:sz w:val="24"/>
          <w:szCs w:val="24"/>
          <w:rtl w:val="0"/>
        </w:rPr>
        <w:t xml:space="preserve">is an urgent</w:t>
      </w:r>
      <w:r w:rsidDel="00000000" w:rsidR="00000000" w:rsidRPr="00000000">
        <w:rPr>
          <w:rFonts w:ascii="Arial" w:cs="Arial" w:eastAsia="Arial" w:hAnsi="Arial"/>
          <w:color w:val="000000"/>
          <w:sz w:val="24"/>
          <w:szCs w:val="24"/>
          <w:rtl w:val="0"/>
        </w:rPr>
        <w:t xml:space="preserve"> need for change in management culture and style needed in policy and </w:t>
      </w:r>
      <w:r w:rsidDel="00000000" w:rsidR="00000000" w:rsidRPr="00000000">
        <w:rPr>
          <w:rFonts w:ascii="Arial" w:cs="Arial" w:eastAsia="Arial" w:hAnsi="Arial"/>
          <w:sz w:val="24"/>
          <w:szCs w:val="24"/>
          <w:rtl w:val="0"/>
        </w:rPr>
        <w:t xml:space="preserve">practise</w:t>
      </w:r>
      <w:r w:rsidDel="00000000" w:rsidR="00000000" w:rsidRPr="00000000">
        <w:rPr>
          <w:rFonts w:ascii="Arial" w:cs="Arial" w:eastAsia="Arial" w:hAnsi="Arial"/>
          <w:color w:val="000000"/>
          <w:sz w:val="24"/>
          <w:szCs w:val="24"/>
          <w:rtl w:val="0"/>
        </w:rPr>
        <w:t xml:space="preserve"> for better safeguarding outcomes for children, young people and families. Peter and Victoria’s case have taught us the need to improve practice, inter-agency and multi-professional communication and information sharing approach, professional development and staffing levels, better management culture and, properly funding and resources to deal with complex child protection cases. </w:t>
      </w:r>
      <w:r w:rsidDel="00000000" w:rsidR="00000000" w:rsidRPr="00000000">
        <w:rPr>
          <w:rtl w:val="0"/>
        </w:rPr>
      </w:r>
    </w:p>
    <w:p w:rsidR="00000000" w:rsidDel="00000000" w:rsidP="00000000" w:rsidRDefault="00000000" w:rsidRPr="00000000" w14:paraId="00000030">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Further, there </w:t>
      </w:r>
      <w:r w:rsidDel="00000000" w:rsidR="00000000" w:rsidRPr="00000000">
        <w:rPr>
          <w:rFonts w:ascii="Arial" w:cs="Arial" w:eastAsia="Arial" w:hAnsi="Arial"/>
          <w:sz w:val="24"/>
          <w:szCs w:val="24"/>
          <w:rtl w:val="0"/>
        </w:rPr>
        <w:t xml:space="preserve">was a</w:t>
      </w:r>
      <w:r w:rsidDel="00000000" w:rsidR="00000000" w:rsidRPr="00000000">
        <w:rPr>
          <w:rFonts w:ascii="Arial" w:cs="Arial" w:eastAsia="Arial" w:hAnsi="Arial"/>
          <w:color w:val="000000"/>
          <w:sz w:val="24"/>
          <w:szCs w:val="24"/>
          <w:rtl w:val="0"/>
        </w:rPr>
        <w:t xml:space="preserve"> lack of responsibility and accountability from all those involved. In both cases as individuals, professionals and organisations put up defensive </w:t>
      </w:r>
      <w:r w:rsidDel="00000000" w:rsidR="00000000" w:rsidRPr="00000000">
        <w:rPr>
          <w:rFonts w:ascii="Arial" w:cs="Arial" w:eastAsia="Arial" w:hAnsi="Arial"/>
          <w:sz w:val="24"/>
          <w:szCs w:val="24"/>
          <w:rtl w:val="0"/>
        </w:rPr>
        <w:t xml:space="preserve">stands</w:t>
      </w:r>
      <w:r w:rsidDel="00000000" w:rsidR="00000000" w:rsidRPr="00000000">
        <w:rPr>
          <w:rFonts w:ascii="Arial" w:cs="Arial" w:eastAsia="Arial" w:hAnsi="Arial"/>
          <w:color w:val="000000"/>
          <w:sz w:val="24"/>
          <w:szCs w:val="24"/>
          <w:rtl w:val="0"/>
        </w:rPr>
        <w:t xml:space="preserve"> of blaming others for what happened. Example, Haringey council accused the government for inadequate funding and resources. Practitioners on the other hand denounced and </w:t>
      </w:r>
      <w:r w:rsidDel="00000000" w:rsidR="00000000" w:rsidRPr="00000000">
        <w:rPr>
          <w:rFonts w:ascii="Arial" w:cs="Arial" w:eastAsia="Arial" w:hAnsi="Arial"/>
          <w:sz w:val="24"/>
          <w:szCs w:val="24"/>
          <w:rtl w:val="0"/>
        </w:rPr>
        <w:t xml:space="preserve">criticised</w:t>
      </w:r>
      <w:r w:rsidDel="00000000" w:rsidR="00000000" w:rsidRPr="00000000">
        <w:rPr>
          <w:rFonts w:ascii="Arial" w:cs="Arial" w:eastAsia="Arial" w:hAnsi="Arial"/>
          <w:color w:val="000000"/>
          <w:sz w:val="24"/>
          <w:szCs w:val="24"/>
          <w:rtl w:val="0"/>
        </w:rPr>
        <w:t xml:space="preserve"> management and leadership undue pressure demands that skewed attention of child’s welfare towards performance indicators and targets (Munrow, 2011).  Finally, no proper attention was given to developing and supporting the experts in training, supervision and their professional development to work effectively. Overall, current safeguarding policy, procedure and practice largely focused on procedural </w:t>
      </w:r>
      <w:r w:rsidDel="00000000" w:rsidR="00000000" w:rsidRPr="00000000">
        <w:rPr>
          <w:rFonts w:ascii="Arial" w:cs="Arial" w:eastAsia="Arial" w:hAnsi="Arial"/>
          <w:sz w:val="24"/>
          <w:szCs w:val="24"/>
          <w:rtl w:val="0"/>
        </w:rPr>
        <w:t xml:space="preserve">instruments</w:t>
      </w:r>
      <w:r w:rsidDel="00000000" w:rsidR="00000000" w:rsidRPr="00000000">
        <w:rPr>
          <w:rFonts w:ascii="Arial" w:cs="Arial" w:eastAsia="Arial" w:hAnsi="Arial"/>
          <w:color w:val="000000"/>
          <w:sz w:val="24"/>
          <w:szCs w:val="24"/>
          <w:rtl w:val="0"/>
        </w:rPr>
        <w:t xml:space="preserve"> rather than building expertise’s competence and families’ welfare.  </w:t>
      </w:r>
    </w:p>
    <w:p w:rsidR="00000000" w:rsidDel="00000000" w:rsidP="00000000" w:rsidRDefault="00000000" w:rsidRPr="00000000" w14:paraId="00000031">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 </w:t>
      </w:r>
    </w:p>
    <w:p w:rsidR="00000000" w:rsidDel="00000000" w:rsidP="00000000" w:rsidRDefault="00000000" w:rsidRPr="00000000" w14:paraId="00000032">
      <w:pPr>
        <w:spacing w:line="360" w:lineRule="auto"/>
        <w:jc w:val="both"/>
        <w:rPr>
          <w:rFonts w:ascii="Arial" w:cs="Arial" w:eastAsia="Arial" w:hAnsi="Arial"/>
          <w:b w:val="1"/>
          <w:color w:val="000000"/>
          <w:sz w:val="24"/>
          <w:szCs w:val="24"/>
        </w:rPr>
      </w:pPr>
      <w:bookmarkStart w:colFirst="0" w:colLast="0" w:name="_heading=h.gjdgxs" w:id="0"/>
      <w:bookmarkEnd w:id="0"/>
      <w:r w:rsidDel="00000000" w:rsidR="00000000" w:rsidRPr="00000000">
        <w:rPr>
          <w:rtl w:val="0"/>
        </w:rPr>
      </w:r>
    </w:p>
    <w:p w:rsidR="00000000" w:rsidDel="00000000" w:rsidP="00000000" w:rsidRDefault="00000000" w:rsidRPr="00000000" w14:paraId="00000033">
      <w:pPr>
        <w:spacing w:line="360" w:lineRule="auto"/>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  </w:t>
      </w:r>
    </w:p>
    <w:p w:rsidR="00000000" w:rsidDel="00000000" w:rsidP="00000000" w:rsidRDefault="00000000" w:rsidRPr="00000000" w14:paraId="00000034">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6">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7">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9">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A">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C">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E">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3F">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0">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1">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2">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3">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4">
      <w:pPr>
        <w:spacing w:line="360" w:lineRule="auto"/>
        <w:jc w:val="both"/>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045">
      <w:pPr>
        <w:spacing w:line="360" w:lineRule="auto"/>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Reference</w:t>
      </w:r>
    </w:p>
    <w:p w:rsidR="00000000" w:rsidDel="00000000" w:rsidP="00000000" w:rsidRDefault="00000000" w:rsidRPr="00000000" w14:paraId="0000004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Department of Health (2000) Framework for the ‘Assessment of Children in Need and their Families’, London: Stationary Office</w:t>
      </w:r>
    </w:p>
    <w:p w:rsidR="00000000" w:rsidDel="00000000" w:rsidP="00000000" w:rsidRDefault="00000000" w:rsidRPr="00000000" w14:paraId="0000004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Department for Education and Skills (2004) Every Child Matters: Change for Children. London: Stationary Office</w:t>
      </w:r>
    </w:p>
    <w:p w:rsidR="00000000" w:rsidDel="00000000" w:rsidP="00000000" w:rsidRDefault="00000000" w:rsidRPr="00000000" w14:paraId="0000004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Department for Education/Home Office (2011), Safeguarding Children Who May Have Been Trafficked: Practice Guidance. London: Stationary Office</w:t>
      </w:r>
    </w:p>
    <w:p w:rsidR="00000000" w:rsidDel="00000000" w:rsidP="00000000" w:rsidRDefault="00000000" w:rsidRPr="00000000" w14:paraId="0000004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Child Safeguarding Practice Review Panel – CSPRP (2022).</w:t>
      </w:r>
      <w:r w:rsidDel="00000000" w:rsidR="00000000" w:rsidRPr="00000000">
        <w:rPr>
          <w:rFonts w:ascii="Arial" w:cs="Arial" w:eastAsia="Arial" w:hAnsi="Arial"/>
          <w:i w:val="1"/>
          <w:sz w:val="24"/>
          <w:szCs w:val="24"/>
          <w:rtl w:val="0"/>
        </w:rPr>
        <w:t xml:space="preserve">Child protection in England: A panel review into the murder of Arthur Labinjo-Hughes and Star Hobson</w:t>
      </w:r>
      <w:r w:rsidDel="00000000" w:rsidR="00000000" w:rsidRPr="00000000">
        <w:rPr>
          <w:rFonts w:ascii="Arial" w:cs="Arial" w:eastAsia="Arial" w:hAnsi="Arial"/>
          <w:sz w:val="24"/>
          <w:szCs w:val="24"/>
          <w:rtl w:val="0"/>
        </w:rPr>
        <w:t xml:space="preserve">. Child Protection England, the UK</w:t>
      </w:r>
    </w:p>
    <w:p w:rsidR="00000000" w:rsidDel="00000000" w:rsidP="00000000" w:rsidRDefault="00000000" w:rsidRPr="00000000" w14:paraId="0000004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Garrett, P. M. 2009. ‘</w:t>
      </w:r>
      <w:r w:rsidDel="00000000" w:rsidR="00000000" w:rsidRPr="00000000">
        <w:rPr>
          <w:rFonts w:ascii="Arial" w:cs="Arial" w:eastAsia="Arial" w:hAnsi="Arial"/>
          <w:i w:val="1"/>
          <w:sz w:val="24"/>
          <w:szCs w:val="24"/>
          <w:rtl w:val="0"/>
        </w:rPr>
        <w:t xml:space="preserve">Transforming’ Children’s Services; Social Work, Neoliberalism and the ‘Modern’ World</w:t>
      </w:r>
      <w:r w:rsidDel="00000000" w:rsidR="00000000" w:rsidRPr="00000000">
        <w:rPr>
          <w:rFonts w:ascii="Arial" w:cs="Arial" w:eastAsia="Arial" w:hAnsi="Arial"/>
          <w:sz w:val="24"/>
          <w:szCs w:val="24"/>
          <w:rtl w:val="0"/>
        </w:rPr>
        <w:t xml:space="preserve">. Maidenhead: Open University Press.</w:t>
      </w:r>
    </w:p>
    <w:p w:rsidR="00000000" w:rsidDel="00000000" w:rsidP="00000000" w:rsidRDefault="00000000" w:rsidRPr="00000000" w14:paraId="0000004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Featherstone, B., Morris, K., Daniel, B., Bywaters, P., Brady, G., Bunting, L., Mason, W. and Mirza, N., (2019). Poverty, inequality, child abuse and neglect: Changing the conversation across the UK in child protection? </w:t>
      </w:r>
      <w:r w:rsidDel="00000000" w:rsidR="00000000" w:rsidRPr="00000000">
        <w:rPr>
          <w:rFonts w:ascii="Arial" w:cs="Arial" w:eastAsia="Arial" w:hAnsi="Arial"/>
          <w:i w:val="1"/>
          <w:sz w:val="24"/>
          <w:szCs w:val="24"/>
          <w:rtl w:val="0"/>
        </w:rPr>
        <w:t xml:space="preserve">Children and Youth Services Review</w:t>
      </w:r>
      <w:r w:rsidDel="00000000" w:rsidR="00000000" w:rsidRPr="00000000">
        <w:rPr>
          <w:rFonts w:ascii="Arial" w:cs="Arial" w:eastAsia="Arial" w:hAnsi="Arial"/>
          <w:sz w:val="24"/>
          <w:szCs w:val="24"/>
          <w:rtl w:val="0"/>
        </w:rPr>
        <w:t xml:space="preserve">, 97, pp.127-133</w:t>
      </w:r>
    </w:p>
    <w:p w:rsidR="00000000" w:rsidDel="00000000" w:rsidP="00000000" w:rsidRDefault="00000000" w:rsidRPr="00000000" w14:paraId="0000004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Featherstone, B., White, S and Morris, K (2014a). </w:t>
      </w:r>
      <w:r w:rsidDel="00000000" w:rsidR="00000000" w:rsidRPr="00000000">
        <w:rPr>
          <w:rFonts w:ascii="Arial" w:cs="Arial" w:eastAsia="Arial" w:hAnsi="Arial"/>
          <w:i w:val="1"/>
          <w:sz w:val="24"/>
          <w:szCs w:val="24"/>
          <w:rtl w:val="0"/>
        </w:rPr>
        <w:t xml:space="preserve">Re-Imagining Child Protection</w:t>
      </w:r>
      <w:r w:rsidDel="00000000" w:rsidR="00000000" w:rsidRPr="00000000">
        <w:rPr>
          <w:rFonts w:ascii="Arial" w:cs="Arial" w:eastAsia="Arial" w:hAnsi="Arial"/>
          <w:sz w:val="24"/>
          <w:szCs w:val="24"/>
          <w:rtl w:val="0"/>
        </w:rPr>
        <w:t xml:space="preserve"> Bristol: Policy Press</w:t>
      </w:r>
    </w:p>
    <w:p w:rsidR="00000000" w:rsidDel="00000000" w:rsidP="00000000" w:rsidRDefault="00000000" w:rsidRPr="00000000" w14:paraId="0000004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Graham, K., Norrie, C., Stevens, M., Moriarty, J., Manthorpe, J. and Hussein, S., (2016). Models of adult safeguarding in England: a review of the literature. </w:t>
      </w:r>
      <w:r w:rsidDel="00000000" w:rsidR="00000000" w:rsidRPr="00000000">
        <w:rPr>
          <w:rFonts w:ascii="Arial" w:cs="Arial" w:eastAsia="Arial" w:hAnsi="Arial"/>
          <w:i w:val="1"/>
          <w:sz w:val="24"/>
          <w:szCs w:val="24"/>
          <w:rtl w:val="0"/>
        </w:rPr>
        <w:t xml:space="preserve">Journal of Social Work</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16</w:t>
      </w:r>
      <w:r w:rsidDel="00000000" w:rsidR="00000000" w:rsidRPr="00000000">
        <w:rPr>
          <w:rFonts w:ascii="Arial" w:cs="Arial" w:eastAsia="Arial" w:hAnsi="Arial"/>
          <w:sz w:val="24"/>
          <w:szCs w:val="24"/>
          <w:rtl w:val="0"/>
        </w:rPr>
        <w:t xml:space="preserve">(1), pp.22-46</w:t>
      </w:r>
    </w:p>
    <w:p w:rsidR="00000000" w:rsidDel="00000000" w:rsidP="00000000" w:rsidRDefault="00000000" w:rsidRPr="00000000" w14:paraId="0000004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Home Office, Department of Health, Department for Education and Science, Welsh Office (1991) </w:t>
      </w:r>
      <w:r w:rsidDel="00000000" w:rsidR="00000000" w:rsidRPr="00000000">
        <w:rPr>
          <w:rFonts w:ascii="Arial" w:cs="Arial" w:eastAsia="Arial" w:hAnsi="Arial"/>
          <w:i w:val="1"/>
          <w:sz w:val="24"/>
          <w:szCs w:val="24"/>
          <w:rtl w:val="0"/>
        </w:rPr>
        <w:t xml:space="preserve">Working Together under the Children Act 1989: a Guide to Arrangements for Inter-agency Co-operation for the Protection of Children from Abuse</w:t>
      </w:r>
      <w:r w:rsidDel="00000000" w:rsidR="00000000" w:rsidRPr="00000000">
        <w:rPr>
          <w:rFonts w:ascii="Arial" w:cs="Arial" w:eastAsia="Arial" w:hAnsi="Arial"/>
          <w:sz w:val="24"/>
          <w:szCs w:val="24"/>
          <w:rtl w:val="0"/>
        </w:rPr>
        <w:t xml:space="preserve">. London: HMSO</w:t>
      </w:r>
    </w:p>
    <w:p w:rsidR="00000000" w:rsidDel="00000000" w:rsidP="00000000" w:rsidRDefault="00000000" w:rsidRPr="00000000" w14:paraId="0000004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Local Safeguarding Children Board- LSCB (2009) Serious Case Review: Baby Peter. Haringey Local Authority, London, UK</w:t>
      </w:r>
    </w:p>
    <w:p w:rsidR="00000000" w:rsidDel="00000000" w:rsidP="00000000" w:rsidRDefault="00000000" w:rsidRPr="00000000" w14:paraId="0000005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Lord. Laming (2003) </w:t>
      </w:r>
      <w:r w:rsidDel="00000000" w:rsidR="00000000" w:rsidRPr="00000000">
        <w:rPr>
          <w:rFonts w:ascii="Arial" w:cs="Arial" w:eastAsia="Arial" w:hAnsi="Arial"/>
          <w:i w:val="1"/>
          <w:sz w:val="24"/>
          <w:szCs w:val="24"/>
          <w:rtl w:val="0"/>
        </w:rPr>
        <w:t xml:space="preserve">The Victoria Climbie Inquiry</w:t>
      </w:r>
      <w:r w:rsidDel="00000000" w:rsidR="00000000" w:rsidRPr="00000000">
        <w:rPr>
          <w:rFonts w:ascii="Arial" w:cs="Arial" w:eastAsia="Arial" w:hAnsi="Arial"/>
          <w:sz w:val="24"/>
          <w:szCs w:val="24"/>
          <w:rtl w:val="0"/>
        </w:rPr>
        <w:t xml:space="preserve">. London: Stationary Office.</w:t>
      </w:r>
    </w:p>
    <w:p w:rsidR="00000000" w:rsidDel="00000000" w:rsidP="00000000" w:rsidRDefault="00000000" w:rsidRPr="00000000" w14:paraId="0000005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Kelly, L., Watson, G. and Rodwell, S., (2014) Ed. </w:t>
      </w:r>
      <w:r w:rsidDel="00000000" w:rsidR="00000000" w:rsidRPr="00000000">
        <w:rPr>
          <w:rFonts w:ascii="Arial" w:cs="Arial" w:eastAsia="Arial" w:hAnsi="Arial"/>
          <w:i w:val="1"/>
          <w:sz w:val="24"/>
          <w:szCs w:val="24"/>
          <w:rtl w:val="0"/>
        </w:rPr>
        <w:t xml:space="preserve">Policy to practice</w:t>
      </w:r>
      <w:r w:rsidDel="00000000" w:rsidR="00000000" w:rsidRPr="00000000">
        <w:rPr>
          <w:rFonts w:ascii="Arial" w:cs="Arial" w:eastAsia="Arial" w:hAnsi="Arial"/>
          <w:sz w:val="24"/>
          <w:szCs w:val="24"/>
          <w:rtl w:val="0"/>
        </w:rPr>
        <w:t xml:space="preserve"> Safeguarding and Protecting Children, Young People and Families: A Guide for Nurses and Midwives, p.1</w:t>
      </w:r>
    </w:p>
    <w:p w:rsidR="00000000" w:rsidDel="00000000" w:rsidP="00000000" w:rsidRDefault="00000000" w:rsidRPr="00000000" w14:paraId="0000005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Morisson, T (2000), Working together to safeguard children: challenges and changes for inter-agency coordination in child protection. </w:t>
      </w:r>
      <w:r w:rsidDel="00000000" w:rsidR="00000000" w:rsidRPr="00000000">
        <w:rPr>
          <w:rFonts w:ascii="Arial" w:cs="Arial" w:eastAsia="Arial" w:hAnsi="Arial"/>
          <w:i w:val="1"/>
          <w:sz w:val="24"/>
          <w:szCs w:val="24"/>
          <w:rtl w:val="0"/>
        </w:rPr>
        <w:t xml:space="preserve">Journal of Interprofessional Care</w:t>
      </w:r>
      <w:r w:rsidDel="00000000" w:rsidR="00000000" w:rsidRPr="00000000">
        <w:rPr>
          <w:rFonts w:ascii="Arial" w:cs="Arial" w:eastAsia="Arial" w:hAnsi="Arial"/>
          <w:sz w:val="24"/>
          <w:szCs w:val="24"/>
          <w:rtl w:val="0"/>
        </w:rPr>
        <w:t xml:space="preserve">, 14:4, pp.363-373, DOI: 10.1080/13561820020003919 (Accessed online on 02/07/2023 at: </w:t>
      </w:r>
      <w:hyperlink r:id="rId7">
        <w:r w:rsidDel="00000000" w:rsidR="00000000" w:rsidRPr="00000000">
          <w:rPr>
            <w:rFonts w:ascii="Arial" w:cs="Arial" w:eastAsia="Arial" w:hAnsi="Arial"/>
            <w:color w:val="0000ff"/>
            <w:sz w:val="24"/>
            <w:szCs w:val="24"/>
            <w:u w:val="single"/>
            <w:rtl w:val="0"/>
          </w:rPr>
          <w:t xml:space="preserve">https://doi.org/10.1080/13561820020003919</w:t>
        </w:r>
      </w:hyperlink>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5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Munro, E., (2011) </w:t>
      </w:r>
      <w:r w:rsidDel="00000000" w:rsidR="00000000" w:rsidRPr="00000000">
        <w:rPr>
          <w:rFonts w:ascii="Arial" w:cs="Arial" w:eastAsia="Arial" w:hAnsi="Arial"/>
          <w:i w:val="1"/>
          <w:sz w:val="24"/>
          <w:szCs w:val="24"/>
          <w:rtl w:val="0"/>
        </w:rPr>
        <w:t xml:space="preserve">The Munro Review of Child Protection: Final Report</w:t>
      </w:r>
      <w:r w:rsidDel="00000000" w:rsidR="00000000" w:rsidRPr="00000000">
        <w:rPr>
          <w:rFonts w:ascii="Arial" w:cs="Arial" w:eastAsia="Arial" w:hAnsi="Arial"/>
          <w:sz w:val="24"/>
          <w:szCs w:val="24"/>
          <w:rtl w:val="0"/>
        </w:rPr>
        <w:t xml:space="preserve">. London: Department of Education. The UK Government, London.</w:t>
      </w:r>
    </w:p>
    <w:p w:rsidR="00000000" w:rsidDel="00000000" w:rsidP="00000000" w:rsidRDefault="00000000" w:rsidRPr="00000000" w14:paraId="0000005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N.H.S and Improvement England, (2015) Safeguarding policy, Nursing Directorate: England, the UK</w:t>
      </w:r>
    </w:p>
    <w:p w:rsidR="00000000" w:rsidDel="00000000" w:rsidP="00000000" w:rsidRDefault="00000000" w:rsidRPr="00000000" w14:paraId="0000005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NSPCC (2021) </w:t>
      </w:r>
      <w:r w:rsidDel="00000000" w:rsidR="00000000" w:rsidRPr="00000000">
        <w:rPr>
          <w:rFonts w:ascii="Arial" w:cs="Arial" w:eastAsia="Arial" w:hAnsi="Arial"/>
          <w:i w:val="1"/>
          <w:sz w:val="24"/>
          <w:szCs w:val="24"/>
          <w:rtl w:val="0"/>
        </w:rPr>
        <w:t xml:space="preserve">10 Plus Years of evaluation research at NSPCC: What have we learned</w:t>
      </w:r>
      <w:r w:rsidDel="00000000" w:rsidR="00000000" w:rsidRPr="00000000">
        <w:rPr>
          <w:rFonts w:ascii="Arial" w:cs="Arial" w:eastAsia="Arial" w:hAnsi="Arial"/>
          <w:sz w:val="24"/>
          <w:szCs w:val="24"/>
          <w:rtl w:val="0"/>
        </w:rPr>
        <w:t xml:space="preserve">? Dartington Service Design Lab (2021), London, NSPCC, UK</w:t>
      </w:r>
    </w:p>
    <w:p w:rsidR="00000000" w:rsidDel="00000000" w:rsidP="00000000" w:rsidRDefault="00000000" w:rsidRPr="00000000" w14:paraId="0000005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Rogowski, S., (2015) From child welfare to child protection/safeguarding: A critical practitioner’s view of changing conceptions, policies and practice. </w:t>
      </w:r>
      <w:r w:rsidDel="00000000" w:rsidR="00000000" w:rsidRPr="00000000">
        <w:rPr>
          <w:rFonts w:ascii="Arial" w:cs="Arial" w:eastAsia="Arial" w:hAnsi="Arial"/>
          <w:i w:val="1"/>
          <w:sz w:val="24"/>
          <w:szCs w:val="24"/>
          <w:rtl w:val="0"/>
        </w:rPr>
        <w:t xml:space="preserve">Social Work in Action</w:t>
      </w:r>
      <w:r w:rsidDel="00000000" w:rsidR="00000000" w:rsidRPr="00000000">
        <w:rPr>
          <w:rFonts w:ascii="Arial" w:cs="Arial" w:eastAsia="Arial" w:hAnsi="Arial"/>
          <w:sz w:val="24"/>
          <w:szCs w:val="24"/>
          <w:rtl w:val="0"/>
        </w:rPr>
        <w:t xml:space="preserve">: Vol. 27, 2015 - Issue 2, pp.97-112</w:t>
      </w:r>
    </w:p>
    <w:p w:rsidR="00000000" w:rsidDel="00000000" w:rsidP="00000000" w:rsidRDefault="00000000" w:rsidRPr="00000000" w14:paraId="0000005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Rogowski, S., (2013) </w:t>
      </w:r>
      <w:r w:rsidDel="00000000" w:rsidR="00000000" w:rsidRPr="00000000">
        <w:rPr>
          <w:rFonts w:ascii="Arial" w:cs="Arial" w:eastAsia="Arial" w:hAnsi="Arial"/>
          <w:i w:val="1"/>
          <w:sz w:val="24"/>
          <w:szCs w:val="24"/>
          <w:rtl w:val="0"/>
        </w:rPr>
        <w:t xml:space="preserve">Critical Social Work with Children and Families: Theory, Context and Practice</w:t>
      </w:r>
      <w:r w:rsidDel="00000000" w:rsidR="00000000" w:rsidRPr="00000000">
        <w:rPr>
          <w:rFonts w:ascii="Arial" w:cs="Arial" w:eastAsia="Arial" w:hAnsi="Arial"/>
          <w:sz w:val="24"/>
          <w:szCs w:val="24"/>
          <w:rtl w:val="0"/>
        </w:rPr>
        <w:t xml:space="preserve">. Bristol: Policy Press</w:t>
      </w:r>
    </w:p>
    <w:p w:rsidR="00000000" w:rsidDel="00000000" w:rsidP="00000000" w:rsidRDefault="00000000" w:rsidRPr="00000000" w14:paraId="0000005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Secretary of State for Social Services (1988) </w:t>
      </w:r>
      <w:r w:rsidDel="00000000" w:rsidR="00000000" w:rsidRPr="00000000">
        <w:rPr>
          <w:rFonts w:ascii="Arial" w:cs="Arial" w:eastAsia="Arial" w:hAnsi="Arial"/>
          <w:i w:val="1"/>
          <w:sz w:val="24"/>
          <w:szCs w:val="24"/>
          <w:rtl w:val="0"/>
        </w:rPr>
        <w:t xml:space="preserve">Report of the Inquiry into Child Abuse in Cleveland</w:t>
      </w:r>
      <w:r w:rsidDel="00000000" w:rsidR="00000000" w:rsidRPr="00000000">
        <w:rPr>
          <w:rFonts w:ascii="Arial" w:cs="Arial" w:eastAsia="Arial" w:hAnsi="Arial"/>
          <w:sz w:val="24"/>
          <w:szCs w:val="24"/>
          <w:rtl w:val="0"/>
        </w:rPr>
        <w:t xml:space="preserve"> (Cmnd 412) London: HMSO </w:t>
      </w:r>
    </w:p>
    <w:p w:rsidR="00000000" w:rsidDel="00000000" w:rsidP="00000000" w:rsidRDefault="00000000" w:rsidRPr="00000000" w14:paraId="0000005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Smith, R. (2008) Social Work with Young People. Cambridge: Polity Press</w:t>
      </w:r>
    </w:p>
    <w:p w:rsidR="00000000" w:rsidDel="00000000" w:rsidP="00000000" w:rsidRDefault="00000000" w:rsidRPr="00000000" w14:paraId="0000005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Stafford, A., Parton, N., Vincent, S., and Smith, C., (2012), </w:t>
      </w:r>
      <w:r w:rsidDel="00000000" w:rsidR="00000000" w:rsidRPr="00000000">
        <w:rPr>
          <w:rFonts w:ascii="Arial" w:cs="Arial" w:eastAsia="Arial" w:hAnsi="Arial"/>
          <w:i w:val="1"/>
          <w:sz w:val="24"/>
          <w:szCs w:val="24"/>
          <w:rtl w:val="0"/>
        </w:rPr>
        <w:t xml:space="preserve">Child Protection Systems in the United Kingdom: A Comparative Analysis</w:t>
      </w:r>
      <w:r w:rsidDel="00000000" w:rsidR="00000000" w:rsidRPr="00000000">
        <w:rPr>
          <w:rFonts w:ascii="Arial" w:cs="Arial" w:eastAsia="Arial" w:hAnsi="Arial"/>
          <w:sz w:val="24"/>
          <w:szCs w:val="24"/>
          <w:rtl w:val="0"/>
        </w:rPr>
        <w:t xml:space="preserve">. London: Jessica Kingsley. </w:t>
      </w:r>
    </w:p>
    <w:p w:rsidR="00000000" w:rsidDel="00000000" w:rsidP="00000000" w:rsidRDefault="00000000" w:rsidRPr="00000000" w14:paraId="0000005B">
      <w:pPr>
        <w:spacing w:line="360" w:lineRule="auto"/>
        <w:jc w:val="both"/>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Taylor, C. (2009) “</w:t>
      </w:r>
      <w:r w:rsidDel="00000000" w:rsidR="00000000" w:rsidRPr="00000000">
        <w:rPr>
          <w:rFonts w:ascii="Arial" w:cs="Arial" w:eastAsia="Arial" w:hAnsi="Arial"/>
          <w:sz w:val="24"/>
          <w:szCs w:val="24"/>
          <w:rtl w:val="0"/>
        </w:rPr>
        <w:t xml:space="preserve">Safeguarding Children: Historical Context and Current Landscape.” In</w:t>
      </w:r>
      <w:r w:rsidDel="00000000" w:rsidR="00000000" w:rsidRPr="00000000">
        <w:rPr>
          <w:rFonts w:ascii="Arial" w:cs="Arial" w:eastAsia="Arial" w:hAnsi="Arial"/>
          <w:i w:val="1"/>
          <w:sz w:val="24"/>
          <w:szCs w:val="24"/>
          <w:rtl w:val="0"/>
        </w:rPr>
        <w:t xml:space="preserve">, Critical Perspectives on Safeguarding Children, </w:t>
      </w:r>
      <w:r w:rsidDel="00000000" w:rsidR="00000000" w:rsidRPr="00000000">
        <w:rPr>
          <w:rFonts w:ascii="Arial" w:cs="Arial" w:eastAsia="Arial" w:hAnsi="Arial"/>
          <w:sz w:val="24"/>
          <w:szCs w:val="24"/>
          <w:rtl w:val="0"/>
        </w:rPr>
        <w:t xml:space="preserve">edited by K. Broadhurst, C. Grover, and J. Jamieson, 17–38. Chichester: Wiley-Blackwell</w:t>
      </w: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yperlink">
    <w:name w:val="Hyperlink"/>
    <w:basedOn w:val="DefaultParagraphFont"/>
    <w:uiPriority w:val="99"/>
    <w:unhideWhenUsed w:val="1"/>
    <w:rsid w:val="00890864"/>
    <w:rPr>
      <w:color w:val="0000ff" w:themeColor="hyperlink"/>
      <w:u w:val="single"/>
    </w:rPr>
  </w:style>
  <w:style w:type="paragraph" w:styleId="Header">
    <w:name w:val="header"/>
    <w:basedOn w:val="Normal"/>
    <w:link w:val="HeaderChar"/>
    <w:uiPriority w:val="99"/>
    <w:unhideWhenUsed w:val="1"/>
    <w:rsid w:val="009777EA"/>
    <w:pPr>
      <w:tabs>
        <w:tab w:val="center" w:pos="4513"/>
        <w:tab w:val="right" w:pos="9026"/>
      </w:tabs>
      <w:spacing w:after="0" w:line="240" w:lineRule="auto"/>
    </w:pPr>
  </w:style>
  <w:style w:type="character" w:styleId="HeaderChar" w:customStyle="1">
    <w:name w:val="Header Char"/>
    <w:basedOn w:val="DefaultParagraphFont"/>
    <w:link w:val="Header"/>
    <w:uiPriority w:val="99"/>
    <w:rsid w:val="009777EA"/>
  </w:style>
  <w:style w:type="paragraph" w:styleId="Footer">
    <w:name w:val="footer"/>
    <w:basedOn w:val="Normal"/>
    <w:link w:val="FooterChar"/>
    <w:uiPriority w:val="99"/>
    <w:unhideWhenUsed w:val="1"/>
    <w:rsid w:val="009777EA"/>
    <w:pPr>
      <w:tabs>
        <w:tab w:val="center" w:pos="4513"/>
        <w:tab w:val="right" w:pos="9026"/>
      </w:tabs>
      <w:spacing w:after="0" w:line="240" w:lineRule="auto"/>
    </w:pPr>
  </w:style>
  <w:style w:type="character" w:styleId="FooterChar" w:customStyle="1">
    <w:name w:val="Footer Char"/>
    <w:basedOn w:val="DefaultParagraphFont"/>
    <w:link w:val="Footer"/>
    <w:uiPriority w:val="99"/>
    <w:rsid w:val="009777EA"/>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doi.org/10.1080/135618200200039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rtO67kxxMvOSjQj9+9rR63vokHg==">CgMxLjAyCGguZ2pkZ3hzOAByITFyRm43V2F0TlVzREJoVDduNF9jQkRCZGFRc1VLWVZOcQ==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2023-07-20T16:27:00Z</dcterms:created>
  <dc:creator>Owner</dc:creator>
</cp:coreProperties>
</file>