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8"/>
          <w:szCs w:val="28"/>
          <w:u w:val="none"/>
          <w:shd w:fill="auto" w:val="clear"/>
          <w:vertAlign w:val="baseline"/>
        </w:rPr>
      </w:pPr>
      <w:r w:rsidDel="00000000" w:rsidR="00000000" w:rsidRPr="00000000">
        <w:rPr>
          <w:rFonts w:ascii="Calibri" w:cs="Calibri" w:eastAsia="Calibri" w:hAnsi="Calibri"/>
          <w:b w:val="0"/>
          <w:i w:val="0"/>
          <w:smallCaps w:val="0"/>
          <w:strike w:val="0"/>
          <w:color w:val="1c1e29"/>
          <w:sz w:val="28"/>
          <w:szCs w:val="28"/>
          <w:u w:val="none"/>
          <w:shd w:fill="auto" w:val="clear"/>
          <w:vertAlign w:val="baseline"/>
          <w:rtl w:val="0"/>
        </w:rPr>
        <w:t xml:space="preserve">Design focused research on the promotion of subjective well-being through the materiality of chairs in a home environment.</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8"/>
          <w:szCs w:val="28"/>
          <w:u w:val="none"/>
          <w:shd w:fill="auto" w:val="clear"/>
          <w:vertAlign w:val="baseline"/>
        </w:rPr>
      </w:pPr>
      <w:r w:rsidDel="00000000" w:rsidR="00000000" w:rsidRPr="00000000">
        <w:rPr>
          <w:rFonts w:ascii="Calibri" w:cs="Calibri" w:eastAsia="Calibri" w:hAnsi="Calibri"/>
          <w:b w:val="0"/>
          <w:i w:val="0"/>
          <w:smallCaps w:val="0"/>
          <w:strike w:val="0"/>
          <w:color w:val="1c1e29"/>
          <w:sz w:val="28"/>
          <w:szCs w:val="28"/>
          <w:u w:val="none"/>
          <w:shd w:fill="auto" w:val="clear"/>
          <w:vertAlign w:val="baseline"/>
          <w:rtl w:val="0"/>
        </w:rPr>
        <w:t xml:space="preserve">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Background and context (500)</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In the same way products nowadays are designed to seamlessly integrate into </w:t>
      </w:r>
      <w:r w:rsidDel="00000000" w:rsidR="00000000" w:rsidRPr="00000000">
        <w:rPr>
          <w:rFonts w:ascii="Calibri" w:cs="Calibri" w:eastAsia="Calibri" w:hAnsi="Calibri"/>
          <w:color w:val="1c1e29"/>
          <w:sz w:val="22"/>
          <w:szCs w:val="22"/>
          <w:rtl w:val="0"/>
        </w:rPr>
        <w:t xml:space="preserve">users’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lives, I believe that products can also be designed to seamlessly aid the subjective wellbeing of those who interact with them. In 1999 a diverse group of 41 designers, design researchers, and design thinkers came together to form the first </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International Conference on Design &amp; Emotion.</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Since this conference there has been a steady growth in the amount of research published on the topic of understanding the emotional impact of products. This steady growth has in turn led to the exploration of many new</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and now widely </w:t>
      </w:r>
      <w:r w:rsidDel="00000000" w:rsidR="00000000" w:rsidRPr="00000000">
        <w:rPr>
          <w:rFonts w:ascii="Calibri" w:cs="Calibri" w:eastAsia="Calibri" w:hAnsi="Calibri"/>
          <w:color w:val="1c1e29"/>
          <w:sz w:val="22"/>
          <w:szCs w:val="22"/>
          <w:rtl w:val="0"/>
        </w:rPr>
        <w:t xml:space="preserve">accepted,</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fields such as emotional design, product experience, and user experience (UX design), many of which are now being integrated into design curricula all around the world. Of largest interest to me is the field of Psychophysiology where researchers attempt to investigate the physical interactions between user and material. There are many researchers from all over the world exploring this topic</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some of the most interesting ones for me are the research of Chen (et al, 2009) and Peterson (2019). In these papers, they investigate and attempt to quantify the correlations between </w:t>
      </w:r>
      <w:r w:rsidDel="00000000" w:rsidR="00000000" w:rsidRPr="00000000">
        <w:rPr>
          <w:rFonts w:ascii="Calibri" w:cs="Calibri" w:eastAsia="Calibri" w:hAnsi="Calibri"/>
          <w:color w:val="1c1e29"/>
          <w:sz w:val="22"/>
          <w:szCs w:val="22"/>
          <w:rtl w:val="0"/>
        </w:rPr>
        <w:t xml:space="preserve">the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materials used and how they are perceived by participants.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The way people interact with products has changed hugely over the last 30-40 years</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people have gone from expecting money and expensive products </w:t>
      </w:r>
      <w:r w:rsidDel="00000000" w:rsidR="00000000" w:rsidRPr="00000000">
        <w:rPr>
          <w:rFonts w:ascii="Calibri" w:cs="Calibri" w:eastAsia="Calibri" w:hAnsi="Calibri"/>
          <w:color w:val="1c1e29"/>
          <w:sz w:val="22"/>
          <w:szCs w:val="22"/>
          <w:rtl w:val="0"/>
        </w:rPr>
        <w:t xml:space="preserve">alone to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bring happiness, to now looking for more from the experiences they gain or have through products. Pieter (2013) describes this shift from materialistic to post-materialistic in quite a simple way. “In the past, TV commercials for the Dutch national lottery traditionally featured ordinary people enjoying expensive products after winning the lottery,” i.e. </w:t>
      </w:r>
      <w:r w:rsidDel="00000000" w:rsidR="00000000" w:rsidRPr="00000000">
        <w:rPr>
          <w:rFonts w:ascii="Calibri" w:cs="Calibri" w:eastAsia="Calibri" w:hAnsi="Calibri"/>
          <w:color w:val="1c1e29"/>
          <w:sz w:val="22"/>
          <w:szCs w:val="22"/>
          <w:rtl w:val="0"/>
        </w:rPr>
        <w:t xml:space="preserve">a</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picture of a local farmer driving a Lamborghini. “Surprisingly, the most recent commercial shows people who are engaging in interesting social activities or giving a helping hand to others</w:t>
      </w:r>
      <w:r w:rsidDel="00000000" w:rsidR="00000000" w:rsidRPr="00000000">
        <w:rPr>
          <w:rFonts w:ascii="Calibri" w:cs="Calibri" w:eastAsia="Calibri" w:hAnsi="Calibri"/>
          <w:color w:val="1c1e29"/>
          <w:sz w:val="22"/>
          <w:szCs w:val="22"/>
          <w:rtl w:val="0"/>
        </w:rPr>
        <w:t xml:space="preserve"> … 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he message has become more nuanced and truthful,” shifting from</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color w:val="1c1e29"/>
          <w:sz w:val="22"/>
          <w:szCs w:val="22"/>
          <w:rtl w:val="0"/>
        </w:rPr>
        <w:t xml:space="preserve">m</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oney generates happiness because it enables you to buy the products that you can only dream of with your current bank balance” to “</w:t>
      </w:r>
      <w:r w:rsidDel="00000000" w:rsidR="00000000" w:rsidRPr="00000000">
        <w:rPr>
          <w:rFonts w:ascii="Calibri" w:cs="Calibri" w:eastAsia="Calibri" w:hAnsi="Calibri"/>
          <w:color w:val="1c1e29"/>
          <w:sz w:val="22"/>
          <w:szCs w:val="22"/>
          <w:rtl w:val="0"/>
        </w:rPr>
        <w:t xml:space="preserve">m</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oney generates happiness because it provides you with the means to pursue meaningful goals and help your loved ones do the same”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(Pieter, Pohlmeyer, 2013, p.5). This modern pursuit of experiences needs to also be mirrored in the designs we make. Kansei engineering, affective engineering, and many more fields already approach the application of this</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color w:val="1c1e29"/>
          <w:sz w:val="22"/>
          <w:szCs w:val="22"/>
          <w:rtl w:val="0"/>
        </w:rPr>
        <w:t xml:space="preserve">h</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owever much of the research on affective design still attempts to comprehend designs and materials in a direct linear manner</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people like this high-quality material thus they would like a product made of it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 find Karana’s (2010) research in thi</w:t>
      </w:r>
      <w:r w:rsidDel="00000000" w:rsidR="00000000" w:rsidRPr="00000000">
        <w:rPr>
          <w:rFonts w:ascii="Calibri" w:cs="Calibri" w:eastAsia="Calibri" w:hAnsi="Calibri"/>
          <w:color w:val="1c1e29"/>
          <w:sz w:val="22"/>
          <w:szCs w:val="22"/>
          <w:rtl w:val="0"/>
        </w:rPr>
        <w:t xml:space="preserve">s area</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quite interesting</w:t>
      </w:r>
      <w:r w:rsidDel="00000000" w:rsidR="00000000" w:rsidRPr="00000000">
        <w:rPr>
          <w:rFonts w:ascii="Calibri" w:cs="Calibri" w:eastAsia="Calibri" w:hAnsi="Calibri"/>
          <w:color w:val="1c1e29"/>
          <w:sz w:val="22"/>
          <w:szCs w:val="22"/>
          <w:rtl w:val="0"/>
        </w:rPr>
        <w:t xml:space="preserve">; 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hey begin to consider the context o</w:t>
      </w:r>
      <w:r w:rsidDel="00000000" w:rsidR="00000000" w:rsidRPr="00000000">
        <w:rPr>
          <w:rFonts w:ascii="Calibri" w:cs="Calibri" w:eastAsia="Calibri" w:hAnsi="Calibri"/>
          <w:color w:val="1c1e29"/>
          <w:sz w:val="22"/>
          <w:szCs w:val="22"/>
          <w:rtl w:val="0"/>
        </w:rPr>
        <w:t xml:space="preserve">f culture and gender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around the participants and the impact that has on their interactions with their material samples. I find their research interesting because their findings show that “GENDER and CULTURE, only had a minor effect on material meaning,” which </w:t>
      </w:r>
      <w:r w:rsidDel="00000000" w:rsidR="00000000" w:rsidRPr="00000000">
        <w:rPr>
          <w:rFonts w:ascii="Calibri" w:cs="Calibri" w:eastAsia="Calibri" w:hAnsi="Calibri"/>
          <w:color w:val="1c1e29"/>
          <w:sz w:val="22"/>
          <w:szCs w:val="22"/>
          <w:rtl w:val="0"/>
        </w:rPr>
        <w:t xml:space="preserve">contradicts Pieter’s statements on post-materialism,</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and my own anecdotal experience.</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Aims and objectives (500)</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It is my aim to design and create a range of simple chairs from different materials for a home environment, and evaluate and compare the effect they have on positive, subjective well-being.</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believe that Design has far greater agency as a tool to investigate the affective response of materiality than any other creative field. For hundreds of years, art and music have been used to make people “feel” emotions. However, due to the way art has historically only been available to the wealthy or pious there has always been a barrier between the work and the user: many reverential, others physical. Design has the unique benefit of ubiquity</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it can be found everywhere and in almost everything</w:t>
      </w:r>
      <w:r w:rsidDel="00000000" w:rsidR="00000000" w:rsidRPr="00000000">
        <w:rPr>
          <w:rFonts w:ascii="Calibri" w:cs="Calibri" w:eastAsia="Calibri" w:hAnsi="Calibri"/>
          <w:color w:val="1c1e29"/>
          <w:sz w:val="22"/>
          <w:szCs w:val="22"/>
          <w:rtl w:val="0"/>
        </w:rPr>
        <w:t xml:space="preserve"> as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swathes of people interact with it subconsciously every day. This scope has the capacity to render design almost invisible to the casual user when executed well. Casual haptic interactions are something that traditional art forms struggle with, whereas this is something that Design excels at. This unique aspect of Design, when utilised as a platform for research, is the perfect base from which to start my research into evoking positive affect responses through the use of different materials.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Much of the research done in this field reduces the scope of variables used as stimuli to single slabs or sheets of material to increase the accuracy of the</w:t>
      </w:r>
      <w:r w:rsidDel="00000000" w:rsidR="00000000" w:rsidRPr="00000000">
        <w:rPr>
          <w:rFonts w:ascii="Calibri" w:cs="Calibri" w:eastAsia="Calibri" w:hAnsi="Calibri"/>
          <w:color w:val="1c1e29"/>
          <w:sz w:val="22"/>
          <w:szCs w:val="22"/>
          <w:rtl w:val="0"/>
        </w:rPr>
        <w:t xml:space="preserve"> researchers’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findings. However, by doing this the</w:t>
      </w:r>
      <w:r w:rsidDel="00000000" w:rsidR="00000000" w:rsidRPr="00000000">
        <w:rPr>
          <w:rFonts w:ascii="Calibri" w:cs="Calibri" w:eastAsia="Calibri" w:hAnsi="Calibri"/>
          <w:color w:val="1c1e29"/>
          <w:sz w:val="22"/>
          <w:szCs w:val="22"/>
          <w:rtl w:val="0"/>
        </w:rPr>
        <w:t xml:space="preserve"> researchers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often fail to look at the materiality of an object as a whole. The idea of separating the form and materiality of a product seem inconceivable to me as a Product Designer</w:t>
      </w:r>
      <w:r w:rsidDel="00000000" w:rsidR="00000000" w:rsidRPr="00000000">
        <w:rPr>
          <w:rFonts w:ascii="Calibri" w:cs="Calibri" w:eastAsia="Calibri" w:hAnsi="Calibri"/>
          <w:color w:val="1c1e29"/>
          <w:sz w:val="22"/>
          <w:szCs w:val="22"/>
          <w:rtl w:val="0"/>
        </w:rPr>
        <w:t xml:space="preserve">. W</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hen I am designing a new product, my focus is often on </w:t>
      </w:r>
      <w:r w:rsidDel="00000000" w:rsidR="00000000" w:rsidRPr="00000000">
        <w:rPr>
          <w:rFonts w:ascii="Calibri" w:cs="Calibri" w:eastAsia="Calibri" w:hAnsi="Calibri"/>
          <w:color w:val="1c1e29"/>
          <w:sz w:val="22"/>
          <w:szCs w:val="22"/>
          <w:rtl w:val="0"/>
        </w:rPr>
        <w:t xml:space="preserve">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nhanc</w:t>
      </w:r>
      <w:r w:rsidDel="00000000" w:rsidR="00000000" w:rsidRPr="00000000">
        <w:rPr>
          <w:rFonts w:ascii="Calibri" w:cs="Calibri" w:eastAsia="Calibri" w:hAnsi="Calibri"/>
          <w:color w:val="1c1e29"/>
          <w:sz w:val="22"/>
          <w:szCs w:val="22"/>
          <w:rtl w:val="0"/>
        </w:rPr>
        <w:t xml:space="preserve">ing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the form through the application of materials, so the separation of t</w:t>
      </w:r>
      <w:r w:rsidDel="00000000" w:rsidR="00000000" w:rsidRPr="00000000">
        <w:rPr>
          <w:rFonts w:ascii="Calibri" w:cs="Calibri" w:eastAsia="Calibri" w:hAnsi="Calibri"/>
          <w:color w:val="1c1e29"/>
          <w:sz w:val="22"/>
          <w:szCs w:val="22"/>
          <w:rtl w:val="0"/>
        </w:rPr>
        <w:t xml:space="preserve">he two</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seems</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almost wrong. As part of this research, I want to approach collecting data about interactions through the use of complete products as stimuli, to maintain the context around that material instead of removing it completely from its intended </w:t>
      </w:r>
      <w:r w:rsidDel="00000000" w:rsidR="00000000" w:rsidRPr="00000000">
        <w:rPr>
          <w:rFonts w:ascii="Calibri" w:cs="Calibri" w:eastAsia="Calibri" w:hAnsi="Calibri"/>
          <w:color w:val="1c1e29"/>
          <w:sz w:val="22"/>
          <w:szCs w:val="22"/>
          <w:rtl w:val="0"/>
        </w:rPr>
        <w:t xml:space="preserve">environment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I’m aiming to investigate the home context in order to situate my products not only in a suitable environment for them but also in an environment that is proven (if managed correctly) to support positive well-being. This idea of defined work-home environments which is becoming more and more blurred as time goes on could be reinforced or altered through the application of affective products.</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Proposed Methodology (500)</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intend to adopt several methodological approaches to my research:</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will take a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Post-Positivist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methodological stance to research. In order to do this, I reject a positivist approach as to make use of one would be to attempt to remove myself</w:t>
      </w:r>
      <w:r w:rsidDel="00000000" w:rsidR="00000000" w:rsidRPr="00000000">
        <w:rPr>
          <w:rFonts w:ascii="Calibri" w:cs="Calibri" w:eastAsia="Calibri" w:hAnsi="Calibri"/>
          <w:color w:val="1c1e29"/>
          <w:sz w:val="22"/>
          <w:szCs w:val="22"/>
          <w:rtl w:val="0"/>
        </w:rPr>
        <w:t xml:space="preserve"> and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my biases from the research. The removal of the designer’s biases, or even stylistic approach, can be extremely problematic to design. As Graver writes, “</w:t>
      </w:r>
      <w:r w:rsidDel="00000000" w:rsidR="00000000" w:rsidRPr="00000000">
        <w:rPr>
          <w:rFonts w:ascii="Calibri" w:cs="Calibri" w:eastAsia="Calibri" w:hAnsi="Calibri"/>
          <w:color w:val="1c1e29"/>
          <w:sz w:val="22"/>
          <w:szCs w:val="22"/>
          <w:rtl w:val="0"/>
        </w:rPr>
        <w:t xml:space="preserve">a</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ny design will elicit emotions from users, or convey emotions from the designer” (Graver. 1999, p.51). By this concept, it would be impossible for me to completely remove myself from my design work and by attempting to do so, </w:t>
      </w:r>
      <w:r w:rsidDel="00000000" w:rsidR="00000000" w:rsidRPr="00000000">
        <w:rPr>
          <w:rFonts w:ascii="Calibri" w:cs="Calibri" w:eastAsia="Calibri" w:hAnsi="Calibri"/>
          <w:color w:val="1c1e29"/>
          <w:sz w:val="22"/>
          <w:szCs w:val="22"/>
          <w:rtl w:val="0"/>
        </w:rPr>
        <w:t xml:space="preserve">risk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caus</w:t>
      </w:r>
      <w:r w:rsidDel="00000000" w:rsidR="00000000" w:rsidRPr="00000000">
        <w:rPr>
          <w:rFonts w:ascii="Calibri" w:cs="Calibri" w:eastAsia="Calibri" w:hAnsi="Calibri"/>
          <w:color w:val="1c1e29"/>
          <w:sz w:val="22"/>
          <w:szCs w:val="22"/>
          <w:rtl w:val="0"/>
        </w:rPr>
        <w:t xml:space="preserve">ing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unexpected results.</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As a designer, one of my methods of data processing and collection is through the use of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Praxis.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This method allows me to collect qualitative and quantitative research data through the implementation of my practice. I will make use of Desmet’s and Pohlmeyer’s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Framework for Positive Design</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(Desmet</w:t>
      </w:r>
      <w:r w:rsidDel="00000000" w:rsidR="00000000" w:rsidRPr="00000000">
        <w:rPr>
          <w:rFonts w:ascii="Calibri" w:cs="Calibri" w:eastAsia="Calibri" w:hAnsi="Calibri"/>
          <w:color w:val="1c1e29"/>
          <w:sz w:val="22"/>
          <w:szCs w:val="22"/>
          <w:rtl w:val="0"/>
        </w:rPr>
        <w:t xml:space="preserve"> and Pohlmeyer,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2013, p.7) while designing my chairs to attempt to give them a uniform direction that can be used to define the design.</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Due to the nature of my research being subjective I will employ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Inductive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Reasoning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to approach my research from a qualitative (subjective) perspective. Some common methods of data collection used in research into affect are </w:t>
      </w:r>
      <w:r w:rsidDel="00000000" w:rsidR="00000000" w:rsidRPr="00000000">
        <w:rPr>
          <w:rFonts w:ascii="Calibri" w:cs="Calibri" w:eastAsia="Calibri" w:hAnsi="Calibri"/>
          <w:i w:val="1"/>
          <w:color w:val="1c1e29"/>
          <w:sz w:val="22"/>
          <w:szCs w:val="22"/>
          <w:rtl w:val="0"/>
        </w:rPr>
        <w:t xml:space="preserve">Affective Self Report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i w:val="1"/>
          <w:color w:val="1c1e29"/>
          <w:sz w:val="22"/>
          <w:szCs w:val="22"/>
          <w:rtl w:val="0"/>
        </w:rPr>
        <w:t xml:space="preserve">ASR</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i w:val="1"/>
          <w:color w:val="1c1e29"/>
          <w:sz w:val="22"/>
          <w:szCs w:val="22"/>
          <w:rtl w:val="0"/>
        </w:rPr>
        <w:t xml:space="preserve">Electroencephalogram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i w:val="1"/>
          <w:color w:val="1c1e29"/>
          <w:sz w:val="22"/>
          <w:szCs w:val="22"/>
          <w:rtl w:val="0"/>
        </w:rPr>
        <w:t xml:space="preserve">EEG</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and </w:t>
      </w:r>
      <w:r w:rsidDel="00000000" w:rsidR="00000000" w:rsidRPr="00000000">
        <w:rPr>
          <w:rFonts w:ascii="Calibri" w:cs="Calibri" w:eastAsia="Calibri" w:hAnsi="Calibri"/>
          <w:i w:val="1"/>
          <w:color w:val="1c1e29"/>
          <w:sz w:val="22"/>
          <w:szCs w:val="22"/>
          <w:rtl w:val="0"/>
        </w:rPr>
        <w:t xml:space="preserve">Infrared Thermology</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i w:val="1"/>
          <w:color w:val="1c1e29"/>
          <w:sz w:val="22"/>
          <w:szCs w:val="22"/>
          <w:rtl w:val="0"/>
        </w:rPr>
        <w:t xml:space="preserve">IRT</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However, due to the accessibility of equipment required for</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EEG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and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IRT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will make use of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ASR.</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If I am able to gain access to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EEG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and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IRT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 will be able to use it to cross-compare results with my research as an additional validation method to ensure accuracy.</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By using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ASR</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 will be able to collect qualitative data from each of my participants about their subjective well-being, possibly through the use of questionnaires or self-reports. As part of this, I will take an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Ethnographic</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stance to my research making note of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Observational Research</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and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Qualitative Data Collection (ASR)</w:t>
      </w:r>
      <w:r w:rsidDel="00000000" w:rsidR="00000000" w:rsidRPr="00000000">
        <w:rPr>
          <w:rFonts w:ascii="Calibri" w:cs="Calibri" w:eastAsia="Calibri" w:hAnsi="Calibri"/>
          <w:color w:val="1c1e29"/>
          <w:sz w:val="22"/>
          <w:szCs w:val="22"/>
          <w:rtl w:val="0"/>
        </w:rPr>
        <w:t xml:space="preserve">, a</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llowing for data collection both while the experiment is in progress and retrospectively.</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Component Analysis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will be used on the results of my research to attempt to find non-overarching correlations. For example, I may find a strong correlation between the softness of a material and the positive affect it elicits, however, that may not be true for my grouping of female participants, etc. This will allow me to gain a more in-depth picture of my research, in turn, </w:t>
      </w:r>
      <w:r w:rsidDel="00000000" w:rsidR="00000000" w:rsidRPr="00000000">
        <w:rPr>
          <w:rFonts w:ascii="Calibri" w:cs="Calibri" w:eastAsia="Calibri" w:hAnsi="Calibri"/>
          <w:color w:val="1c1e29"/>
          <w:sz w:val="22"/>
          <w:szCs w:val="22"/>
          <w:rtl w:val="0"/>
        </w:rPr>
        <w:t xml:space="preserve">provide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more applicable results.</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Annotated Bibliography (1000)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Dr. W. Gaver wrote as part of the ‘Proceedings of the first international conference on Design &amp; Emotion’ that: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There is no such thing as a neutral interface. Any design will elicit emotions from users, or convey emotions from the designer, whether or not the designer intends this or is even conscious of it. Interfaces can be designed for neutrality, but the effect is not neutral in the sense that it allows emotions to be neglected; instead, it is a choice with its own implications. Ignoring emotional connotations of design can have unpredicted effects. (Gaver, 1999, p.51)</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rPr>
          <w:rFonts w:ascii="Calibri" w:cs="Calibri" w:eastAsia="Calibri" w:hAnsi="Calibri"/>
          <w:color w:val="1c1e29"/>
          <w:sz w:val="22"/>
          <w:szCs w:val="22"/>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Gaver’s concept of </w:t>
      </w:r>
      <w:r w:rsidDel="00000000" w:rsidR="00000000" w:rsidRPr="00000000">
        <w:rPr>
          <w:rFonts w:ascii="Calibri" w:cs="Calibri" w:eastAsia="Calibri" w:hAnsi="Calibri"/>
          <w:i w:val="1"/>
          <w:color w:val="1c1e29"/>
          <w:sz w:val="22"/>
          <w:szCs w:val="22"/>
          <w:rtl w:val="0"/>
        </w:rPr>
        <w:t xml:space="preserve">E</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motional </w:t>
      </w:r>
      <w:r w:rsidDel="00000000" w:rsidR="00000000" w:rsidRPr="00000000">
        <w:rPr>
          <w:rFonts w:ascii="Calibri" w:cs="Calibri" w:eastAsia="Calibri" w:hAnsi="Calibri"/>
          <w:i w:val="1"/>
          <w:color w:val="1c1e29"/>
          <w:sz w:val="22"/>
          <w:szCs w:val="22"/>
          <w:rtl w:val="0"/>
        </w:rPr>
        <w:t xml:space="preserve">C</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onnotations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explains the need to be aware of my own design style throughout this research and focus on the product as a whole and not just its materiality.</w:t>
      </w:r>
      <w:r w:rsidDel="00000000" w:rsidR="00000000" w:rsidRPr="00000000">
        <w:rPr>
          <w:rFonts w:ascii="Calibri" w:cs="Calibri" w:eastAsia="Calibri" w:hAnsi="Calibri"/>
          <w:color w:val="1c1e29"/>
          <w:sz w:val="22"/>
          <w:szCs w:val="22"/>
          <w:rtl w:val="0"/>
        </w:rPr>
        <w:t xml:space="preserve">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rPr>
          <w:rFonts w:ascii="Calibri" w:cs="Calibri" w:eastAsia="Calibri" w:hAnsi="Calibri"/>
          <w:color w:val="1c1e29"/>
          <w:sz w:val="22"/>
          <w:szCs w:val="22"/>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Similarly, Pieter Desmet writes</w:t>
      </w:r>
      <w:r w:rsidDel="00000000" w:rsidR="00000000" w:rsidRPr="00000000">
        <w:rPr>
          <w:rFonts w:ascii="Calibri" w:cs="Calibri" w:eastAsia="Calibri" w:hAnsi="Calibri"/>
          <w:color w:val="1c1e29"/>
          <w:sz w:val="22"/>
          <w:szCs w:val="22"/>
          <w:rtl w:val="0"/>
        </w:rPr>
        <w:t xml:space="preserve">:</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rPr>
          <w:rFonts w:ascii="Calibri" w:cs="Calibri" w:eastAsia="Calibri" w:hAnsi="Calibri"/>
          <w:b w:val="0"/>
          <w:i w:val="1"/>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When a product elicits </w:t>
      </w:r>
      <w:r w:rsidDel="00000000" w:rsidR="00000000" w:rsidRPr="00000000">
        <w:rPr>
          <w:rFonts w:ascii="Calibri" w:cs="Calibri" w:eastAsia="Calibri" w:hAnsi="Calibri"/>
          <w:i w:val="1"/>
          <w:color w:val="1c1e29"/>
          <w:sz w:val="22"/>
          <w:szCs w:val="22"/>
          <w:rtl w:val="0"/>
        </w:rPr>
        <w:t xml:space="preserve">an</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emotion, it is always induced by a specific product-subject relationship and within a specific context</w:t>
      </w:r>
      <w:r w:rsidDel="00000000" w:rsidR="00000000" w:rsidRPr="00000000">
        <w:rPr>
          <w:rFonts w:ascii="Calibri" w:cs="Calibri" w:eastAsia="Calibri" w:hAnsi="Calibri"/>
          <w:i w:val="1"/>
          <w:color w:val="1c1e29"/>
          <w:sz w:val="22"/>
          <w:szCs w:val="22"/>
          <w:rtl w:val="0"/>
        </w:rPr>
        <w:t xml:space="preserve"> …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Another complicating aspect of emotions is that they are personal. Even with the same context and product-subject relationship, two persons can still experience different emotional reactions towards a product</w:t>
      </w:r>
      <w:r w:rsidDel="00000000" w:rsidR="00000000" w:rsidRPr="00000000">
        <w:rPr>
          <w:rFonts w:ascii="Calibri" w:cs="Calibri" w:eastAsia="Calibri" w:hAnsi="Calibri"/>
          <w:i w:val="1"/>
          <w:color w:val="1c1e29"/>
          <w:sz w:val="22"/>
          <w:szCs w:val="22"/>
          <w:rtl w:val="0"/>
        </w:rPr>
        <w:t xml:space="preserve">...</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It is even possible to experience</w:t>
      </w:r>
      <w:r w:rsidDel="00000000" w:rsidR="00000000" w:rsidRPr="00000000">
        <w:rPr>
          <w:rFonts w:ascii="Calibri" w:cs="Calibri" w:eastAsia="Calibri" w:hAnsi="Calibri"/>
          <w:color w:val="1c1e29"/>
          <w:sz w:val="22"/>
          <w:szCs w:val="22"/>
          <w:rtl w:val="0"/>
        </w:rPr>
        <w:t xml:space="preserv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a mixture of both positive emotions, related to the innovative aspects, and negative emotions, related to the aesthetics of the design.</w:t>
      </w:r>
      <w:r w:rsidDel="00000000" w:rsidR="00000000" w:rsidRPr="00000000">
        <w:rPr>
          <w:rFonts w:ascii="Calibri" w:cs="Calibri" w:eastAsia="Calibri" w:hAnsi="Calibri"/>
          <w:i w:val="1"/>
          <w:color w:val="1c1e29"/>
          <w:sz w:val="22"/>
          <w:szCs w:val="22"/>
          <w:rtl w:val="0"/>
        </w:rPr>
        <w:t xml:space="preserve"> (Desmet. 1999, p.67-68)</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Desmet’s comments on the subjectivity of design and emotion show that these subjective responses are heavily based on context, the context the product exists within and the context associated with the product by the participant. I will have to make use of large, diverse data sets to reduce the impact of the individual preferences of each participant, in addition, I will also need to take record of participants backgrounds, including ethnicity, social standing, gender, etc.; to help me catalogue each participant’s individual contexts.</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Researchers have taken many different approaches while investigating the field of emotion and design, many of which come from disciplines tangential to design. Positive Psychology, Psychophysiology, Design for </w:t>
      </w:r>
      <w:r w:rsidDel="00000000" w:rsidR="00000000" w:rsidRPr="00000000">
        <w:rPr>
          <w:rFonts w:ascii="Calibri" w:cs="Calibri" w:eastAsia="Calibri" w:hAnsi="Calibri"/>
          <w:color w:val="1c1e29"/>
          <w:sz w:val="22"/>
          <w:szCs w:val="22"/>
          <w:rtl w:val="0"/>
        </w:rPr>
        <w:t xml:space="preserve">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xperience (Hassenzahl, 2010)</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Design for social innovation (Manzini, 2007), Kansei Engineering, Biometrics, and Biophilic Design are just a few. Psychophysical approaches tend to focus on people’s responses to physical interactions, how people categorise different materials and how they interrelate. Hollins, Faldowski, Rao, and Young (1993) and later Hollins, Bensmaia, Karlof, and Young (2000) through these approaches found “robust orthogonal dimensions” of touch perception (Hollins, 1993, p. 697)</w:t>
      </w:r>
      <w:r w:rsidDel="00000000" w:rsidR="00000000" w:rsidRPr="00000000">
        <w:rPr>
          <w:rFonts w:ascii="Calibri" w:cs="Calibri" w:eastAsia="Calibri" w:hAnsi="Calibri"/>
          <w:color w:val="1c1e29"/>
          <w:sz w:val="22"/>
          <w:szCs w:val="22"/>
          <w:rtl w:val="0"/>
        </w:rPr>
        <w:t xml:space="preserve">, i</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n essence showing strong perceived correlations between haptic responses, e.g. roughness-smoothness. In a more recent study, Tiest (et al) investigated over 120 stimuli and found that the perceptions of roughness and softness might depend on more than one physical parameter of the stimuli in some combined way, further supporting this concept (Tiest, et al. 2006, p. 1-20). This idea of multiple stimuli supporting each other is mirrored in many of the other research methods. To be able to collect data using such methods I will need to develop robust frameworks and definitions that can quantify the scope of users</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experiences.</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Pieter Desmet and Anna Pohlmeyer (2013) attempt to introduce a “Framework for Positive Design” in their journal article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Positive Design: An Introduction to Design for Subjective Well-being.</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As part of this they take note of Veenhoven’s definition of happiness, “the degree to which an individual judges the overall quality of his/her own life</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as-a-whole favourably” (Veenhoven, 2011, p.399). As I noted earlier there are many factors of design that impact a user’s affective response, be they contextual, social, or otherwise. These points along with Veenhoven’s definition are excellent examples of the breadth of people’s emotions even when limiting the focus onto solely positive ones</w:t>
      </w:r>
      <w:r w:rsidDel="00000000" w:rsidR="00000000" w:rsidRPr="00000000">
        <w:rPr>
          <w:rFonts w:ascii="Calibri" w:cs="Calibri" w:eastAsia="Calibri" w:hAnsi="Calibri"/>
          <w:color w:val="1c1e29"/>
          <w:sz w:val="22"/>
          <w:szCs w:val="22"/>
          <w:rtl w:val="0"/>
        </w:rPr>
        <w:t xml:space="preserve">. T</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o approach the concept of positive emotion/affect I will have to consider it as a “multi-componential phenomenon”. Lyubomirsky alludes to this with his definition of subjective well-being as “the experience of joy, contentment or positive well-being, combined with a sense that one’s life is good, meaningful and worthwhile” (Lyubomirsky, 2007, p.32). Similarly, Eid and Diener propose that subjective well-being “refers to one’s multi-dimensional evaluation of their lives, including cognitive judgments of life satisfaction as well as affective evaluations of moods and emotions” (Eid, Diener, 2004, p.245). One of the concepts I</w:t>
      </w:r>
      <w:r w:rsidDel="00000000" w:rsidR="00000000" w:rsidRPr="00000000">
        <w:rPr>
          <w:rFonts w:ascii="Calibri" w:cs="Calibri" w:eastAsia="Calibri" w:hAnsi="Calibri"/>
          <w:color w:val="1c1e29"/>
          <w:sz w:val="22"/>
          <w:szCs w:val="22"/>
          <w:rtl w:val="0"/>
        </w:rPr>
        <w:t xml:space="preserve"> wil</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l have to define as part of this research is</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 positive emotion</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smallCaps w:val="0"/>
          <w:strike w:val="0"/>
          <w:color w:val="1c1e29"/>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feel that this multi-componential approach may be an appropriate way of quantifying this subjective experience. Desmet’s and Pohlmeyer’s framework is broken down into three pursuits, echoing the multiple components that construct positive emotion, through which positive design can flourish: Design for Virtue, Design for Pleasure, and Design for Personal Significance (Desmet and Pohlmeyer, 2013, p. 7). This could be implemented both as a research method when evaluating subjective well-being as well as a design method within my research.</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Karana and Hekkert attempt to meld these ideas of materiality and subjective comprehension in their journal article “User-Material-Product Interrelationships in Attributing Meanings” focusing instead on the relative context of materials and participants and the interrelationships this yields. The results of this research support “the contention that meanings of materials in a particular context are shaped by interactions of materials with aspects of products and users” in turn supporting Gaver’s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emotional connotations.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However, Karana and Hekkert further and refine this point by saying noting “the type of product and the way a material is shaped in a product have a big impact on what a material expresses” also adding that two of the contextual aspects they studied, “GENDER and CULTURE, only had a minor effect on material meaning“ (Karana and Hekkert, 2010 p.49).</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1"/>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Peterson (et al) and Chen (et al) both adopt similar methods when considering the contextual implications of subjective bias within participants. Both choose to limit the stimuli each participant receives at a single time to purely tactile or visual. Peterson (et al) describes this as:</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i w:val="1"/>
          <w:smallCaps w:val="0"/>
          <w:strike w:val="0"/>
          <w:color w:val="1c1e29"/>
          <w:sz w:val="22"/>
          <w:szCs w:val="22"/>
          <w:u w:val="none"/>
          <w:shd w:fill="auto" w:val="clear"/>
          <w:vertAlign w:val="baseline"/>
        </w:rPr>
      </w:pPr>
      <w:r w:rsidDel="00000000" w:rsidR="00000000" w:rsidRPr="00000000">
        <w:rPr>
          <w:rFonts w:ascii="Calibri" w:cs="Calibri" w:eastAsia="Calibri" w:hAnsi="Calibri"/>
          <w:i w:val="1"/>
          <w:color w:val="1c1e29"/>
          <w:sz w:val="22"/>
          <w:szCs w:val="22"/>
          <w:rtl w:val="0"/>
        </w:rPr>
        <w:t xml:space="preserve">W</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hen performing the tactile perception test, a test specimen was set in a black box and participants put their hand into the black box and touched the test specimen without seeing the specimen. Participants sat on a chair and touched a specimen freely with their palm, but were prohibited from scratching and holding it</w:t>
      </w:r>
      <w:r w:rsidDel="00000000" w:rsidR="00000000" w:rsidRPr="00000000">
        <w:rPr>
          <w:rFonts w:ascii="Calibri" w:cs="Calibri" w:eastAsia="Calibri" w:hAnsi="Calibri"/>
          <w:i w:val="1"/>
          <w:color w:val="1c1e29"/>
          <w:sz w:val="22"/>
          <w:szCs w:val="22"/>
          <w:rtl w:val="0"/>
        </w:rPr>
        <w:t xml:space="preserv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When performing the visual perception test, a test specimen was set on a black table. Participants simply observed a specimen freely. The surface appearance may be changed as the participants moved around the room; therefore, instructions to keep the same seating style were given (Peterson, et al, 2019, p. 184). </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By separating the visual and tactile natures of my chairs I will be able to gain a deeper understanding of the affective interactions participants are having and their causes. However due to my investigating a product as a whole (a chair), unlike Peterson’s (et al) and Chen’s (et al) investigation of select materials I would not be able to evoke interaction in a contextless environment, e.g. Peterson’s (et al) black box and table.</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Wepfer’s (et al) research into work-life boundaries and their implications on well-being clearly finds a positive correlation between a defined home environment and the participants’ subjective well-being. “Work-to-life boundary enactment has (positive) implications for employees’ well-being. Based on this knowledge, practitioners and policy makers can adjust organizational policy and culture and help employees manage their work-nonwork boundaries in a way that does not impair their well-being” (Wepfer, et al. 2018, p. 737) This concept speaks of a specific context in which people show signs of positive subjective well-being, this could be implemented into the design and scenarios through which participants will interact with my research.</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Ethical concerns (500)</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will adhere to UWTSD’s Research Ethics &amp; Integrity Code of Practice throughout my research. The University states that all “research conducted in and by the university should be undertaken in accordance with commonly agreed standards of good practice</w:t>
      </w:r>
      <w:r w:rsidDel="00000000" w:rsidR="00000000" w:rsidRPr="00000000">
        <w:rPr>
          <w:rFonts w:ascii="Calibri" w:cs="Calibri" w:eastAsia="Calibri" w:hAnsi="Calibri"/>
          <w:color w:val="1c1e29"/>
          <w:sz w:val="22"/>
          <w:szCs w:val="22"/>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including “Honesty, Rigour, Transparency and open communication and Care and respect.”</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They propose the following list:</w:t>
      </w:r>
    </w:p>
    <w:p w:rsidR="00000000" w:rsidDel="00000000" w:rsidP="00000000" w:rsidRDefault="00000000" w:rsidRPr="00000000" w14:paraId="00000041">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Beneficence: 'do positive good'.</w:t>
      </w:r>
    </w:p>
    <w:p w:rsidR="00000000" w:rsidDel="00000000" w:rsidP="00000000" w:rsidRDefault="00000000" w:rsidRPr="00000000" w14:paraId="00000042">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Non-malfeasance: ‘do no harm’.</w:t>
      </w:r>
    </w:p>
    <w:p w:rsidR="00000000" w:rsidDel="00000000" w:rsidP="00000000" w:rsidRDefault="00000000" w:rsidRPr="00000000" w14:paraId="00000043">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Protect participants’ interests and /or rights.</w:t>
      </w:r>
    </w:p>
    <w:p w:rsidR="00000000" w:rsidDel="00000000" w:rsidP="00000000" w:rsidRDefault="00000000" w:rsidRPr="00000000" w14:paraId="00000044">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Ensure participant and researcher safety and risk: i.e. the need to avoid harm or potential harm.</w:t>
      </w:r>
    </w:p>
    <w:p w:rsidR="00000000" w:rsidDel="00000000" w:rsidP="00000000" w:rsidRDefault="00000000" w:rsidRPr="00000000" w14:paraId="00000045">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Consider and protect against where necessary the impact of work on others.</w:t>
      </w:r>
    </w:p>
    <w:p w:rsidR="00000000" w:rsidDel="00000000" w:rsidP="00000000" w:rsidRDefault="00000000" w:rsidRPr="00000000" w14:paraId="00000046">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Ensure informed consent: i.e. the need to inform participants of the aims and procedures of the research and obtain their agreement to take part on the basis of this information.</w:t>
      </w:r>
    </w:p>
    <w:p w:rsidR="00000000" w:rsidDel="00000000" w:rsidP="00000000" w:rsidRDefault="00000000" w:rsidRPr="00000000" w14:paraId="00000047">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Avoid deception: i.e. the need to avoid deception in informing participants about the research, or to justify the need for deception if necessary.</w:t>
      </w:r>
    </w:p>
    <w:p w:rsidR="00000000" w:rsidDel="00000000" w:rsidP="00000000" w:rsidRDefault="00000000" w:rsidRPr="00000000" w14:paraId="00000048">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Provide debriefing: i.e. the need to provide participants with additional information to support them after taking part in the research, and/or to provide true information if deception was necessary originally.</w:t>
      </w:r>
    </w:p>
    <w:p w:rsidR="00000000" w:rsidDel="00000000" w:rsidP="00000000" w:rsidRDefault="00000000" w:rsidRPr="00000000" w14:paraId="00000049">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Allow withdrawal from Investigation: i.e. the need to inform participants of their right to withdraw from the research at any stage, including during or at the end of their involvement.</w:t>
      </w:r>
    </w:p>
    <w:p w:rsidR="00000000" w:rsidDel="00000000" w:rsidP="00000000" w:rsidRDefault="00000000" w:rsidRPr="00000000" w14:paraId="0000004A">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Ensure confidentiality: i.e. the need to reassure participants that information they provide will not be disclosed without prior consent to others other than within the context of the research, or at a minimum will be made anonymous.</w:t>
      </w:r>
    </w:p>
    <w:p w:rsidR="00000000" w:rsidDel="00000000" w:rsidP="00000000" w:rsidRDefault="00000000" w:rsidRPr="00000000" w14:paraId="0000004B">
      <w:pPr>
        <w:numPr>
          <w:ilvl w:val="0"/>
          <w:numId w:val="1"/>
        </w:numPr>
        <w:spacing w:line="276" w:lineRule="auto"/>
        <w:ind w:left="720" w:hanging="3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Data security and archiving: i.e. to ensure that research data is held in a secure manner consonant with the requirements of the Data Protection Act and that it is archived in such a way that it will be accessible for future audit purposes. Special attention should be made with regard to funding body requirements to submit research data to open repositories.</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w:t>
      </w:r>
    </w:p>
    <w:p w:rsidR="00000000" w:rsidDel="00000000" w:rsidP="00000000" w:rsidRDefault="00000000" w:rsidRPr="00000000" w14:paraId="0000004D">
      <w:pPr>
        <w:spacing w:line="276" w:lineRule="auto"/>
        <w:ind w:left="5760"/>
        <w:rPr>
          <w:rFonts w:ascii="Calibri" w:cs="Calibri" w:eastAsia="Calibri" w:hAnsi="Calibri"/>
          <w:color w:val="1c1e29"/>
          <w:sz w:val="22"/>
          <w:szCs w:val="22"/>
        </w:rPr>
      </w:pPr>
      <w:r w:rsidDel="00000000" w:rsidR="00000000" w:rsidRPr="00000000">
        <w:rPr>
          <w:rFonts w:ascii="Calibri" w:cs="Calibri" w:eastAsia="Calibri" w:hAnsi="Calibri"/>
          <w:color w:val="1c1e29"/>
          <w:sz w:val="22"/>
          <w:szCs w:val="22"/>
          <w:rtl w:val="0"/>
        </w:rPr>
        <w:t xml:space="preserve">(UWTSD, 2017, p. 3-4)</w:t>
      </w:r>
    </w:p>
    <w:p w:rsidR="00000000" w:rsidDel="00000000" w:rsidP="00000000" w:rsidRDefault="00000000" w:rsidRPr="00000000" w14:paraId="0000004E">
      <w:pPr>
        <w:spacing w:line="276" w:lineRule="auto"/>
        <w:ind w:left="5760"/>
        <w:rPr>
          <w:rFonts w:ascii="Calibri" w:cs="Calibri" w:eastAsia="Calibri" w:hAnsi="Calibri"/>
          <w:color w:val="1c1e29"/>
          <w:sz w:val="22"/>
          <w:szCs w:val="22"/>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c1e29"/>
          <w:sz w:val="22"/>
          <w:szCs w:val="22"/>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I will ensure that my research will meet all of these objectives. I will have to be considerate of all participants as the nature of the information I will be gathering about them will be highly personal. I will be upfront and honest about all research being carried out and will allow them to withdraw from the experiment at any point and have their data removed up to the point of my research submission. All participants' data will be kept anonymous and their information will not be disclosed without prior consent. I do not intend to do any research that may potentially cause harm to either the participants or myself, however during planning if it becomes apparent that there will be some risk, I will conduct the appropriate risk assessments and make sure the participants are aware of it before they take part. </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References </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Chen, X., Shao, F., Barnes, C. et al. (2009) ‘Exploring Relationships between Touch Perception and Surface Physical Properties’.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Journal of Design,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3(2), pp. 67-77.</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Desmet, P. (1999) ‘To love or not to love: Why do products elicit mixed emotions?’,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Conference on Design &amp; Emotion.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Delft University of Technology, Delft, 3,4 and 5 November. Delft, the Netherlands. pp. 67-68.</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Desmet, P. Pohlymeyer, A. (2013) ‘Positive design: An introduction to design for subjective well-being’’.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Journal of Design</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7(3), pp. 5-19.</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Eid, M., Diener, E. (2004) ‘Global judgments of subjective well-being: Situational variability and long-term stability’.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Social Indicators Research</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65(3), pp. 245-277. </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Gaver, W. (1999) ‘Irrational aspects of technology: Anecdotal evidence’,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Conference on Design &amp; Emotion.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Delft University of Technology, Delft, 3,4 and 5 November. Delft, the Netherlands. pp. 51.</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Hollins, M., Faldowski, R., Rao, S. et al. (1993) ’Perceptual dimensions of tactile surface texture: A multidimensional scaling analysis’,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Perception &amp; Psychophysics,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54 (6), pp. 697–705.</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Hollins, M., Bensmaïa, S., Karlof, K. et al</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(2000) ‘Individual differences in perceptual space for tactile textures: Evidence from multidimensional scaling’.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Perception &amp; Psychophysics,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62 (8), pp.1534–1544.</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Hassenzahl, M. (2010)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Experience Design: Technology for all the right reasons</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San Francisco, CA: Morgan Claypool.</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Karana, E.K., Hekkert, P. (2010) ‘User-Material-Product Interrelationships in Attributing Meanings’.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Journal of Design,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4(3), pp. 43-52.</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Lyubomirsky, S. (2007)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The how of happiness: A new approach to getting the life you want.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New York, NY: Penguin Books.</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Manzini, E. (2007). ‘Design research for sustainable social innovation’. In Michel, R. (ed.),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Design research now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(pp.233-245). Berlin, Germany: Birkhauser Basel.</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Peterson. J., Shitara. M., Yoshida. H. et al. (2019) ‘Emotional Differences in Tactile and Visual Sensation of Wood between Customers in Sweden and Japan for Kansei Engineering Application’.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International Journal of Affective Engineering, </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18(4), pp.181-188.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Tiest, B., Wouter, M., Kappers., Astrid, M.L. (2006) ‘Analysis of haptic perception of materials by multidimensional scaling and physical measurements of roughness and compressibility’</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 Acta Psychologica,</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121(1), pp.1-20.</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UWTSD. (2017)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Research Ethics &amp; Integrity Code of Practice</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University of Wales Trinity Saint David.</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Veenhoven, R. (2011) ‘Greater happiness for a greater number: Is that possible? If so, how.’ In Sheldon, K., Kashdan., Steger, M. (ed.)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Designing positive psychology: Taking Stock and Moving Forward.</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(pp. 392-409). Oxford, UK: Oxford University Press.</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Wepfer, A. G., Allen, T. D., Brauchli, R. et al. (2018) ‘Work-Life Boundaries and Well-Being: Does Work-to-Life Integration Impair Well-Being through lack of Recovery?’. </w:t>
      </w:r>
      <w:r w:rsidDel="00000000" w:rsidR="00000000" w:rsidRPr="00000000">
        <w:rPr>
          <w:rFonts w:ascii="Calibri" w:cs="Calibri" w:eastAsia="Calibri" w:hAnsi="Calibri"/>
          <w:b w:val="0"/>
          <w:i w:val="1"/>
          <w:smallCaps w:val="0"/>
          <w:strike w:val="0"/>
          <w:color w:val="1c1e29"/>
          <w:sz w:val="22"/>
          <w:szCs w:val="22"/>
          <w:u w:val="none"/>
          <w:shd w:fill="auto" w:val="clear"/>
          <w:vertAlign w:val="baseline"/>
          <w:rtl w:val="0"/>
        </w:rPr>
        <w:t xml:space="preserve">Bus Psychol,</w:t>
      </w:r>
      <w:r w:rsidDel="00000000" w:rsidR="00000000" w:rsidRPr="00000000">
        <w:rPr>
          <w:rFonts w:ascii="Calibri" w:cs="Calibri" w:eastAsia="Calibri" w:hAnsi="Calibri"/>
          <w:b w:val="0"/>
          <w:i w:val="0"/>
          <w:smallCaps w:val="0"/>
          <w:strike w:val="0"/>
          <w:color w:val="1c1e29"/>
          <w:sz w:val="22"/>
          <w:szCs w:val="22"/>
          <w:u w:val="none"/>
          <w:shd w:fill="auto" w:val="clear"/>
          <w:vertAlign w:val="baseline"/>
          <w:rtl w:val="0"/>
        </w:rPr>
        <w:t xml:space="preserve"> 33, pp.727-740.</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1c1e29"/>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spacing w:line="276" w:lineRule="auto"/>
        <w:rPr>
          <w:sz w:val="22"/>
          <w:szCs w:val="22"/>
        </w:rPr>
      </w:pPr>
      <w:r w:rsidDel="00000000" w:rsidR="00000000" w:rsidRPr="00000000">
        <w:rPr>
          <w:rtl w:val="0"/>
        </w:rPr>
      </w:r>
    </w:p>
    <w:sectPr>
      <w:pgSz w:h="16838" w:w="11906"/>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F94B54"/>
    <w:pPr>
      <w:spacing w:after="100" w:afterAutospacing="1" w:before="100" w:beforeAutospacing="1"/>
    </w:pPr>
  </w:style>
  <w:style w:type="character" w:styleId="Emphasis">
    <w:name w:val="Emphasis"/>
    <w:basedOn w:val="DefaultParagraphFont"/>
    <w:uiPriority w:val="20"/>
    <w:qFormat w:val="1"/>
    <w:rsid w:val="00F94B54"/>
    <w:rPr>
      <w:i w:val="1"/>
      <w:i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Rh3APnKq3ollx1LaGYkYSRd9w==">AMUW2mU6UrAxv9dHxC9WLaYDC9RT6/OBKtM32VP2LBRDDR8LMF+ua/Klzdy9Cj+gPkd9QTIkhjIq/CqM834UBazh2vSAOlGrzZoFVvjZktiIFrwLhi8Injb0fwxEROzfSJYlL4NxEmxw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2020-01-08T19:04:00Z</dcterms:created>
  <dc:creator>Gareth Williams</dc:creator>
</cp:coreProperties>
</file>