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014" w:rsidRDefault="00F36465" w:rsidP="00F36465">
      <w:pPr>
        <w:jc w:val="center"/>
        <w:rPr>
          <w:rFonts w:ascii="Comic Sans MS" w:hAnsi="Comic Sans MS"/>
          <w:b/>
          <w:sz w:val="28"/>
          <w:szCs w:val="28"/>
          <w:u w:val="single"/>
        </w:rPr>
      </w:pPr>
      <w:r>
        <w:rPr>
          <w:rFonts w:ascii="Comic Sans MS" w:hAnsi="Comic Sans MS"/>
          <w:b/>
          <w:sz w:val="28"/>
          <w:szCs w:val="28"/>
          <w:u w:val="single"/>
        </w:rPr>
        <w:t xml:space="preserve">Ara </w:t>
      </w:r>
      <w:proofErr w:type="spellStart"/>
      <w:r>
        <w:rPr>
          <w:rFonts w:ascii="Comic Sans MS" w:hAnsi="Comic Sans MS"/>
          <w:b/>
          <w:sz w:val="28"/>
          <w:szCs w:val="28"/>
          <w:u w:val="single"/>
        </w:rPr>
        <w:t>Pacis</w:t>
      </w:r>
      <w:proofErr w:type="spellEnd"/>
      <w:r>
        <w:rPr>
          <w:rFonts w:ascii="Comic Sans MS" w:hAnsi="Comic Sans MS"/>
          <w:b/>
          <w:sz w:val="28"/>
          <w:szCs w:val="28"/>
          <w:u w:val="single"/>
        </w:rPr>
        <w:t xml:space="preserve"> Gobbet</w:t>
      </w:r>
    </w:p>
    <w:p w:rsidR="00F36465" w:rsidRDefault="00F36465" w:rsidP="00F36465">
      <w:pPr>
        <w:jc w:val="both"/>
        <w:rPr>
          <w:rFonts w:ascii="Comic Sans MS" w:hAnsi="Comic Sans MS"/>
          <w:b/>
          <w:sz w:val="28"/>
          <w:szCs w:val="28"/>
          <w:u w:val="single"/>
        </w:rPr>
      </w:pPr>
    </w:p>
    <w:p w:rsidR="00F36465" w:rsidRDefault="00F36465" w:rsidP="00F912D9">
      <w:pPr>
        <w:ind w:firstLine="720"/>
        <w:jc w:val="both"/>
        <w:rPr>
          <w:rFonts w:ascii="Comic Sans MS" w:hAnsi="Comic Sans MS"/>
        </w:rPr>
      </w:pPr>
      <w:r>
        <w:rPr>
          <w:rFonts w:ascii="Comic Sans MS" w:hAnsi="Comic Sans MS"/>
        </w:rPr>
        <w:t xml:space="preserve">The Ara </w:t>
      </w:r>
      <w:proofErr w:type="spellStart"/>
      <w:r>
        <w:rPr>
          <w:rFonts w:ascii="Comic Sans MS" w:hAnsi="Comic Sans MS"/>
        </w:rPr>
        <w:t>Pacis</w:t>
      </w:r>
      <w:proofErr w:type="spellEnd"/>
      <w:r>
        <w:rPr>
          <w:rFonts w:ascii="Comic Sans MS" w:hAnsi="Comic Sans MS"/>
        </w:rPr>
        <w:t>, or Altar of Augustan peace</w:t>
      </w:r>
      <w:r>
        <w:rPr>
          <w:rStyle w:val="FootnoteReference"/>
          <w:rFonts w:ascii="Comic Sans MS" w:hAnsi="Comic Sans MS"/>
        </w:rPr>
        <w:footnoteReference w:id="1"/>
      </w:r>
      <w:r w:rsidR="00EB169D">
        <w:rPr>
          <w:rFonts w:ascii="Comic Sans MS" w:hAnsi="Comic Sans MS"/>
        </w:rPr>
        <w:t xml:space="preserve"> was vo</w:t>
      </w:r>
      <w:r w:rsidR="00FB4A89">
        <w:rPr>
          <w:rFonts w:ascii="Comic Sans MS" w:hAnsi="Comic Sans MS"/>
        </w:rPr>
        <w:t>ted for by the Senate in 13 BCE to celebrate the return of Augustus from his campaigns in Spain and Gaul”</w:t>
      </w:r>
      <w:r w:rsidR="00FB4A89">
        <w:rPr>
          <w:rStyle w:val="FootnoteReference"/>
          <w:rFonts w:ascii="Comic Sans MS" w:hAnsi="Comic Sans MS"/>
        </w:rPr>
        <w:footnoteReference w:id="2"/>
      </w:r>
      <w:r w:rsidR="00FB4A89">
        <w:rPr>
          <w:rFonts w:ascii="Comic Sans MS" w:hAnsi="Comic Sans MS"/>
        </w:rPr>
        <w:t xml:space="preserve"> and was completed within four years</w:t>
      </w:r>
      <w:r w:rsidR="00FB4A89">
        <w:rPr>
          <w:rStyle w:val="FootnoteReference"/>
          <w:rFonts w:ascii="Comic Sans MS" w:hAnsi="Comic Sans MS"/>
        </w:rPr>
        <w:footnoteReference w:id="3"/>
      </w:r>
      <w:r w:rsidR="00FB4A89">
        <w:rPr>
          <w:rFonts w:ascii="Comic Sans MS" w:hAnsi="Comic Sans MS"/>
        </w:rPr>
        <w:t>.</w:t>
      </w:r>
      <w:r w:rsidR="006D5B0F">
        <w:rPr>
          <w:rFonts w:ascii="Comic Sans MS" w:hAnsi="Comic Sans MS"/>
        </w:rPr>
        <w:t xml:space="preserve"> The </w:t>
      </w:r>
      <w:r w:rsidR="00970A58">
        <w:rPr>
          <w:rFonts w:ascii="Comic Sans MS" w:hAnsi="Comic Sans MS"/>
        </w:rPr>
        <w:t xml:space="preserve">altar is made of marble and stands on the Campus </w:t>
      </w:r>
      <w:proofErr w:type="spellStart"/>
      <w:r w:rsidR="00970A58">
        <w:rPr>
          <w:rFonts w:ascii="Comic Sans MS" w:hAnsi="Comic Sans MS"/>
        </w:rPr>
        <w:t>Martius</w:t>
      </w:r>
      <w:proofErr w:type="spellEnd"/>
      <w:r w:rsidR="00970A58">
        <w:rPr>
          <w:rFonts w:ascii="Comic Sans MS" w:hAnsi="Comic Sans MS"/>
        </w:rPr>
        <w:t xml:space="preserve"> in Rome. </w:t>
      </w:r>
    </w:p>
    <w:p w:rsidR="00F912D9" w:rsidRDefault="00F912D9" w:rsidP="00F36465">
      <w:pPr>
        <w:jc w:val="both"/>
        <w:rPr>
          <w:rFonts w:ascii="Comic Sans MS" w:hAnsi="Comic Sans MS"/>
        </w:rPr>
      </w:pPr>
      <w:r>
        <w:rPr>
          <w:rFonts w:ascii="Comic Sans MS" w:hAnsi="Comic Sans MS"/>
        </w:rPr>
        <w:tab/>
        <w:t xml:space="preserve">The Ara </w:t>
      </w:r>
      <w:proofErr w:type="spellStart"/>
      <w:r>
        <w:rPr>
          <w:rFonts w:ascii="Comic Sans MS" w:hAnsi="Comic Sans MS"/>
        </w:rPr>
        <w:t>Pacis</w:t>
      </w:r>
      <w:proofErr w:type="spellEnd"/>
      <w:r>
        <w:rPr>
          <w:rFonts w:ascii="Comic Sans MS" w:hAnsi="Comic Sans MS"/>
        </w:rPr>
        <w:t xml:space="preserve">, had many uses, some of these included political, religious and symbolic uses. The main political purpose of the monument, was to show and </w:t>
      </w:r>
      <w:r w:rsidR="00B3464D">
        <w:rPr>
          <w:rFonts w:ascii="Comic Sans MS" w:hAnsi="Comic Sans MS"/>
        </w:rPr>
        <w:t xml:space="preserve">reassure the people of </w:t>
      </w:r>
      <w:r w:rsidR="00445B02">
        <w:rPr>
          <w:rFonts w:ascii="Comic Sans MS" w:hAnsi="Comic Sans MS"/>
        </w:rPr>
        <w:t>Rome</w:t>
      </w:r>
      <w:r w:rsidR="00B3464D">
        <w:rPr>
          <w:rFonts w:ascii="Comic Sans MS" w:hAnsi="Comic Sans MS"/>
        </w:rPr>
        <w:t xml:space="preserve"> that the closing of the doors of </w:t>
      </w:r>
      <w:r w:rsidR="00445B02">
        <w:rPr>
          <w:rFonts w:ascii="Comic Sans MS" w:hAnsi="Comic Sans MS"/>
        </w:rPr>
        <w:t>Janus</w:t>
      </w:r>
      <w:r w:rsidR="00B3464D">
        <w:rPr>
          <w:rFonts w:ascii="Comic Sans MS" w:hAnsi="Comic Sans MS"/>
        </w:rPr>
        <w:t xml:space="preserve">’ temple </w:t>
      </w:r>
      <w:r w:rsidR="00825629">
        <w:rPr>
          <w:rFonts w:ascii="Comic Sans MS" w:hAnsi="Comic Sans MS"/>
        </w:rPr>
        <w:t xml:space="preserve">in 25 BCE </w:t>
      </w:r>
      <w:r w:rsidR="00B3464D">
        <w:rPr>
          <w:rFonts w:ascii="Comic Sans MS" w:hAnsi="Comic Sans MS"/>
        </w:rPr>
        <w:t xml:space="preserve">was permanent. This is symbolic in itself, as the closing of the doors of </w:t>
      </w:r>
      <w:r w:rsidR="00445B02">
        <w:rPr>
          <w:rFonts w:ascii="Comic Sans MS" w:hAnsi="Comic Sans MS"/>
        </w:rPr>
        <w:t>Janus</w:t>
      </w:r>
      <w:r w:rsidR="00B3464D">
        <w:rPr>
          <w:rFonts w:ascii="Comic Sans MS" w:hAnsi="Comic Sans MS"/>
        </w:rPr>
        <w:t xml:space="preserve">’ temple was representative of peace. </w:t>
      </w:r>
      <w:r w:rsidR="00547284">
        <w:rPr>
          <w:rFonts w:ascii="Comic Sans MS" w:hAnsi="Comic Sans MS"/>
        </w:rPr>
        <w:t>Augustus may have also felt that it was n</w:t>
      </w:r>
      <w:r w:rsidR="00A62F7D">
        <w:rPr>
          <w:rFonts w:ascii="Comic Sans MS" w:hAnsi="Comic Sans MS"/>
        </w:rPr>
        <w:t xml:space="preserve">ecessary to build the altar to </w:t>
      </w:r>
      <w:proofErr w:type="spellStart"/>
      <w:r w:rsidR="00A62F7D">
        <w:rPr>
          <w:rFonts w:ascii="Comic Sans MS" w:hAnsi="Comic Sans MS"/>
        </w:rPr>
        <w:t>P</w:t>
      </w:r>
      <w:r w:rsidR="00547284">
        <w:rPr>
          <w:rFonts w:ascii="Comic Sans MS" w:hAnsi="Comic Sans MS"/>
        </w:rPr>
        <w:t>ax</w:t>
      </w:r>
      <w:proofErr w:type="spellEnd"/>
      <w:r w:rsidR="00547284">
        <w:rPr>
          <w:rFonts w:ascii="Comic Sans MS" w:hAnsi="Comic Sans MS"/>
        </w:rPr>
        <w:t xml:space="preserve"> to further reassure the people of </w:t>
      </w:r>
      <w:r w:rsidR="00A62F7D">
        <w:rPr>
          <w:rFonts w:ascii="Comic Sans MS" w:hAnsi="Comic Sans MS"/>
        </w:rPr>
        <w:t>Rome</w:t>
      </w:r>
      <w:r w:rsidR="00547284">
        <w:rPr>
          <w:rFonts w:ascii="Comic Sans MS" w:hAnsi="Comic Sans MS"/>
        </w:rPr>
        <w:t xml:space="preserve"> that “the peace won through civil war was well worth the bloodshed and hardship”</w:t>
      </w:r>
      <w:r w:rsidR="00547284">
        <w:rPr>
          <w:rStyle w:val="FootnoteReference"/>
          <w:rFonts w:ascii="Comic Sans MS" w:hAnsi="Comic Sans MS"/>
        </w:rPr>
        <w:footnoteReference w:id="4"/>
      </w:r>
      <w:r w:rsidR="00113FE6">
        <w:rPr>
          <w:rFonts w:ascii="Comic Sans MS" w:hAnsi="Comic Sans MS"/>
        </w:rPr>
        <w:t xml:space="preserve">. </w:t>
      </w:r>
    </w:p>
    <w:p w:rsidR="00833473" w:rsidRDefault="00833473" w:rsidP="00F36465">
      <w:pPr>
        <w:jc w:val="both"/>
        <w:rPr>
          <w:rFonts w:ascii="Comic Sans MS" w:hAnsi="Comic Sans MS"/>
        </w:rPr>
      </w:pPr>
      <w:r>
        <w:rPr>
          <w:rFonts w:ascii="Comic Sans MS" w:hAnsi="Comic Sans MS"/>
        </w:rPr>
        <w:tab/>
        <w:t xml:space="preserve">In terms of religious uses, the Ara </w:t>
      </w:r>
      <w:proofErr w:type="spellStart"/>
      <w:r>
        <w:rPr>
          <w:rFonts w:ascii="Comic Sans MS" w:hAnsi="Comic Sans MS"/>
        </w:rPr>
        <w:t>Pacis</w:t>
      </w:r>
      <w:proofErr w:type="spellEnd"/>
      <w:r>
        <w:rPr>
          <w:rFonts w:ascii="Comic Sans MS" w:hAnsi="Comic Sans MS"/>
        </w:rPr>
        <w:t xml:space="preserve"> was used to make annual sacrifices by Priests, Magistrates and the Vestal Virgins. They would make these sacrifices to Augustus, and the Gods in the hopes that the peace would continue and to please the gods as the romans believed that the mood of the gods affected whether the luck and success of Rome was dependant on them. The gods are represented by images that are displayed on the walls and altar itself, as well as images of Augustus’ family. For example, the exterior wall that surrounds the alter is divided into two halves, “the lower with acanthus scrolls (or reliefs associated with nature) and the upper with reliefs depicting humans or divinities</w:t>
      </w:r>
      <w:r w:rsidR="006E637D">
        <w:rPr>
          <w:rFonts w:ascii="Comic Sans MS" w:hAnsi="Comic Sans MS"/>
        </w:rPr>
        <w:t>. The two areas are divided by a band with a meander – a design often associated with the Trojan and middle eastern cultures.”</w:t>
      </w:r>
      <w:r w:rsidR="006E637D">
        <w:rPr>
          <w:rStyle w:val="FootnoteReference"/>
          <w:rFonts w:ascii="Comic Sans MS" w:hAnsi="Comic Sans MS"/>
        </w:rPr>
        <w:footnoteReference w:id="5"/>
      </w:r>
    </w:p>
    <w:p w:rsidR="004721D3" w:rsidRDefault="005227C1" w:rsidP="00F36465">
      <w:pPr>
        <w:jc w:val="both"/>
        <w:rPr>
          <w:rFonts w:ascii="Comic Sans MS" w:hAnsi="Comic Sans MS"/>
        </w:rPr>
      </w:pPr>
      <w:r>
        <w:rPr>
          <w:rFonts w:ascii="Comic Sans MS" w:hAnsi="Comic Sans MS"/>
        </w:rPr>
        <w:tab/>
        <w:t xml:space="preserve">Each side of the altar’s surrounding wall depicts a different image and theme of which the following passages will briefly describe along with its importance to the roman culture. </w:t>
      </w:r>
      <w:r w:rsidR="004721D3">
        <w:rPr>
          <w:rFonts w:ascii="Comic Sans MS" w:hAnsi="Comic Sans MS"/>
        </w:rPr>
        <w:t xml:space="preserve">On the western side, there are reliefs depicting scenes of events from Rome’s history, some of which is debatable in contemporary society as to whether its true history or mythology. Such scenes include: the mythological founder of Rome, Aeneas, </w:t>
      </w:r>
      <w:r w:rsidR="00117ADF">
        <w:rPr>
          <w:rFonts w:ascii="Comic Sans MS" w:hAnsi="Comic Sans MS"/>
        </w:rPr>
        <w:t>“performing</w:t>
      </w:r>
      <w:r w:rsidR="004721D3" w:rsidRPr="004721D3">
        <w:rPr>
          <w:rFonts w:ascii="Comic Sans MS" w:hAnsi="Comic Sans MS"/>
        </w:rPr>
        <w:t xml:space="preserve"> a sacrifice on the right and the discovery of Romulus and Remus on the left, with the only </w:t>
      </w:r>
      <w:r w:rsidR="00117ADF" w:rsidRPr="004721D3">
        <w:rPr>
          <w:rFonts w:ascii="Comic Sans MS" w:hAnsi="Comic Sans MS"/>
        </w:rPr>
        <w:t>discernible</w:t>
      </w:r>
      <w:r w:rsidR="004721D3" w:rsidRPr="004721D3">
        <w:rPr>
          <w:rFonts w:ascii="Comic Sans MS" w:hAnsi="Comic Sans MS"/>
        </w:rPr>
        <w:t xml:space="preserve"> part of the latter being the head and part of the cuirass of Mars.</w:t>
      </w:r>
      <w:r w:rsidR="00F96BA1">
        <w:rPr>
          <w:rStyle w:val="FootnoteReference"/>
          <w:rFonts w:ascii="Comic Sans MS" w:hAnsi="Comic Sans MS"/>
        </w:rPr>
        <w:footnoteReference w:id="6"/>
      </w:r>
      <w:r w:rsidR="00F96BA1">
        <w:rPr>
          <w:rFonts w:ascii="Comic Sans MS" w:hAnsi="Comic Sans MS"/>
        </w:rPr>
        <w:t>”</w:t>
      </w:r>
    </w:p>
    <w:p w:rsidR="006D5B0F" w:rsidRDefault="00AE72B6" w:rsidP="00356C84">
      <w:pPr>
        <w:jc w:val="both"/>
        <w:rPr>
          <w:rFonts w:ascii="Comic Sans MS" w:hAnsi="Comic Sans MS"/>
        </w:rPr>
      </w:pPr>
      <w:r>
        <w:rPr>
          <w:rFonts w:ascii="Comic Sans MS" w:hAnsi="Comic Sans MS"/>
        </w:rPr>
        <w:tab/>
        <w:t xml:space="preserve">The eastern side depicts </w:t>
      </w:r>
      <w:r>
        <w:rPr>
          <w:rFonts w:ascii="Comic Sans MS" w:hAnsi="Comic Sans MS"/>
          <w:i/>
        </w:rPr>
        <w:t xml:space="preserve">The panel of </w:t>
      </w:r>
      <w:proofErr w:type="spellStart"/>
      <w:r>
        <w:rPr>
          <w:rFonts w:ascii="Comic Sans MS" w:hAnsi="Comic Sans MS"/>
          <w:i/>
        </w:rPr>
        <w:t>Tellus</w:t>
      </w:r>
      <w:proofErr w:type="spellEnd"/>
      <w:r>
        <w:rPr>
          <w:rFonts w:ascii="Comic Sans MS" w:hAnsi="Comic Sans MS"/>
        </w:rPr>
        <w:t xml:space="preserve">, or Mother Earth. </w:t>
      </w:r>
      <w:proofErr w:type="spellStart"/>
      <w:r w:rsidR="009534BD">
        <w:rPr>
          <w:rFonts w:ascii="Comic Sans MS" w:hAnsi="Comic Sans MS"/>
        </w:rPr>
        <w:t>Tellus</w:t>
      </w:r>
      <w:proofErr w:type="spellEnd"/>
      <w:r w:rsidR="009534BD">
        <w:rPr>
          <w:rFonts w:ascii="Comic Sans MS" w:hAnsi="Comic Sans MS"/>
        </w:rPr>
        <w:t xml:space="preserve"> is defined as the personification of peace. She’s depicted as being seated</w:t>
      </w:r>
      <w:r w:rsidR="00356C84">
        <w:rPr>
          <w:rFonts w:ascii="Comic Sans MS" w:hAnsi="Comic Sans MS"/>
        </w:rPr>
        <w:t xml:space="preserve">, nursing two infants whom </w:t>
      </w:r>
      <w:r w:rsidR="00356C84">
        <w:rPr>
          <w:rFonts w:ascii="Comic Sans MS" w:hAnsi="Comic Sans MS"/>
        </w:rPr>
        <w:lastRenderedPageBreak/>
        <w:t xml:space="preserve">are believed to have been Augustus’ nephews and heirs, Gaius and Lucius Caesar. </w:t>
      </w:r>
      <w:proofErr w:type="spellStart"/>
      <w:r w:rsidR="005627CF">
        <w:rPr>
          <w:rFonts w:ascii="Comic Sans MS" w:hAnsi="Comic Sans MS"/>
        </w:rPr>
        <w:t>Tellus</w:t>
      </w:r>
      <w:proofErr w:type="spellEnd"/>
      <w:r w:rsidR="005627CF">
        <w:rPr>
          <w:rFonts w:ascii="Comic Sans MS" w:hAnsi="Comic Sans MS"/>
        </w:rPr>
        <w:t xml:space="preserve"> is often debated over who she actually is as there are many different deities that she could be, all of which are either symbolic of peace or fertility </w:t>
      </w:r>
      <w:r w:rsidR="00336123">
        <w:rPr>
          <w:rFonts w:ascii="Comic Sans MS" w:hAnsi="Comic Sans MS"/>
        </w:rPr>
        <w:t>–</w:t>
      </w:r>
      <w:r w:rsidR="005627CF">
        <w:rPr>
          <w:rFonts w:ascii="Comic Sans MS" w:hAnsi="Comic Sans MS"/>
        </w:rPr>
        <w:t xml:space="preserve"> </w:t>
      </w:r>
      <w:r w:rsidR="00336123">
        <w:rPr>
          <w:rFonts w:ascii="Comic Sans MS" w:hAnsi="Comic Sans MS"/>
        </w:rPr>
        <w:t xml:space="preserve">“The theme of peace is most directly linked with the image of a woman, possibly representing </w:t>
      </w:r>
      <w:proofErr w:type="spellStart"/>
      <w:r w:rsidR="00336123">
        <w:rPr>
          <w:rFonts w:ascii="Comic Sans MS" w:hAnsi="Comic Sans MS"/>
        </w:rPr>
        <w:t>Pax</w:t>
      </w:r>
      <w:proofErr w:type="spellEnd"/>
      <w:r w:rsidR="00336123">
        <w:rPr>
          <w:rFonts w:ascii="Comic Sans MS" w:hAnsi="Comic Sans MS"/>
        </w:rPr>
        <w:t xml:space="preserve"> (Goddess of Peace), Venus </w:t>
      </w:r>
      <w:proofErr w:type="spellStart"/>
      <w:r w:rsidR="00336123">
        <w:rPr>
          <w:rFonts w:ascii="Comic Sans MS" w:hAnsi="Comic Sans MS"/>
        </w:rPr>
        <w:t>Genetrix</w:t>
      </w:r>
      <w:proofErr w:type="spellEnd"/>
      <w:r w:rsidR="00336123">
        <w:rPr>
          <w:rFonts w:ascii="Comic Sans MS" w:hAnsi="Comic Sans MS"/>
        </w:rPr>
        <w:t xml:space="preserve"> (Mother of the Julian family), </w:t>
      </w:r>
      <w:proofErr w:type="spellStart"/>
      <w:r w:rsidR="00336123">
        <w:rPr>
          <w:rFonts w:ascii="Comic Sans MS" w:hAnsi="Comic Sans MS"/>
        </w:rPr>
        <w:t>Tellus</w:t>
      </w:r>
      <w:proofErr w:type="spellEnd"/>
      <w:r w:rsidR="00336123">
        <w:rPr>
          <w:rFonts w:ascii="Comic Sans MS" w:hAnsi="Comic Sans MS"/>
        </w:rPr>
        <w:t xml:space="preserve"> (mother Earth), Terra </w:t>
      </w:r>
      <w:r w:rsidR="005627CF" w:rsidRPr="005627CF">
        <w:rPr>
          <w:rFonts w:ascii="Comic Sans MS" w:hAnsi="Comic Sans MS"/>
        </w:rPr>
        <w:t xml:space="preserve">(land), or a </w:t>
      </w:r>
      <w:r w:rsidR="002C13B4">
        <w:rPr>
          <w:rFonts w:ascii="Comic Sans MS" w:hAnsi="Comic Sans MS"/>
        </w:rPr>
        <w:t>general representation of Italy</w:t>
      </w:r>
      <w:r w:rsidR="005627CF" w:rsidRPr="005627CF">
        <w:rPr>
          <w:rFonts w:ascii="Comic Sans MS" w:hAnsi="Comic Sans MS"/>
        </w:rPr>
        <w:t>.  Most likely the figure is representative of all the aforementioned entities</w:t>
      </w:r>
      <w:r w:rsidR="005627CF">
        <w:rPr>
          <w:rFonts w:ascii="Comic Sans MS" w:hAnsi="Comic Sans MS"/>
        </w:rPr>
        <w:t>.</w:t>
      </w:r>
      <w:r w:rsidR="005627CF">
        <w:rPr>
          <w:rStyle w:val="FootnoteReference"/>
          <w:rFonts w:ascii="Comic Sans MS" w:hAnsi="Comic Sans MS"/>
        </w:rPr>
        <w:footnoteReference w:id="7"/>
      </w:r>
      <w:r w:rsidR="005627CF">
        <w:rPr>
          <w:rFonts w:ascii="Comic Sans MS" w:hAnsi="Comic Sans MS"/>
        </w:rPr>
        <w:t>”</w:t>
      </w:r>
      <w:r w:rsidR="005627CF" w:rsidRPr="005627CF">
        <w:rPr>
          <w:rFonts w:ascii="Comic Sans MS" w:hAnsi="Comic Sans MS"/>
        </w:rPr>
        <w:t xml:space="preserve"> </w:t>
      </w:r>
      <w:r w:rsidR="002C13B4">
        <w:rPr>
          <w:rFonts w:ascii="Comic Sans MS" w:hAnsi="Comic Sans MS"/>
        </w:rPr>
        <w:t xml:space="preserve">This being the case, the nursing figure is open to the audience’s own interpretation. </w:t>
      </w:r>
    </w:p>
    <w:p w:rsidR="00764767" w:rsidRDefault="00764767" w:rsidP="00356C84">
      <w:pPr>
        <w:jc w:val="both"/>
        <w:rPr>
          <w:rFonts w:ascii="Comic Sans MS" w:hAnsi="Comic Sans MS"/>
        </w:rPr>
      </w:pPr>
      <w:r>
        <w:rPr>
          <w:rFonts w:ascii="Comic Sans MS" w:hAnsi="Comic Sans MS"/>
        </w:rPr>
        <w:tab/>
        <w:t>The northern and southern sides depict processions of what is believed to the family of Augustus, and a mixture of the aforementioned Priests, cult attendants, magistrates, and historica</w:t>
      </w:r>
      <w:r w:rsidR="002D414F">
        <w:rPr>
          <w:rFonts w:ascii="Comic Sans MS" w:hAnsi="Comic Sans MS"/>
        </w:rPr>
        <w:t>l men and women. As with the</w:t>
      </w:r>
      <w:r>
        <w:rPr>
          <w:rFonts w:ascii="Comic Sans MS" w:hAnsi="Comic Sans MS"/>
        </w:rPr>
        <w:t xml:space="preserve"> image of </w:t>
      </w:r>
      <w:proofErr w:type="spellStart"/>
      <w:r>
        <w:rPr>
          <w:rFonts w:ascii="Comic Sans MS" w:hAnsi="Comic Sans MS"/>
        </w:rPr>
        <w:t>Tellus</w:t>
      </w:r>
      <w:proofErr w:type="spellEnd"/>
      <w:r>
        <w:rPr>
          <w:rFonts w:ascii="Comic Sans MS" w:hAnsi="Comic Sans MS"/>
        </w:rPr>
        <w:t xml:space="preserve">, there are debates to the reason behind the processions depicted, which again is open to the </w:t>
      </w:r>
      <w:r w:rsidR="002D414F">
        <w:rPr>
          <w:rFonts w:ascii="Comic Sans MS" w:hAnsi="Comic Sans MS"/>
        </w:rPr>
        <w:t>audience’s</w:t>
      </w:r>
      <w:r>
        <w:rPr>
          <w:rFonts w:ascii="Comic Sans MS" w:hAnsi="Comic Sans MS"/>
        </w:rPr>
        <w:t xml:space="preserve"> interpretation. One such depiction could be the ceremony held in honour of Augustus’ return to Rome from Gaul and Spain, however it could also be the “</w:t>
      </w:r>
      <w:proofErr w:type="spellStart"/>
      <w:r w:rsidRPr="00764767">
        <w:rPr>
          <w:rFonts w:ascii="Comic Sans MS" w:hAnsi="Comic Sans MS"/>
          <w:i/>
        </w:rPr>
        <w:t>inauguratio</w:t>
      </w:r>
      <w:proofErr w:type="spellEnd"/>
      <w:r>
        <w:rPr>
          <w:rFonts w:ascii="Comic Sans MS" w:hAnsi="Comic Sans MS"/>
        </w:rPr>
        <w:t xml:space="preserve"> of the </w:t>
      </w:r>
      <w:r w:rsidR="00586298">
        <w:rPr>
          <w:rFonts w:ascii="Comic Sans MS" w:hAnsi="Comic Sans MS"/>
        </w:rPr>
        <w:t xml:space="preserve">Ara </w:t>
      </w:r>
      <w:proofErr w:type="spellStart"/>
      <w:r w:rsidR="00586298">
        <w:rPr>
          <w:rFonts w:ascii="Comic Sans MS" w:hAnsi="Comic Sans MS"/>
        </w:rPr>
        <w:t>Pacis</w:t>
      </w:r>
      <w:proofErr w:type="spellEnd"/>
      <w:r w:rsidR="00586298">
        <w:rPr>
          <w:rFonts w:ascii="Comic Sans MS" w:hAnsi="Comic Sans MS"/>
        </w:rPr>
        <w:t xml:space="preserve"> itself, depicting part of the ceremony consecrating the space where it would be located.</w:t>
      </w:r>
      <w:r w:rsidR="00586298">
        <w:rPr>
          <w:rStyle w:val="FootnoteReference"/>
          <w:rFonts w:ascii="Comic Sans MS" w:hAnsi="Comic Sans MS"/>
        </w:rPr>
        <w:footnoteReference w:id="8"/>
      </w:r>
      <w:r w:rsidR="00586298">
        <w:rPr>
          <w:rFonts w:ascii="Comic Sans MS" w:hAnsi="Comic Sans MS"/>
        </w:rPr>
        <w:t>”</w:t>
      </w:r>
    </w:p>
    <w:p w:rsidR="00A62F7D" w:rsidRDefault="00A62F7D" w:rsidP="00356C84">
      <w:pPr>
        <w:jc w:val="both"/>
        <w:rPr>
          <w:rFonts w:ascii="Comic Sans MS" w:hAnsi="Comic Sans MS"/>
        </w:rPr>
      </w:pPr>
      <w:r>
        <w:rPr>
          <w:rFonts w:ascii="Comic Sans MS" w:hAnsi="Comic Sans MS"/>
        </w:rPr>
        <w:tab/>
        <w:t xml:space="preserve">The final </w:t>
      </w:r>
      <w:r w:rsidR="00BD2AF8">
        <w:rPr>
          <w:rFonts w:ascii="Comic Sans MS" w:hAnsi="Comic Sans MS"/>
        </w:rPr>
        <w:t>section</w:t>
      </w:r>
      <w:r>
        <w:rPr>
          <w:rFonts w:ascii="Comic Sans MS" w:hAnsi="Comic Sans MS"/>
        </w:rPr>
        <w:t xml:space="preserve"> of the altar to discuss is the inside of the wall surrounding the altar itself, since the Ara </w:t>
      </w:r>
      <w:proofErr w:type="spellStart"/>
      <w:r>
        <w:rPr>
          <w:rFonts w:ascii="Comic Sans MS" w:hAnsi="Comic Sans MS"/>
        </w:rPr>
        <w:t>Pacis</w:t>
      </w:r>
      <w:proofErr w:type="spellEnd"/>
      <w:r>
        <w:rPr>
          <w:rFonts w:ascii="Comic Sans MS" w:hAnsi="Comic Sans MS"/>
        </w:rPr>
        <w:t xml:space="preserve"> was built to be a functioning altar and as aforementioned was used by Priests, magistrates and the Vestal Virgins. The inside walls are decorated with a recurring and repeating relief of festoons and ox skulls. The images on the inside </w:t>
      </w:r>
      <w:r w:rsidR="00BA3C9C">
        <w:rPr>
          <w:rFonts w:ascii="Comic Sans MS" w:hAnsi="Comic Sans MS"/>
        </w:rPr>
        <w:t xml:space="preserve">walls show the theme of piety and in particular, Augustus’ piety due his role as chief priest. The ox skulls symbolise the sacrifices that would be made annually at the altar, while the acanthus garlands contain fruits from all seasons, which has the purpose of reminding the audience that the peace brought about by Augustus, and the cause of Janus’ temple doors closing, lasted year round. </w:t>
      </w:r>
    </w:p>
    <w:p w:rsidR="00BD2AF8" w:rsidRDefault="00BD2AF8" w:rsidP="00356C84">
      <w:pPr>
        <w:jc w:val="both"/>
        <w:rPr>
          <w:rFonts w:ascii="Comic Sans MS" w:hAnsi="Comic Sans MS"/>
        </w:rPr>
      </w:pPr>
      <w:r>
        <w:rPr>
          <w:rFonts w:ascii="Comic Sans MS" w:hAnsi="Comic Sans MS"/>
        </w:rPr>
        <w:tab/>
        <w:t xml:space="preserve">It’s also worth noting, that there are small notches that can be found on the western side of the outer walls to assist in the cleaning of the altar by allowing blood to flow out of the alter uninhibited by the surrounding walls. This also supports the idea that the Ara </w:t>
      </w:r>
      <w:proofErr w:type="spellStart"/>
      <w:r>
        <w:rPr>
          <w:rFonts w:ascii="Comic Sans MS" w:hAnsi="Comic Sans MS"/>
        </w:rPr>
        <w:t>Pacis</w:t>
      </w:r>
      <w:proofErr w:type="spellEnd"/>
      <w:r>
        <w:rPr>
          <w:rFonts w:ascii="Comic Sans MS" w:hAnsi="Comic Sans MS"/>
        </w:rPr>
        <w:t xml:space="preserve"> was designed to be a functioning altar and was actually used for such acts. This also works in conjunction with the north and south walls that depict processions of priests, magistrates etc. </w:t>
      </w:r>
    </w:p>
    <w:p w:rsidR="00EC3B34" w:rsidRPr="002C13B4" w:rsidRDefault="00BD2AF8" w:rsidP="00356C84">
      <w:pPr>
        <w:jc w:val="both"/>
        <w:rPr>
          <w:rFonts w:ascii="Comic Sans MS" w:hAnsi="Comic Sans MS"/>
        </w:rPr>
      </w:pPr>
      <w:r>
        <w:rPr>
          <w:rFonts w:ascii="Comic Sans MS" w:hAnsi="Comic Sans MS"/>
        </w:rPr>
        <w:tab/>
        <w:t xml:space="preserve">As can be seen from the above points, the Ara </w:t>
      </w:r>
      <w:proofErr w:type="spellStart"/>
      <w:r>
        <w:rPr>
          <w:rFonts w:ascii="Comic Sans MS" w:hAnsi="Comic Sans MS"/>
        </w:rPr>
        <w:t>Pacis</w:t>
      </w:r>
      <w:proofErr w:type="spellEnd"/>
      <w:r>
        <w:rPr>
          <w:rFonts w:ascii="Comic Sans MS" w:hAnsi="Comic Sans MS"/>
        </w:rPr>
        <w:t xml:space="preserve"> was built to </w:t>
      </w:r>
      <w:r w:rsidR="0029181A">
        <w:rPr>
          <w:rFonts w:ascii="Comic Sans MS" w:hAnsi="Comic Sans MS"/>
        </w:rPr>
        <w:t xml:space="preserve">be multi-purpose and has succeeded in that aspect. Both the artwork and the images depicted work together to not only show the use of the temple, the history of Rome, and the mythological and religious beliefs of the romans. </w:t>
      </w:r>
      <w:r w:rsidR="00EC3B34">
        <w:rPr>
          <w:rFonts w:ascii="Comic Sans MS" w:hAnsi="Comic Sans MS"/>
        </w:rPr>
        <w:tab/>
      </w:r>
    </w:p>
    <w:p w:rsidR="001042C1" w:rsidRDefault="001042C1" w:rsidP="001042C1">
      <w:pPr>
        <w:rPr>
          <w:rFonts w:ascii="Comic Sans MS" w:hAnsi="Comic Sans MS"/>
          <w:b/>
          <w:sz w:val="28"/>
          <w:szCs w:val="28"/>
          <w:u w:val="single"/>
        </w:rPr>
      </w:pPr>
    </w:p>
    <w:p w:rsidR="00EB169D" w:rsidRDefault="00F36465" w:rsidP="001042C1">
      <w:pPr>
        <w:jc w:val="center"/>
        <w:rPr>
          <w:rFonts w:ascii="Comic Sans MS" w:hAnsi="Comic Sans MS"/>
          <w:b/>
          <w:sz w:val="28"/>
          <w:szCs w:val="28"/>
          <w:u w:val="single"/>
        </w:rPr>
      </w:pPr>
      <w:r w:rsidRPr="00F36465">
        <w:rPr>
          <w:rFonts w:ascii="Comic Sans MS" w:hAnsi="Comic Sans MS"/>
          <w:b/>
          <w:sz w:val="28"/>
          <w:szCs w:val="28"/>
          <w:u w:val="single"/>
        </w:rPr>
        <w:t>Bibliography</w:t>
      </w:r>
    </w:p>
    <w:p w:rsidR="001042C1" w:rsidRPr="00F36465" w:rsidRDefault="001042C1" w:rsidP="001042C1">
      <w:pPr>
        <w:jc w:val="center"/>
        <w:rPr>
          <w:rFonts w:ascii="Comic Sans MS" w:hAnsi="Comic Sans MS"/>
          <w:b/>
          <w:sz w:val="28"/>
          <w:szCs w:val="28"/>
          <w:u w:val="single"/>
        </w:rPr>
      </w:pPr>
      <w:bookmarkStart w:id="0" w:name="_GoBack"/>
      <w:bookmarkEnd w:id="0"/>
    </w:p>
    <w:p w:rsidR="00EB169D" w:rsidRDefault="00EB169D" w:rsidP="00F36465">
      <w:pPr>
        <w:rPr>
          <w:rFonts w:ascii="Comic Sans MS" w:hAnsi="Comic Sans MS"/>
        </w:rPr>
      </w:pPr>
      <w:r>
        <w:rPr>
          <w:rFonts w:ascii="Comic Sans MS" w:hAnsi="Comic Sans MS"/>
        </w:rPr>
        <w:t xml:space="preserve">Cartwright, M. </w:t>
      </w:r>
      <w:r>
        <w:rPr>
          <w:rFonts w:ascii="Comic Sans MS" w:hAnsi="Comic Sans MS"/>
          <w:i/>
        </w:rPr>
        <w:t xml:space="preserve">“Ara </w:t>
      </w:r>
      <w:proofErr w:type="spellStart"/>
      <w:r>
        <w:rPr>
          <w:rFonts w:ascii="Comic Sans MS" w:hAnsi="Comic Sans MS"/>
          <w:i/>
        </w:rPr>
        <w:t>Pacis</w:t>
      </w:r>
      <w:proofErr w:type="spellEnd"/>
      <w:r>
        <w:rPr>
          <w:rFonts w:ascii="Comic Sans MS" w:hAnsi="Comic Sans MS"/>
          <w:i/>
        </w:rPr>
        <w:t xml:space="preserve"> </w:t>
      </w:r>
      <w:proofErr w:type="spellStart"/>
      <w:r>
        <w:rPr>
          <w:rFonts w:ascii="Comic Sans MS" w:hAnsi="Comic Sans MS"/>
          <w:i/>
        </w:rPr>
        <w:t>Augistae</w:t>
      </w:r>
      <w:proofErr w:type="spellEnd"/>
      <w:r>
        <w:rPr>
          <w:rFonts w:ascii="Comic Sans MS" w:hAnsi="Comic Sans MS"/>
          <w:i/>
        </w:rPr>
        <w:t>”</w:t>
      </w:r>
      <w:r>
        <w:rPr>
          <w:rFonts w:ascii="Comic Sans MS" w:hAnsi="Comic Sans MS"/>
        </w:rPr>
        <w:t xml:space="preserve">. 2013. Ancient History Encyclopaedia. </w:t>
      </w:r>
      <w:hyperlink r:id="rId7" w:history="1">
        <w:r w:rsidRPr="00836D97">
          <w:rPr>
            <w:rStyle w:val="Hyperlink"/>
            <w:rFonts w:ascii="Comic Sans MS" w:hAnsi="Comic Sans MS"/>
          </w:rPr>
          <w:t>https://www.ancient.eu/article/618/ara-pacis-augustae/</w:t>
        </w:r>
      </w:hyperlink>
      <w:r>
        <w:rPr>
          <w:rFonts w:ascii="Comic Sans MS" w:hAnsi="Comic Sans MS"/>
        </w:rPr>
        <w:t xml:space="preserve"> [Accessed: 2</w:t>
      </w:r>
      <w:r w:rsidRPr="00EB169D">
        <w:rPr>
          <w:rFonts w:ascii="Comic Sans MS" w:hAnsi="Comic Sans MS"/>
          <w:vertAlign w:val="superscript"/>
        </w:rPr>
        <w:t>nd</w:t>
      </w:r>
      <w:r>
        <w:rPr>
          <w:rFonts w:ascii="Comic Sans MS" w:hAnsi="Comic Sans MS"/>
        </w:rPr>
        <w:t xml:space="preserve"> December 2017]</w:t>
      </w:r>
    </w:p>
    <w:p w:rsidR="005627CF" w:rsidRPr="005627CF" w:rsidRDefault="005627CF" w:rsidP="005627CF">
      <w:pPr>
        <w:rPr>
          <w:rFonts w:ascii="Comic Sans MS" w:hAnsi="Comic Sans MS"/>
        </w:rPr>
      </w:pPr>
      <w:r w:rsidRPr="005627CF">
        <w:rPr>
          <w:rFonts w:ascii="Comic Sans MS" w:hAnsi="Comic Sans MS"/>
        </w:rPr>
        <w:t xml:space="preserve">Cooley, </w:t>
      </w:r>
      <w:proofErr w:type="spellStart"/>
      <w:r w:rsidRPr="005627CF">
        <w:rPr>
          <w:rFonts w:ascii="Comic Sans MS" w:hAnsi="Comic Sans MS"/>
        </w:rPr>
        <w:t>M.g.l</w:t>
      </w:r>
      <w:proofErr w:type="spellEnd"/>
      <w:r w:rsidRPr="005627CF">
        <w:rPr>
          <w:rFonts w:ascii="Comic Sans MS" w:hAnsi="Comic Sans MS"/>
        </w:rPr>
        <w:t xml:space="preserve">., ed. The Age of Augustus. Trans. </w:t>
      </w:r>
      <w:proofErr w:type="spellStart"/>
      <w:r w:rsidRPr="005627CF">
        <w:rPr>
          <w:rFonts w:ascii="Comic Sans MS" w:hAnsi="Comic Sans MS"/>
        </w:rPr>
        <w:t>B.w.j.g</w:t>
      </w:r>
      <w:proofErr w:type="spellEnd"/>
      <w:r w:rsidRPr="005627CF">
        <w:rPr>
          <w:rFonts w:ascii="Comic Sans MS" w:hAnsi="Comic Sans MS"/>
        </w:rPr>
        <w:t>. Wilson. Vol. 17. LACTOR, 2003. 30.</w:t>
      </w:r>
    </w:p>
    <w:p w:rsidR="00F36465" w:rsidRDefault="00F36465" w:rsidP="00F36465">
      <w:pPr>
        <w:rPr>
          <w:rFonts w:ascii="Comic Sans MS" w:hAnsi="Comic Sans MS"/>
        </w:rPr>
      </w:pPr>
      <w:r>
        <w:rPr>
          <w:rFonts w:ascii="Comic Sans MS" w:hAnsi="Comic Sans MS"/>
        </w:rPr>
        <w:t xml:space="preserve">Ara </w:t>
      </w:r>
      <w:proofErr w:type="spellStart"/>
      <w:r>
        <w:rPr>
          <w:rFonts w:ascii="Comic Sans MS" w:hAnsi="Comic Sans MS"/>
        </w:rPr>
        <w:t>Pacis</w:t>
      </w:r>
      <w:proofErr w:type="spellEnd"/>
      <w:r>
        <w:rPr>
          <w:rFonts w:ascii="Comic Sans MS" w:hAnsi="Comic Sans MS"/>
        </w:rPr>
        <w:t xml:space="preserve"> Augustusae </w:t>
      </w:r>
      <w:r w:rsidRPr="00F36465">
        <w:rPr>
          <w:rFonts w:ascii="Comic Sans MS" w:hAnsi="Comic Sans MS"/>
          <w:i/>
        </w:rPr>
        <w:t>“The Altar of Augustan Peace”</w:t>
      </w:r>
      <w:r>
        <w:rPr>
          <w:rFonts w:ascii="Comic Sans MS" w:hAnsi="Comic Sans MS"/>
        </w:rPr>
        <w:t xml:space="preserve"> 2005. </w:t>
      </w:r>
      <w:hyperlink r:id="rId8" w:history="1">
        <w:r w:rsidRPr="00836D97">
          <w:rPr>
            <w:rStyle w:val="Hyperlink"/>
            <w:rFonts w:ascii="Comic Sans MS" w:hAnsi="Comic Sans MS"/>
          </w:rPr>
          <w:t>http://web.mit.edu/course/21/21h.402/www/arapacis/main.html</w:t>
        </w:r>
      </w:hyperlink>
      <w:r>
        <w:rPr>
          <w:rFonts w:ascii="Comic Sans MS" w:hAnsi="Comic Sans MS"/>
        </w:rPr>
        <w:t xml:space="preserve"> [Accessed: 1</w:t>
      </w:r>
      <w:r w:rsidRPr="00F36465">
        <w:rPr>
          <w:rFonts w:ascii="Comic Sans MS" w:hAnsi="Comic Sans MS"/>
          <w:vertAlign w:val="superscript"/>
        </w:rPr>
        <w:t>st</w:t>
      </w:r>
      <w:r>
        <w:rPr>
          <w:rFonts w:ascii="Comic Sans MS" w:hAnsi="Comic Sans MS"/>
        </w:rPr>
        <w:t xml:space="preserve"> December 2017]</w:t>
      </w:r>
    </w:p>
    <w:p w:rsidR="00714251" w:rsidRPr="00F36465" w:rsidRDefault="00EC3B34" w:rsidP="00F36465">
      <w:pPr>
        <w:rPr>
          <w:rFonts w:ascii="Comic Sans MS" w:hAnsi="Comic Sans MS"/>
        </w:rPr>
      </w:pPr>
      <w:r w:rsidRPr="00EC3B34">
        <w:rPr>
          <w:rFonts w:ascii="Comic Sans MS" w:hAnsi="Comic Sans MS"/>
        </w:rPr>
        <w:t>Sullivan</w:t>
      </w:r>
      <w:r w:rsidR="007142F7">
        <w:rPr>
          <w:rFonts w:ascii="Comic Sans MS" w:hAnsi="Comic Sans MS"/>
        </w:rPr>
        <w:t>,</w:t>
      </w:r>
      <w:r w:rsidR="007142F7" w:rsidRPr="007142F7">
        <w:t xml:space="preserve"> </w:t>
      </w:r>
      <w:r w:rsidR="007142F7" w:rsidRPr="007142F7">
        <w:rPr>
          <w:rFonts w:ascii="Comic Sans MS" w:hAnsi="Comic Sans MS"/>
        </w:rPr>
        <w:t>M</w:t>
      </w:r>
      <w:r w:rsidR="007142F7">
        <w:rPr>
          <w:rFonts w:ascii="Comic Sans MS" w:hAnsi="Comic Sans MS"/>
        </w:rPr>
        <w:t>,</w:t>
      </w:r>
      <w:r w:rsidR="007142F7" w:rsidRPr="007142F7">
        <w:rPr>
          <w:rFonts w:ascii="Comic Sans MS" w:hAnsi="Comic Sans MS"/>
        </w:rPr>
        <w:t xml:space="preserve"> A</w:t>
      </w:r>
      <w:r w:rsidR="007142F7">
        <w:rPr>
          <w:rFonts w:ascii="Comic Sans MS" w:hAnsi="Comic Sans MS"/>
        </w:rPr>
        <w:t xml:space="preserve">. </w:t>
      </w:r>
      <w:r w:rsidR="00714251">
        <w:rPr>
          <w:rFonts w:ascii="Comic Sans MS" w:hAnsi="Comic Sans MS"/>
        </w:rPr>
        <w:t xml:space="preserve">Rome, Italy. </w:t>
      </w:r>
      <w:r w:rsidR="00714251">
        <w:rPr>
          <w:rFonts w:ascii="Comic Sans MS" w:hAnsi="Comic Sans MS"/>
          <w:i/>
        </w:rPr>
        <w:t xml:space="preserve">“The Ara </w:t>
      </w:r>
      <w:proofErr w:type="spellStart"/>
      <w:r w:rsidR="00714251">
        <w:rPr>
          <w:rFonts w:ascii="Comic Sans MS" w:hAnsi="Comic Sans MS"/>
          <w:i/>
        </w:rPr>
        <w:t>Pacis</w:t>
      </w:r>
      <w:proofErr w:type="spellEnd"/>
      <w:r w:rsidR="00714251">
        <w:rPr>
          <w:rFonts w:ascii="Comic Sans MS" w:hAnsi="Comic Sans MS"/>
          <w:i/>
        </w:rPr>
        <w:t xml:space="preserve"> </w:t>
      </w:r>
      <w:proofErr w:type="spellStart"/>
      <w:r w:rsidR="00714251">
        <w:rPr>
          <w:rFonts w:ascii="Comic Sans MS" w:hAnsi="Comic Sans MS"/>
          <w:i/>
        </w:rPr>
        <w:t>Augustae</w:t>
      </w:r>
      <w:proofErr w:type="spellEnd"/>
      <w:r w:rsidR="00714251">
        <w:rPr>
          <w:rFonts w:ascii="Comic Sans MS" w:hAnsi="Comic Sans MS"/>
          <w:i/>
        </w:rPr>
        <w:t>”</w:t>
      </w:r>
      <w:r w:rsidR="00714251">
        <w:rPr>
          <w:rFonts w:ascii="Comic Sans MS" w:hAnsi="Comic Sans MS"/>
        </w:rPr>
        <w:t xml:space="preserve">. 2006. </w:t>
      </w:r>
      <w:hyperlink r:id="rId9" w:history="1">
        <w:r w:rsidR="00714251" w:rsidRPr="00296CAD">
          <w:rPr>
            <w:rStyle w:val="Hyperlink"/>
            <w:rFonts w:ascii="Comic Sans MS" w:hAnsi="Comic Sans MS"/>
          </w:rPr>
          <w:t>https://www.bluffton.edu/homepages/facstaff/sullivanm/italy/rome/arapacis/arapacis.html</w:t>
        </w:r>
      </w:hyperlink>
      <w:r w:rsidR="00714251">
        <w:rPr>
          <w:rFonts w:ascii="Comic Sans MS" w:hAnsi="Comic Sans MS"/>
        </w:rPr>
        <w:t xml:space="preserve"> [Accessed: 2</w:t>
      </w:r>
      <w:r w:rsidR="00714251" w:rsidRPr="00714251">
        <w:rPr>
          <w:rFonts w:ascii="Comic Sans MS" w:hAnsi="Comic Sans MS"/>
          <w:vertAlign w:val="superscript"/>
        </w:rPr>
        <w:t>nd</w:t>
      </w:r>
      <w:r w:rsidR="00714251">
        <w:rPr>
          <w:rFonts w:ascii="Comic Sans MS" w:hAnsi="Comic Sans MS"/>
        </w:rPr>
        <w:t xml:space="preserve"> December 2017] </w:t>
      </w:r>
    </w:p>
    <w:sectPr w:rsidR="00714251" w:rsidRPr="00F364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64F" w:rsidRDefault="0095064F" w:rsidP="00F36465">
      <w:pPr>
        <w:spacing w:after="0" w:line="240" w:lineRule="auto"/>
      </w:pPr>
      <w:r>
        <w:separator/>
      </w:r>
    </w:p>
  </w:endnote>
  <w:endnote w:type="continuationSeparator" w:id="0">
    <w:p w:rsidR="0095064F" w:rsidRDefault="0095064F" w:rsidP="00F36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64F" w:rsidRDefault="0095064F" w:rsidP="00F36465">
      <w:pPr>
        <w:spacing w:after="0" w:line="240" w:lineRule="auto"/>
      </w:pPr>
      <w:r>
        <w:separator/>
      </w:r>
    </w:p>
  </w:footnote>
  <w:footnote w:type="continuationSeparator" w:id="0">
    <w:p w:rsidR="0095064F" w:rsidRDefault="0095064F" w:rsidP="00F36465">
      <w:pPr>
        <w:spacing w:after="0" w:line="240" w:lineRule="auto"/>
      </w:pPr>
      <w:r>
        <w:continuationSeparator/>
      </w:r>
    </w:p>
  </w:footnote>
  <w:footnote w:id="1">
    <w:p w:rsidR="00F36465" w:rsidRPr="0022715A" w:rsidRDefault="00F36465" w:rsidP="0022715A">
      <w:pPr>
        <w:pStyle w:val="FootnoteText"/>
      </w:pPr>
      <w:r>
        <w:rPr>
          <w:rStyle w:val="FootnoteReference"/>
        </w:rPr>
        <w:footnoteRef/>
      </w:r>
      <w:r>
        <w:t xml:space="preserve"> </w:t>
      </w:r>
      <w:r w:rsidR="0022715A" w:rsidRPr="0022715A">
        <w:t xml:space="preserve">Ara </w:t>
      </w:r>
      <w:proofErr w:type="spellStart"/>
      <w:r w:rsidR="0022715A" w:rsidRPr="0022715A">
        <w:t>Pacis</w:t>
      </w:r>
      <w:proofErr w:type="spellEnd"/>
      <w:r w:rsidR="0022715A" w:rsidRPr="0022715A">
        <w:t xml:space="preserve"> Augustusae</w:t>
      </w:r>
      <w:r w:rsidR="0022715A">
        <w:t>, 2005.</w:t>
      </w:r>
    </w:p>
  </w:footnote>
  <w:footnote w:id="2">
    <w:p w:rsidR="00FB4A89" w:rsidRDefault="00FB4A89">
      <w:pPr>
        <w:pStyle w:val="FootnoteText"/>
      </w:pPr>
      <w:r>
        <w:rPr>
          <w:rStyle w:val="FootnoteReference"/>
        </w:rPr>
        <w:footnoteRef/>
      </w:r>
      <w:r>
        <w:t xml:space="preserve"> Cartwright, 2013.</w:t>
      </w:r>
    </w:p>
  </w:footnote>
  <w:footnote w:id="3">
    <w:p w:rsidR="00FB4A89" w:rsidRDefault="00FB4A89">
      <w:pPr>
        <w:pStyle w:val="FootnoteText"/>
      </w:pPr>
      <w:r>
        <w:rPr>
          <w:rStyle w:val="FootnoteReference"/>
        </w:rPr>
        <w:footnoteRef/>
      </w:r>
      <w:r>
        <w:t xml:space="preserve"> Cartwright, 2013.</w:t>
      </w:r>
    </w:p>
  </w:footnote>
  <w:footnote w:id="4">
    <w:p w:rsidR="00547284" w:rsidRDefault="00547284">
      <w:pPr>
        <w:pStyle w:val="FootnoteText"/>
      </w:pPr>
      <w:r>
        <w:rPr>
          <w:rStyle w:val="FootnoteReference"/>
        </w:rPr>
        <w:footnoteRef/>
      </w:r>
      <w:r>
        <w:t xml:space="preserve"> Ara </w:t>
      </w:r>
      <w:proofErr w:type="spellStart"/>
      <w:r>
        <w:t>Pacis</w:t>
      </w:r>
      <w:proofErr w:type="spellEnd"/>
      <w:r>
        <w:t xml:space="preserve"> Augustusae, 2005. </w:t>
      </w:r>
    </w:p>
  </w:footnote>
  <w:footnote w:id="5">
    <w:p w:rsidR="006E637D" w:rsidRDefault="006E637D">
      <w:pPr>
        <w:pStyle w:val="FootnoteText"/>
      </w:pPr>
      <w:r>
        <w:rPr>
          <w:rStyle w:val="FootnoteReference"/>
        </w:rPr>
        <w:footnoteRef/>
      </w:r>
      <w:r w:rsidR="007142F7">
        <w:t xml:space="preserve"> </w:t>
      </w:r>
      <w:r w:rsidR="007142F7" w:rsidRPr="007142F7">
        <w:t xml:space="preserve">Sullivan, </w:t>
      </w:r>
      <w:r>
        <w:t>2006</w:t>
      </w:r>
      <w:r w:rsidR="00F96BA1">
        <w:t>.</w:t>
      </w:r>
    </w:p>
  </w:footnote>
  <w:footnote w:id="6">
    <w:p w:rsidR="00F96BA1" w:rsidRDefault="00F96BA1">
      <w:pPr>
        <w:pStyle w:val="FootnoteText"/>
      </w:pPr>
      <w:r>
        <w:rPr>
          <w:rStyle w:val="FootnoteReference"/>
        </w:rPr>
        <w:footnoteRef/>
      </w:r>
      <w:r>
        <w:t xml:space="preserve"> </w:t>
      </w:r>
      <w:r w:rsidR="007142F7">
        <w:t xml:space="preserve">Sullivan, </w:t>
      </w:r>
      <w:r>
        <w:t>2006.</w:t>
      </w:r>
    </w:p>
  </w:footnote>
  <w:footnote w:id="7">
    <w:p w:rsidR="005627CF" w:rsidRDefault="005627CF">
      <w:pPr>
        <w:pStyle w:val="FootnoteText"/>
      </w:pPr>
      <w:r>
        <w:rPr>
          <w:rStyle w:val="FootnoteReference"/>
        </w:rPr>
        <w:footnoteRef/>
      </w:r>
      <w:r>
        <w:t xml:space="preserve"> Cooley, 2003.</w:t>
      </w:r>
    </w:p>
  </w:footnote>
  <w:footnote w:id="8">
    <w:p w:rsidR="00586298" w:rsidRDefault="00586298">
      <w:pPr>
        <w:pStyle w:val="FootnoteText"/>
      </w:pPr>
      <w:r>
        <w:rPr>
          <w:rStyle w:val="FootnoteReference"/>
        </w:rPr>
        <w:footnoteRef/>
      </w:r>
      <w:r>
        <w:t xml:space="preserve"> </w:t>
      </w:r>
      <w:r w:rsidRPr="00586298">
        <w:t>Sullivan, 2006.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465"/>
    <w:rsid w:val="001042C1"/>
    <w:rsid w:val="00113FE6"/>
    <w:rsid w:val="00117ADF"/>
    <w:rsid w:val="0022715A"/>
    <w:rsid w:val="00235B30"/>
    <w:rsid w:val="0029181A"/>
    <w:rsid w:val="002C13B4"/>
    <w:rsid w:val="002D414F"/>
    <w:rsid w:val="00336123"/>
    <w:rsid w:val="00356C84"/>
    <w:rsid w:val="003A6014"/>
    <w:rsid w:val="004353E2"/>
    <w:rsid w:val="00445B02"/>
    <w:rsid w:val="004721D3"/>
    <w:rsid w:val="005227C1"/>
    <w:rsid w:val="00547284"/>
    <w:rsid w:val="005627CF"/>
    <w:rsid w:val="00586298"/>
    <w:rsid w:val="006D5B0F"/>
    <w:rsid w:val="006E637D"/>
    <w:rsid w:val="00707530"/>
    <w:rsid w:val="00714251"/>
    <w:rsid w:val="007142F7"/>
    <w:rsid w:val="007146C5"/>
    <w:rsid w:val="00764767"/>
    <w:rsid w:val="00825629"/>
    <w:rsid w:val="00833473"/>
    <w:rsid w:val="0095064F"/>
    <w:rsid w:val="009513AD"/>
    <w:rsid w:val="009534BD"/>
    <w:rsid w:val="00970A58"/>
    <w:rsid w:val="0099164E"/>
    <w:rsid w:val="00A62F7D"/>
    <w:rsid w:val="00AA334A"/>
    <w:rsid w:val="00AE72B6"/>
    <w:rsid w:val="00B3464D"/>
    <w:rsid w:val="00BA3C9C"/>
    <w:rsid w:val="00BD2AF8"/>
    <w:rsid w:val="00EB169D"/>
    <w:rsid w:val="00EC3B34"/>
    <w:rsid w:val="00F36465"/>
    <w:rsid w:val="00F912D9"/>
    <w:rsid w:val="00F96BA1"/>
    <w:rsid w:val="00FB4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7DFA7"/>
  <w15:chartTrackingRefBased/>
  <w15:docId w15:val="{26F4BAB9-E003-477B-A414-ED0F0CC95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364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6465"/>
    <w:rPr>
      <w:sz w:val="20"/>
      <w:szCs w:val="20"/>
    </w:rPr>
  </w:style>
  <w:style w:type="character" w:styleId="FootnoteReference">
    <w:name w:val="footnote reference"/>
    <w:basedOn w:val="DefaultParagraphFont"/>
    <w:uiPriority w:val="99"/>
    <w:semiHidden/>
    <w:unhideWhenUsed/>
    <w:rsid w:val="00F36465"/>
    <w:rPr>
      <w:vertAlign w:val="superscript"/>
    </w:rPr>
  </w:style>
  <w:style w:type="character" w:styleId="Hyperlink">
    <w:name w:val="Hyperlink"/>
    <w:basedOn w:val="DefaultParagraphFont"/>
    <w:uiPriority w:val="99"/>
    <w:unhideWhenUsed/>
    <w:rsid w:val="00F364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mit.edu/course/21/21h.402/www/arapacis/main.html" TargetMode="External"/><Relationship Id="rId3" Type="http://schemas.openxmlformats.org/officeDocument/2006/relationships/settings" Target="settings.xml"/><Relationship Id="rId7" Type="http://schemas.openxmlformats.org/officeDocument/2006/relationships/hyperlink" Target="https://www.ancient.eu/article/618/ara-pacis-augusta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luffton.edu/homepages/facstaff/sullivanm/italy/rome/arapacis/arapac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3B89A-4F79-4D14-9FA6-B7AACDE64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Pages>
  <Words>904</Words>
  <Characters>5156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 Kalthober</dc:creator>
  <cp:keywords/>
  <dc:description/>
  <cp:lastModifiedBy>Anja Kalthober</cp:lastModifiedBy>
  <cp:revision>7</cp:revision>
  <dcterms:created xsi:type="dcterms:W3CDTF">2017-12-03T17:07:00Z</dcterms:created>
  <dcterms:modified xsi:type="dcterms:W3CDTF">2017-12-05T16:10:00Z</dcterms:modified>
</cp:coreProperties>
</file>