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4FCAFC" w14:textId="6D0F2DC8" w:rsidR="00DF7CC9" w:rsidRDefault="00DF7CC9">
      <w:pPr>
        <w:rPr>
          <w:rFonts w:ascii="Arial" w:hAnsi="Arial" w:cs="Arial"/>
          <w:sz w:val="22"/>
          <w:szCs w:val="22"/>
        </w:rPr>
      </w:pPr>
      <w:r>
        <w:rPr>
          <w:rFonts w:ascii="Arial" w:hAnsi="Arial" w:cs="Arial"/>
          <w:sz w:val="22"/>
          <w:szCs w:val="22"/>
        </w:rPr>
        <w:t xml:space="preserve">Name, Nageen Khan </w:t>
      </w:r>
    </w:p>
    <w:p w14:paraId="415BA680" w14:textId="1A7B86BD" w:rsidR="00DF7CC9" w:rsidRDefault="00DF7CC9">
      <w:pPr>
        <w:rPr>
          <w:rFonts w:ascii="Arial" w:hAnsi="Arial" w:cs="Arial"/>
          <w:sz w:val="22"/>
          <w:szCs w:val="22"/>
        </w:rPr>
      </w:pPr>
      <w:r>
        <w:rPr>
          <w:rFonts w:ascii="Arial" w:hAnsi="Arial" w:cs="Arial"/>
          <w:sz w:val="22"/>
          <w:szCs w:val="22"/>
        </w:rPr>
        <w:t>Student Number, 2424667</w:t>
      </w:r>
    </w:p>
    <w:p w14:paraId="7326C60F" w14:textId="2AA51628" w:rsidR="00753216" w:rsidRDefault="00213311">
      <w:pPr>
        <w:rPr>
          <w:rFonts w:ascii="Arial" w:hAnsi="Arial" w:cs="Arial"/>
          <w:sz w:val="22"/>
          <w:szCs w:val="22"/>
        </w:rPr>
      </w:pPr>
      <w:r>
        <w:rPr>
          <w:rFonts w:ascii="Arial" w:hAnsi="Arial" w:cs="Arial"/>
          <w:sz w:val="22"/>
          <w:szCs w:val="22"/>
        </w:rPr>
        <w:t>Programme, BSc Health and Social Care.</w:t>
      </w:r>
    </w:p>
    <w:p w14:paraId="61B8C789" w14:textId="64016298" w:rsidR="00213311" w:rsidRDefault="00213311">
      <w:pPr>
        <w:rPr>
          <w:rFonts w:ascii="Arial" w:hAnsi="Arial" w:cs="Arial"/>
          <w:sz w:val="22"/>
          <w:szCs w:val="22"/>
        </w:rPr>
      </w:pPr>
      <w:r>
        <w:rPr>
          <w:rFonts w:ascii="Arial" w:hAnsi="Arial" w:cs="Arial"/>
          <w:sz w:val="22"/>
          <w:szCs w:val="22"/>
        </w:rPr>
        <w:t xml:space="preserve">Module, Changemakers; Creativity and Value Creation. </w:t>
      </w:r>
    </w:p>
    <w:p w14:paraId="69BC8B91" w14:textId="2DEE8DC9" w:rsidR="00213311" w:rsidRDefault="00213311">
      <w:pPr>
        <w:rPr>
          <w:rFonts w:ascii="Arial" w:hAnsi="Arial" w:cs="Arial"/>
          <w:sz w:val="22"/>
          <w:szCs w:val="22"/>
        </w:rPr>
      </w:pPr>
      <w:r>
        <w:rPr>
          <w:rFonts w:ascii="Arial" w:hAnsi="Arial" w:cs="Arial"/>
          <w:sz w:val="22"/>
          <w:szCs w:val="22"/>
        </w:rPr>
        <w:t xml:space="preserve">Module; code, BMHP5014. </w:t>
      </w:r>
    </w:p>
    <w:p w14:paraId="3C4A533B" w14:textId="11BB6029" w:rsidR="00213311" w:rsidRDefault="00213311">
      <w:pPr>
        <w:rPr>
          <w:rFonts w:ascii="Arial" w:hAnsi="Arial" w:cs="Arial"/>
          <w:sz w:val="22"/>
          <w:szCs w:val="22"/>
        </w:rPr>
      </w:pPr>
      <w:r>
        <w:rPr>
          <w:rFonts w:ascii="Arial" w:hAnsi="Arial" w:cs="Arial"/>
          <w:sz w:val="22"/>
          <w:szCs w:val="22"/>
        </w:rPr>
        <w:t xml:space="preserve">Lecturer, Tomy </w:t>
      </w:r>
      <w:proofErr w:type="spellStart"/>
      <w:r>
        <w:rPr>
          <w:rFonts w:ascii="Arial" w:hAnsi="Arial" w:cs="Arial"/>
          <w:sz w:val="22"/>
          <w:szCs w:val="22"/>
        </w:rPr>
        <w:t>Adattu</w:t>
      </w:r>
      <w:proofErr w:type="spellEnd"/>
      <w:r>
        <w:rPr>
          <w:rFonts w:ascii="Arial" w:hAnsi="Arial" w:cs="Arial"/>
          <w:sz w:val="22"/>
          <w:szCs w:val="22"/>
        </w:rPr>
        <w:t xml:space="preserve"> Chacko. </w:t>
      </w:r>
    </w:p>
    <w:p w14:paraId="220FC302" w14:textId="6CAF0D3A" w:rsidR="00213311" w:rsidRDefault="00213311">
      <w:pPr>
        <w:rPr>
          <w:rFonts w:ascii="Arial" w:hAnsi="Arial" w:cs="Arial"/>
          <w:sz w:val="22"/>
          <w:szCs w:val="22"/>
        </w:rPr>
      </w:pPr>
      <w:r>
        <w:rPr>
          <w:rFonts w:ascii="Arial" w:hAnsi="Arial" w:cs="Arial"/>
          <w:sz w:val="22"/>
          <w:szCs w:val="22"/>
        </w:rPr>
        <w:t xml:space="preserve">Internal Verifier, Dr Eleni Koutsogeorgou-Andreou. </w:t>
      </w:r>
    </w:p>
    <w:p w14:paraId="6B497F37" w14:textId="1AC055E3" w:rsidR="00213311" w:rsidRDefault="00213311">
      <w:pPr>
        <w:rPr>
          <w:rFonts w:ascii="Arial" w:hAnsi="Arial" w:cs="Arial"/>
          <w:sz w:val="22"/>
          <w:szCs w:val="22"/>
        </w:rPr>
      </w:pPr>
      <w:r>
        <w:rPr>
          <w:rFonts w:ascii="Arial" w:hAnsi="Arial" w:cs="Arial"/>
          <w:sz w:val="22"/>
          <w:szCs w:val="22"/>
        </w:rPr>
        <w:t xml:space="preserve">Assignment Title, Component 2; Written Assignment. </w:t>
      </w:r>
    </w:p>
    <w:p w14:paraId="56283AF0" w14:textId="77777777" w:rsidR="00213311" w:rsidRDefault="00213311">
      <w:pPr>
        <w:rPr>
          <w:rFonts w:ascii="Arial" w:hAnsi="Arial" w:cs="Arial"/>
          <w:sz w:val="22"/>
          <w:szCs w:val="22"/>
        </w:rPr>
      </w:pPr>
    </w:p>
    <w:p w14:paraId="57F84392" w14:textId="77777777" w:rsidR="00213311" w:rsidRDefault="00213311">
      <w:pPr>
        <w:rPr>
          <w:rFonts w:ascii="Arial" w:hAnsi="Arial" w:cs="Arial"/>
          <w:sz w:val="22"/>
          <w:szCs w:val="22"/>
        </w:rPr>
      </w:pPr>
    </w:p>
    <w:p w14:paraId="764A5C3A" w14:textId="77777777" w:rsidR="00213311" w:rsidRDefault="00213311">
      <w:pPr>
        <w:rPr>
          <w:rFonts w:ascii="Arial" w:hAnsi="Arial" w:cs="Arial"/>
          <w:sz w:val="22"/>
          <w:szCs w:val="22"/>
        </w:rPr>
      </w:pPr>
    </w:p>
    <w:p w14:paraId="138743E0" w14:textId="77777777" w:rsidR="00213311" w:rsidRDefault="00213311">
      <w:pPr>
        <w:rPr>
          <w:rFonts w:ascii="Arial" w:hAnsi="Arial" w:cs="Arial"/>
          <w:sz w:val="22"/>
          <w:szCs w:val="22"/>
        </w:rPr>
      </w:pPr>
    </w:p>
    <w:p w14:paraId="0662FB85" w14:textId="77777777" w:rsidR="00213311" w:rsidRDefault="00213311">
      <w:pPr>
        <w:rPr>
          <w:rFonts w:ascii="Arial" w:hAnsi="Arial" w:cs="Arial"/>
          <w:sz w:val="22"/>
          <w:szCs w:val="22"/>
        </w:rPr>
      </w:pPr>
    </w:p>
    <w:p w14:paraId="29DDAE53" w14:textId="77777777" w:rsidR="00213311" w:rsidRDefault="00213311">
      <w:pPr>
        <w:rPr>
          <w:rFonts w:ascii="Arial" w:hAnsi="Arial" w:cs="Arial"/>
          <w:sz w:val="22"/>
          <w:szCs w:val="22"/>
        </w:rPr>
      </w:pPr>
    </w:p>
    <w:p w14:paraId="0D3DB626" w14:textId="77777777" w:rsidR="00213311" w:rsidRDefault="00213311">
      <w:pPr>
        <w:rPr>
          <w:rFonts w:ascii="Arial" w:hAnsi="Arial" w:cs="Arial"/>
          <w:sz w:val="22"/>
          <w:szCs w:val="22"/>
        </w:rPr>
      </w:pPr>
    </w:p>
    <w:p w14:paraId="6C2B8097" w14:textId="77777777" w:rsidR="00213311" w:rsidRDefault="00213311">
      <w:pPr>
        <w:rPr>
          <w:rFonts w:ascii="Arial" w:hAnsi="Arial" w:cs="Arial"/>
          <w:sz w:val="22"/>
          <w:szCs w:val="22"/>
        </w:rPr>
      </w:pPr>
    </w:p>
    <w:p w14:paraId="4BA538BF" w14:textId="77777777" w:rsidR="00213311" w:rsidRDefault="00213311">
      <w:pPr>
        <w:rPr>
          <w:rFonts w:ascii="Arial" w:hAnsi="Arial" w:cs="Arial"/>
          <w:sz w:val="22"/>
          <w:szCs w:val="22"/>
        </w:rPr>
      </w:pPr>
    </w:p>
    <w:p w14:paraId="487B0C40" w14:textId="77777777" w:rsidR="00213311" w:rsidRDefault="00213311">
      <w:pPr>
        <w:rPr>
          <w:rFonts w:ascii="Arial" w:hAnsi="Arial" w:cs="Arial"/>
          <w:sz w:val="22"/>
          <w:szCs w:val="22"/>
        </w:rPr>
      </w:pPr>
    </w:p>
    <w:p w14:paraId="7BF71734" w14:textId="74F03EF3" w:rsidR="00213311" w:rsidRDefault="00C9447A">
      <w:pPr>
        <w:rPr>
          <w:rFonts w:ascii="Arial" w:hAnsi="Arial" w:cs="Arial"/>
          <w:sz w:val="22"/>
          <w:szCs w:val="22"/>
        </w:rPr>
      </w:pPr>
      <w:r>
        <w:rPr>
          <w:rFonts w:ascii="Arial" w:hAnsi="Arial" w:cs="Arial"/>
          <w:sz w:val="22"/>
          <w:szCs w:val="22"/>
        </w:rPr>
        <w:t xml:space="preserve">Table of Contents. </w:t>
      </w:r>
    </w:p>
    <w:p w14:paraId="40D3E043" w14:textId="56FBCBB4" w:rsidR="00C9447A" w:rsidRDefault="00C9447A">
      <w:pPr>
        <w:rPr>
          <w:rFonts w:ascii="Arial" w:hAnsi="Arial" w:cs="Arial"/>
          <w:sz w:val="22"/>
          <w:szCs w:val="22"/>
        </w:rPr>
      </w:pPr>
      <w:r>
        <w:rPr>
          <w:rFonts w:ascii="Arial" w:hAnsi="Arial" w:cs="Arial"/>
          <w:sz w:val="22"/>
          <w:szCs w:val="22"/>
        </w:rPr>
        <w:t xml:space="preserve">Poster Hospital to Home Navigator Service. </w:t>
      </w:r>
    </w:p>
    <w:p w14:paraId="09595D20" w14:textId="2A77FC22" w:rsidR="00C9447A" w:rsidRDefault="00C9447A">
      <w:pPr>
        <w:rPr>
          <w:rFonts w:ascii="Arial" w:hAnsi="Arial" w:cs="Arial"/>
          <w:sz w:val="22"/>
          <w:szCs w:val="22"/>
        </w:rPr>
      </w:pPr>
      <w:r>
        <w:rPr>
          <w:rFonts w:ascii="Arial" w:hAnsi="Arial" w:cs="Arial"/>
          <w:sz w:val="22"/>
          <w:szCs w:val="22"/>
        </w:rPr>
        <w:t>Pitch, Introduction.</w:t>
      </w:r>
    </w:p>
    <w:p w14:paraId="098FA8F4" w14:textId="15A5F372" w:rsidR="00C9447A" w:rsidRDefault="00C9447A">
      <w:pPr>
        <w:rPr>
          <w:rFonts w:ascii="Arial" w:hAnsi="Arial" w:cs="Arial"/>
          <w:sz w:val="22"/>
          <w:szCs w:val="22"/>
        </w:rPr>
      </w:pPr>
      <w:r>
        <w:rPr>
          <w:rFonts w:ascii="Arial" w:hAnsi="Arial" w:cs="Arial"/>
          <w:sz w:val="22"/>
          <w:szCs w:val="22"/>
        </w:rPr>
        <w:t>Identifying the Gap.</w:t>
      </w:r>
    </w:p>
    <w:p w14:paraId="3218875B" w14:textId="77789719" w:rsidR="00C9447A" w:rsidRDefault="00C9447A">
      <w:pPr>
        <w:rPr>
          <w:rFonts w:ascii="Arial" w:hAnsi="Arial" w:cs="Arial"/>
          <w:sz w:val="22"/>
          <w:szCs w:val="22"/>
        </w:rPr>
      </w:pPr>
      <w:r>
        <w:rPr>
          <w:rFonts w:ascii="Arial" w:hAnsi="Arial" w:cs="Arial"/>
          <w:sz w:val="22"/>
          <w:szCs w:val="22"/>
        </w:rPr>
        <w:t>The Innovation Design, Technology, and Value.</w:t>
      </w:r>
    </w:p>
    <w:p w14:paraId="69B69F71" w14:textId="79F5A6E6" w:rsidR="00C9447A" w:rsidRDefault="00350ADE">
      <w:pPr>
        <w:rPr>
          <w:rFonts w:ascii="Arial" w:hAnsi="Arial" w:cs="Arial"/>
          <w:sz w:val="22"/>
          <w:szCs w:val="22"/>
        </w:rPr>
      </w:pPr>
      <w:r>
        <w:rPr>
          <w:rFonts w:ascii="Arial" w:hAnsi="Arial" w:cs="Arial"/>
          <w:sz w:val="22"/>
          <w:szCs w:val="22"/>
        </w:rPr>
        <w:t xml:space="preserve">Policy, Legislation, and Professional Framework. </w:t>
      </w:r>
    </w:p>
    <w:p w14:paraId="6EEC273A" w14:textId="5AD4EDCE" w:rsidR="00C9447A" w:rsidRDefault="00C9447A">
      <w:pPr>
        <w:rPr>
          <w:rFonts w:ascii="Arial" w:hAnsi="Arial" w:cs="Arial"/>
          <w:sz w:val="22"/>
          <w:szCs w:val="22"/>
        </w:rPr>
      </w:pPr>
      <w:r>
        <w:rPr>
          <w:rFonts w:ascii="Arial" w:hAnsi="Arial" w:cs="Arial"/>
          <w:sz w:val="22"/>
          <w:szCs w:val="22"/>
        </w:rPr>
        <w:t xml:space="preserve">Public Involvement and Community Engagement. </w:t>
      </w:r>
    </w:p>
    <w:p w14:paraId="51C425E3" w14:textId="7D750828" w:rsidR="00C9447A" w:rsidRDefault="00C9447A">
      <w:pPr>
        <w:rPr>
          <w:rFonts w:ascii="Arial" w:hAnsi="Arial" w:cs="Arial"/>
          <w:sz w:val="22"/>
          <w:szCs w:val="22"/>
        </w:rPr>
      </w:pPr>
      <w:r>
        <w:rPr>
          <w:rFonts w:ascii="Arial" w:hAnsi="Arial" w:cs="Arial"/>
          <w:sz w:val="22"/>
          <w:szCs w:val="22"/>
        </w:rPr>
        <w:t xml:space="preserve">Critical Analysis. </w:t>
      </w:r>
    </w:p>
    <w:p w14:paraId="46401502" w14:textId="77777777" w:rsidR="00C9447A" w:rsidRDefault="00C9447A">
      <w:pPr>
        <w:rPr>
          <w:rFonts w:ascii="Arial" w:hAnsi="Arial" w:cs="Arial"/>
          <w:sz w:val="22"/>
          <w:szCs w:val="22"/>
        </w:rPr>
      </w:pPr>
      <w:r>
        <w:rPr>
          <w:rFonts w:ascii="Arial" w:hAnsi="Arial" w:cs="Arial"/>
          <w:sz w:val="22"/>
          <w:szCs w:val="22"/>
        </w:rPr>
        <w:t>Conclusion.</w:t>
      </w:r>
    </w:p>
    <w:p w14:paraId="421F355C" w14:textId="77777777" w:rsidR="00C9447A" w:rsidRDefault="00C9447A">
      <w:pPr>
        <w:rPr>
          <w:rFonts w:ascii="Arial" w:hAnsi="Arial" w:cs="Arial"/>
          <w:sz w:val="22"/>
          <w:szCs w:val="22"/>
        </w:rPr>
      </w:pPr>
      <w:r>
        <w:rPr>
          <w:rFonts w:ascii="Arial" w:hAnsi="Arial" w:cs="Arial"/>
          <w:sz w:val="22"/>
          <w:szCs w:val="22"/>
        </w:rPr>
        <w:t xml:space="preserve">References. </w:t>
      </w:r>
    </w:p>
    <w:p w14:paraId="69639B51" w14:textId="77777777" w:rsidR="00C9447A" w:rsidRDefault="00C9447A">
      <w:pPr>
        <w:rPr>
          <w:rFonts w:ascii="Arial" w:hAnsi="Arial" w:cs="Arial"/>
          <w:sz w:val="22"/>
          <w:szCs w:val="22"/>
        </w:rPr>
      </w:pPr>
    </w:p>
    <w:p w14:paraId="1AF7295B" w14:textId="77777777" w:rsidR="00C9447A" w:rsidRDefault="00C9447A">
      <w:pPr>
        <w:rPr>
          <w:rFonts w:ascii="Arial" w:hAnsi="Arial" w:cs="Arial"/>
          <w:sz w:val="22"/>
          <w:szCs w:val="22"/>
        </w:rPr>
      </w:pPr>
    </w:p>
    <w:p w14:paraId="187A4C11" w14:textId="77777777" w:rsidR="00C9447A" w:rsidRDefault="00C9447A">
      <w:pPr>
        <w:rPr>
          <w:rFonts w:ascii="Arial" w:hAnsi="Arial" w:cs="Arial"/>
          <w:sz w:val="22"/>
          <w:szCs w:val="22"/>
        </w:rPr>
      </w:pPr>
    </w:p>
    <w:p w14:paraId="6925A799" w14:textId="22DCB27F" w:rsidR="00C9447A" w:rsidRDefault="003E4937">
      <w:pPr>
        <w:rPr>
          <w:rFonts w:ascii="Arial" w:hAnsi="Arial" w:cs="Arial"/>
          <w:sz w:val="22"/>
          <w:szCs w:val="22"/>
        </w:rPr>
      </w:pPr>
      <w:r>
        <w:rPr>
          <w:rFonts w:ascii="Arial" w:hAnsi="Arial" w:cs="Arial"/>
          <w:sz w:val="22"/>
          <w:szCs w:val="22"/>
        </w:rPr>
        <w:lastRenderedPageBreak/>
        <w:t xml:space="preserve">Poster </w:t>
      </w:r>
    </w:p>
    <w:p w14:paraId="22B10A7E" w14:textId="3F8A9266" w:rsidR="00C9447A" w:rsidRDefault="00C9447A">
      <w:pPr>
        <w:rPr>
          <w:rFonts w:ascii="Arial" w:hAnsi="Arial" w:cs="Arial"/>
          <w:sz w:val="22"/>
          <w:szCs w:val="22"/>
        </w:rPr>
      </w:pPr>
      <w:r>
        <w:rPr>
          <w:rFonts w:ascii="Arial" w:hAnsi="Arial" w:cs="Arial"/>
          <w:sz w:val="22"/>
          <w:szCs w:val="22"/>
        </w:rPr>
        <w:t xml:space="preserve"> </w:t>
      </w:r>
    </w:p>
    <w:p w14:paraId="729F4E52" w14:textId="77777777" w:rsidR="00213311" w:rsidRDefault="00213311">
      <w:pPr>
        <w:rPr>
          <w:rFonts w:ascii="Arial" w:hAnsi="Arial" w:cs="Arial"/>
          <w:sz w:val="22"/>
          <w:szCs w:val="22"/>
        </w:rPr>
      </w:pPr>
    </w:p>
    <w:p w14:paraId="011C4E06" w14:textId="7D18F5F4" w:rsidR="00213311" w:rsidRDefault="00335922">
      <w:pPr>
        <w:rPr>
          <w:rFonts w:ascii="Arial" w:hAnsi="Arial" w:cs="Arial"/>
          <w:sz w:val="22"/>
          <w:szCs w:val="22"/>
        </w:rPr>
      </w:pPr>
      <w:r>
        <w:rPr>
          <w:rFonts w:ascii="Arial" w:hAnsi="Arial" w:cs="Arial"/>
          <w:noProof/>
          <w:sz w:val="22"/>
          <w:szCs w:val="22"/>
        </w:rPr>
        <w:drawing>
          <wp:inline distT="0" distB="0" distL="0" distR="0" wp14:anchorId="41A09152" wp14:editId="20CA377D">
            <wp:extent cx="5731510" cy="4425950"/>
            <wp:effectExtent l="0" t="0" r="2540" b="0"/>
            <wp:docPr id="1768017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017550" name="Picture 176801755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425950"/>
                    </a:xfrm>
                    <a:prstGeom prst="rect">
                      <a:avLst/>
                    </a:prstGeom>
                  </pic:spPr>
                </pic:pic>
              </a:graphicData>
            </a:graphic>
          </wp:inline>
        </w:drawing>
      </w:r>
    </w:p>
    <w:p w14:paraId="3FC63411" w14:textId="77777777" w:rsidR="00EA0451" w:rsidRDefault="00EA0451">
      <w:pPr>
        <w:rPr>
          <w:rFonts w:ascii="Arial" w:hAnsi="Arial" w:cs="Arial"/>
          <w:sz w:val="22"/>
          <w:szCs w:val="22"/>
        </w:rPr>
      </w:pPr>
    </w:p>
    <w:p w14:paraId="6A9B9AD5" w14:textId="77777777" w:rsidR="00EA0451" w:rsidRDefault="00EA0451">
      <w:pPr>
        <w:rPr>
          <w:rFonts w:ascii="Arial" w:hAnsi="Arial" w:cs="Arial"/>
          <w:sz w:val="22"/>
          <w:szCs w:val="22"/>
        </w:rPr>
      </w:pPr>
    </w:p>
    <w:p w14:paraId="1C9C9830" w14:textId="77777777" w:rsidR="00EA0451" w:rsidRDefault="00EA0451">
      <w:pPr>
        <w:rPr>
          <w:rFonts w:ascii="Arial" w:hAnsi="Arial" w:cs="Arial"/>
          <w:sz w:val="22"/>
          <w:szCs w:val="22"/>
        </w:rPr>
      </w:pPr>
    </w:p>
    <w:p w14:paraId="6289765D" w14:textId="77777777" w:rsidR="00EA0451" w:rsidRDefault="00EA0451">
      <w:pPr>
        <w:rPr>
          <w:rFonts w:ascii="Arial" w:hAnsi="Arial" w:cs="Arial"/>
          <w:sz w:val="22"/>
          <w:szCs w:val="22"/>
        </w:rPr>
      </w:pPr>
    </w:p>
    <w:p w14:paraId="4DE8AC8D" w14:textId="4E047927" w:rsidR="00EA0451" w:rsidRDefault="00EA0451">
      <w:pPr>
        <w:rPr>
          <w:rFonts w:ascii="Arial" w:hAnsi="Arial" w:cs="Arial"/>
          <w:sz w:val="22"/>
          <w:szCs w:val="22"/>
        </w:rPr>
      </w:pPr>
      <w:r>
        <w:rPr>
          <w:rFonts w:ascii="Arial" w:hAnsi="Arial" w:cs="Arial"/>
          <w:sz w:val="22"/>
          <w:szCs w:val="22"/>
        </w:rPr>
        <w:t xml:space="preserve">Pitch. </w:t>
      </w:r>
    </w:p>
    <w:p w14:paraId="0F082021" w14:textId="54A81A90" w:rsidR="00350ADE" w:rsidRDefault="008F480F" w:rsidP="00350ADE">
      <w:pPr>
        <w:rPr>
          <w:rFonts w:ascii="Arial" w:hAnsi="Arial" w:cs="Arial"/>
          <w:sz w:val="22"/>
          <w:szCs w:val="22"/>
        </w:rPr>
      </w:pPr>
      <w:r>
        <w:rPr>
          <w:rFonts w:ascii="Arial" w:hAnsi="Arial" w:cs="Arial"/>
          <w:sz w:val="22"/>
          <w:szCs w:val="22"/>
        </w:rPr>
        <w:t xml:space="preserve">Introduction. </w:t>
      </w:r>
    </w:p>
    <w:p w14:paraId="0D6A3A95" w14:textId="6FE5D369" w:rsidR="008F480F" w:rsidRDefault="008F480F" w:rsidP="00350ADE">
      <w:pPr>
        <w:rPr>
          <w:rFonts w:ascii="Arial" w:hAnsi="Arial" w:cs="Arial"/>
          <w:sz w:val="22"/>
          <w:szCs w:val="22"/>
        </w:rPr>
      </w:pPr>
      <w:r w:rsidRPr="008F480F">
        <w:rPr>
          <w:rFonts w:ascii="Arial" w:hAnsi="Arial" w:cs="Arial"/>
          <w:sz w:val="22"/>
          <w:szCs w:val="22"/>
        </w:rPr>
        <w:t>Roughly 80,000 adults leave prison in England and Wales each year, many with just a grant of £46 and a variety of health needs. The health needs may be numerous and include conditions that the correctional health system does not address and does not prepare them to address (Ministry of Justice, 2023). In the two weeks following release, the risk of a drug-related death increases 27 times compared to the incarcerated population (</w:t>
      </w:r>
      <w:proofErr w:type="spellStart"/>
      <w:r w:rsidRPr="008F480F">
        <w:rPr>
          <w:rFonts w:ascii="Arial" w:hAnsi="Arial" w:cs="Arial"/>
          <w:sz w:val="22"/>
          <w:szCs w:val="22"/>
        </w:rPr>
        <w:t>Merrall</w:t>
      </w:r>
      <w:proofErr w:type="spellEnd"/>
      <w:r w:rsidRPr="008F480F">
        <w:rPr>
          <w:rFonts w:ascii="Arial" w:hAnsi="Arial" w:cs="Arial"/>
          <w:sz w:val="22"/>
          <w:szCs w:val="22"/>
        </w:rPr>
        <w:t xml:space="preserve"> et al., 2020). This statistic shows that the current system is </w:t>
      </w:r>
      <w:proofErr w:type="gramStart"/>
      <w:r w:rsidRPr="008F480F">
        <w:rPr>
          <w:rFonts w:ascii="Arial" w:hAnsi="Arial" w:cs="Arial"/>
          <w:sz w:val="22"/>
          <w:szCs w:val="22"/>
        </w:rPr>
        <w:t>failing, and</w:t>
      </w:r>
      <w:proofErr w:type="gramEnd"/>
      <w:r w:rsidRPr="008F480F">
        <w:rPr>
          <w:rFonts w:ascii="Arial" w:hAnsi="Arial" w:cs="Arial"/>
          <w:sz w:val="22"/>
          <w:szCs w:val="22"/>
        </w:rPr>
        <w:t xml:space="preserve"> shows the need for urgent action. Currently, there are no commissioned services in England to provide a single coordinating professional at the point of release. The Hospital to Home Navigator Service (H2HNS) is proposed to fill that specific gap and is an </w:t>
      </w:r>
      <w:proofErr w:type="gramStart"/>
      <w:r w:rsidRPr="008F480F">
        <w:rPr>
          <w:rFonts w:ascii="Arial" w:hAnsi="Arial" w:cs="Arial"/>
          <w:sz w:val="22"/>
          <w:szCs w:val="22"/>
        </w:rPr>
        <w:t>evidence based</w:t>
      </w:r>
      <w:proofErr w:type="gramEnd"/>
      <w:r w:rsidRPr="008F480F">
        <w:rPr>
          <w:rFonts w:ascii="Arial" w:hAnsi="Arial" w:cs="Arial"/>
          <w:sz w:val="22"/>
          <w:szCs w:val="22"/>
        </w:rPr>
        <w:t xml:space="preserve"> innovation which </w:t>
      </w:r>
      <w:r w:rsidRPr="008F480F">
        <w:rPr>
          <w:rFonts w:ascii="Arial" w:hAnsi="Arial" w:cs="Arial"/>
          <w:sz w:val="22"/>
          <w:szCs w:val="22"/>
        </w:rPr>
        <w:lastRenderedPageBreak/>
        <w:t>employs value creating systems thinking, and co-production to address one of the most complicated and damaging health inequities facing communities in the UK today.</w:t>
      </w:r>
      <w:r>
        <w:rPr>
          <w:rFonts w:ascii="Arial" w:hAnsi="Arial" w:cs="Arial"/>
          <w:sz w:val="22"/>
          <w:szCs w:val="22"/>
        </w:rPr>
        <w:t xml:space="preserve"> </w:t>
      </w:r>
    </w:p>
    <w:p w14:paraId="2D1C658C" w14:textId="77777777" w:rsidR="008F480F" w:rsidRDefault="008F480F" w:rsidP="00350ADE">
      <w:pPr>
        <w:rPr>
          <w:rFonts w:ascii="Arial" w:hAnsi="Arial" w:cs="Arial"/>
          <w:sz w:val="22"/>
          <w:szCs w:val="22"/>
        </w:rPr>
      </w:pPr>
    </w:p>
    <w:p w14:paraId="3CBB5E37" w14:textId="6F861526" w:rsidR="008F480F" w:rsidRPr="008F480F" w:rsidRDefault="008F480F" w:rsidP="008F480F">
      <w:pPr>
        <w:rPr>
          <w:rFonts w:ascii="Arial" w:hAnsi="Arial" w:cs="Arial"/>
          <w:sz w:val="22"/>
          <w:szCs w:val="22"/>
        </w:rPr>
      </w:pPr>
      <w:r w:rsidRPr="008F480F">
        <w:rPr>
          <w:rFonts w:ascii="Arial" w:hAnsi="Arial" w:cs="Arial"/>
          <w:sz w:val="22"/>
          <w:szCs w:val="22"/>
        </w:rPr>
        <w:t>Identifying the Gap</w:t>
      </w:r>
      <w:r>
        <w:rPr>
          <w:rFonts w:ascii="Arial" w:hAnsi="Arial" w:cs="Arial"/>
          <w:sz w:val="22"/>
          <w:szCs w:val="22"/>
        </w:rPr>
        <w:t xml:space="preserve">. </w:t>
      </w:r>
    </w:p>
    <w:p w14:paraId="36227417" w14:textId="05E63856" w:rsidR="008F480F" w:rsidRDefault="008F480F" w:rsidP="008F480F">
      <w:pPr>
        <w:rPr>
          <w:rFonts w:ascii="Arial" w:hAnsi="Arial" w:cs="Arial"/>
          <w:sz w:val="22"/>
          <w:szCs w:val="22"/>
        </w:rPr>
      </w:pPr>
      <w:r w:rsidRPr="008F480F">
        <w:rPr>
          <w:rFonts w:ascii="Arial" w:hAnsi="Arial" w:cs="Arial"/>
          <w:sz w:val="22"/>
          <w:szCs w:val="22"/>
        </w:rPr>
        <w:t>The population of people leaving prison is one of the most clinically complex in England. Multi-morbidity, the co-occurrence of two or more long-term conditions, is especially prevalent in prison populations, compared to the community prison populations (Steel et al., 2020). Mental ill health, substance use, chronic conditions, blood-borne viruses, and social vulnerabilities such as homelessness are other factors that add to this problematic picture. Each of these conditions interact with and worsen the other creating a clinical complexity that a fragmented system is structurally ill equipped to address (NICE, 2017). Many people are leaving prison without being registered with a GP. This means that prescriptions are not filled, mental health referrals are not made, and the only place to go to get help is an emergency department (NHS England, 2022). This places unnecessary burdens on acute services while the causes of the ill health remain unaddressed.</w:t>
      </w:r>
      <w:r>
        <w:rPr>
          <w:rFonts w:ascii="Arial" w:hAnsi="Arial" w:cs="Arial"/>
          <w:sz w:val="22"/>
          <w:szCs w:val="22"/>
        </w:rPr>
        <w:t xml:space="preserve"> </w:t>
      </w:r>
    </w:p>
    <w:p w14:paraId="2189D23E" w14:textId="77777777" w:rsidR="008F480F" w:rsidRDefault="008F480F" w:rsidP="008F480F">
      <w:pPr>
        <w:rPr>
          <w:rFonts w:ascii="Arial" w:hAnsi="Arial" w:cs="Arial"/>
          <w:sz w:val="22"/>
          <w:szCs w:val="22"/>
        </w:rPr>
      </w:pPr>
    </w:p>
    <w:p w14:paraId="1D6C3370" w14:textId="447F0408" w:rsidR="008F480F" w:rsidRPr="008F480F" w:rsidRDefault="008F480F" w:rsidP="008F480F">
      <w:pPr>
        <w:rPr>
          <w:rFonts w:ascii="Arial" w:hAnsi="Arial" w:cs="Arial"/>
          <w:sz w:val="22"/>
          <w:szCs w:val="22"/>
        </w:rPr>
      </w:pPr>
      <w:r w:rsidRPr="008F480F">
        <w:rPr>
          <w:rFonts w:ascii="Arial" w:hAnsi="Arial" w:cs="Arial"/>
          <w:sz w:val="22"/>
          <w:szCs w:val="22"/>
        </w:rPr>
        <w:t xml:space="preserve">The Innovation Design, Technology and Value. </w:t>
      </w:r>
    </w:p>
    <w:p w14:paraId="79AA71E9" w14:textId="57CA6E3D" w:rsidR="008F480F" w:rsidRDefault="008F480F" w:rsidP="008F480F">
      <w:pPr>
        <w:rPr>
          <w:rFonts w:ascii="Arial" w:hAnsi="Arial" w:cs="Arial"/>
          <w:sz w:val="22"/>
          <w:szCs w:val="22"/>
        </w:rPr>
      </w:pPr>
      <w:r w:rsidRPr="008F480F">
        <w:rPr>
          <w:rFonts w:ascii="Arial" w:hAnsi="Arial" w:cs="Arial"/>
          <w:sz w:val="22"/>
          <w:szCs w:val="22"/>
        </w:rPr>
        <w:t xml:space="preserve">The H2HNS assigns a trained Navigator Practitioner to help each individual four weeks prior to release.  The Navigator conducts </w:t>
      </w:r>
      <w:proofErr w:type="gramStart"/>
      <w:r w:rsidRPr="008F480F">
        <w:rPr>
          <w:rFonts w:ascii="Arial" w:hAnsi="Arial" w:cs="Arial"/>
          <w:sz w:val="22"/>
          <w:szCs w:val="22"/>
        </w:rPr>
        <w:t>needs</w:t>
      </w:r>
      <w:proofErr w:type="gramEnd"/>
      <w:r w:rsidRPr="008F480F">
        <w:rPr>
          <w:rFonts w:ascii="Arial" w:hAnsi="Arial" w:cs="Arial"/>
          <w:sz w:val="22"/>
          <w:szCs w:val="22"/>
        </w:rPr>
        <w:t xml:space="preserve"> assessments and coordinates medication management and Continuity of Care and begins registration with the GP. She also sets up referral pathways to community-based mental health and substance use services and housing. Active support includes twelve weeks after release. A clinical pathway is supported by a secure NHS-integrated platform and a patient application with automation for appointment reminders and crisis contacts, an AI risk stratification tool that identifies patients at risk of deterioration in the next thirty days post release. The development of the system is compliant with the NHS Data Security and Protection Toolkit and UK GDPR (2018). The implementation of the system follows a structured plan that is divided into three months’ time frames over a </w:t>
      </w:r>
      <w:proofErr w:type="gramStart"/>
      <w:r w:rsidRPr="008F480F">
        <w:rPr>
          <w:rFonts w:ascii="Arial" w:hAnsi="Arial" w:cs="Arial"/>
          <w:sz w:val="22"/>
          <w:szCs w:val="22"/>
        </w:rPr>
        <w:t>24 month</w:t>
      </w:r>
      <w:proofErr w:type="gramEnd"/>
      <w:r w:rsidRPr="008F480F">
        <w:rPr>
          <w:rFonts w:ascii="Arial" w:hAnsi="Arial" w:cs="Arial"/>
          <w:sz w:val="22"/>
          <w:szCs w:val="22"/>
        </w:rPr>
        <w:t xml:space="preserve"> period. Months one to three are for stakeholder engagement and Navigator recruitment and co-production workshops with individuals who have lived experiences; staff training and records integration take place in months four to six; months seven to twelve are for launch of the pilot in three NHS Integrated Care System; independent evaluation occurs in months thirteen to eighteen; and a plan for NHS England is due by month twenty-four. The model is cost beneficial due to the reduction of health crisis and re incarceration for the individual, reduction of unnecessary A&amp;E attendance for the NHS (King's Fund, 2022), and the benefits to society, as post release support contributes to proven reductions in reoffending (Disley et al., 2021).</w:t>
      </w:r>
      <w:r>
        <w:rPr>
          <w:rFonts w:ascii="Arial" w:hAnsi="Arial" w:cs="Arial"/>
          <w:sz w:val="22"/>
          <w:szCs w:val="22"/>
        </w:rPr>
        <w:t xml:space="preserve"> </w:t>
      </w:r>
    </w:p>
    <w:p w14:paraId="28717AD9" w14:textId="77777777" w:rsidR="008F480F" w:rsidRDefault="008F480F" w:rsidP="008F480F">
      <w:pPr>
        <w:rPr>
          <w:rFonts w:ascii="Arial" w:hAnsi="Arial" w:cs="Arial"/>
          <w:sz w:val="22"/>
          <w:szCs w:val="22"/>
        </w:rPr>
      </w:pPr>
    </w:p>
    <w:p w14:paraId="552C0420" w14:textId="4D39721D" w:rsidR="008F480F" w:rsidRPr="008F480F" w:rsidRDefault="008F480F" w:rsidP="008F480F">
      <w:pPr>
        <w:rPr>
          <w:rFonts w:ascii="Arial" w:hAnsi="Arial" w:cs="Arial"/>
          <w:sz w:val="22"/>
          <w:szCs w:val="22"/>
        </w:rPr>
      </w:pPr>
      <w:r w:rsidRPr="008F480F">
        <w:rPr>
          <w:rFonts w:ascii="Arial" w:hAnsi="Arial" w:cs="Arial"/>
          <w:sz w:val="22"/>
          <w:szCs w:val="22"/>
        </w:rPr>
        <w:t>Policy, Legislation, and Professional Framework</w:t>
      </w:r>
    </w:p>
    <w:p w14:paraId="40A4777D" w14:textId="2FDB9C60" w:rsidR="008F480F" w:rsidRDefault="008F480F" w:rsidP="008F480F">
      <w:pPr>
        <w:rPr>
          <w:rFonts w:ascii="Arial" w:hAnsi="Arial" w:cs="Arial"/>
          <w:sz w:val="22"/>
          <w:szCs w:val="22"/>
        </w:rPr>
      </w:pPr>
      <w:r w:rsidRPr="008F480F">
        <w:rPr>
          <w:rFonts w:ascii="Arial" w:hAnsi="Arial" w:cs="Arial"/>
          <w:sz w:val="22"/>
          <w:szCs w:val="22"/>
        </w:rPr>
        <w:t xml:space="preserve">H2HNS is situated within a framework of consistent legislation. Prisons, the NHS, mental health, and housing services were considered in the design of the Health and Care Act 2022, which created Integrated Care Systems and made them legally responsible for facilitating cross-organisational care. The NHS Long Term Plan (NHS England, 2019) identified the </w:t>
      </w:r>
      <w:r w:rsidRPr="008F480F">
        <w:rPr>
          <w:rFonts w:ascii="Arial" w:hAnsi="Arial" w:cs="Arial"/>
          <w:sz w:val="22"/>
          <w:szCs w:val="22"/>
        </w:rPr>
        <w:lastRenderedPageBreak/>
        <w:t>need for care services to persons in contact with the criminal justice system. The Care Act 2014 has a statutory requirement for local authorities to assist in the promotion of well-being and the prevention of the escalation of need, which post-release interventions assist in accomplishing. It is proposed that Navigator practitioners would have current NMC or HCPC registration, and that a full Equality Impact Assessment would be conducted concerning the intersecting inequalities of race, disability and gender, which are prevalent in the prison population, in line with the provisions of the Equality Act 2010.</w:t>
      </w:r>
      <w:r>
        <w:rPr>
          <w:rFonts w:ascii="Arial" w:hAnsi="Arial" w:cs="Arial"/>
          <w:sz w:val="22"/>
          <w:szCs w:val="22"/>
        </w:rPr>
        <w:t xml:space="preserve"> </w:t>
      </w:r>
    </w:p>
    <w:p w14:paraId="17553440" w14:textId="77777777" w:rsidR="008F480F" w:rsidRDefault="008F480F" w:rsidP="008F480F">
      <w:pPr>
        <w:rPr>
          <w:rFonts w:ascii="Arial" w:hAnsi="Arial" w:cs="Arial"/>
          <w:sz w:val="22"/>
          <w:szCs w:val="22"/>
        </w:rPr>
      </w:pPr>
    </w:p>
    <w:p w14:paraId="194EECD1" w14:textId="5CA7D89F" w:rsidR="00FA4918" w:rsidRPr="00FA4918" w:rsidRDefault="00FA4918" w:rsidP="00FA4918">
      <w:pPr>
        <w:rPr>
          <w:rFonts w:ascii="Arial" w:hAnsi="Arial" w:cs="Arial"/>
          <w:sz w:val="22"/>
          <w:szCs w:val="22"/>
        </w:rPr>
      </w:pPr>
      <w:r w:rsidRPr="00FA4918">
        <w:rPr>
          <w:rFonts w:ascii="Arial" w:hAnsi="Arial" w:cs="Arial"/>
          <w:sz w:val="22"/>
          <w:szCs w:val="22"/>
        </w:rPr>
        <w:t>Public Involvement and Community Engagement</w:t>
      </w:r>
    </w:p>
    <w:p w14:paraId="4A899913" w14:textId="35200950" w:rsidR="008F480F" w:rsidRDefault="00FA4918" w:rsidP="00FA4918">
      <w:pPr>
        <w:rPr>
          <w:rFonts w:ascii="Arial" w:hAnsi="Arial" w:cs="Arial"/>
          <w:sz w:val="22"/>
          <w:szCs w:val="22"/>
        </w:rPr>
      </w:pPr>
      <w:r w:rsidRPr="00FA4918">
        <w:rPr>
          <w:rFonts w:ascii="Arial" w:hAnsi="Arial" w:cs="Arial"/>
          <w:sz w:val="22"/>
          <w:szCs w:val="22"/>
        </w:rPr>
        <w:t>Usable innovation calls for the participation of the community involved in its use. Co-production refers to the active partnerships of service users and the professionals and communities that serve them. Co-production has been proven to enhance the quality and sustainability of an innovation (</w:t>
      </w:r>
      <w:proofErr w:type="spellStart"/>
      <w:r w:rsidRPr="00FA4918">
        <w:rPr>
          <w:rFonts w:ascii="Arial" w:hAnsi="Arial" w:cs="Arial"/>
          <w:sz w:val="22"/>
          <w:szCs w:val="22"/>
        </w:rPr>
        <w:t>Batalden</w:t>
      </w:r>
      <w:proofErr w:type="spellEnd"/>
      <w:r w:rsidRPr="00FA4918">
        <w:rPr>
          <w:rFonts w:ascii="Arial" w:hAnsi="Arial" w:cs="Arial"/>
          <w:sz w:val="22"/>
          <w:szCs w:val="22"/>
        </w:rPr>
        <w:t xml:space="preserve"> et al., 2016). The H2HNS focuses on the involvement of people with lived experience in the design and evaluation of the innovation. Public involvement focuses on the health inequities of the people leaving prison. The health inequities of the population leaving prison are difficult to perceive; the health inequities are created by stigmas of </w:t>
      </w:r>
      <w:proofErr w:type="spellStart"/>
      <w:r w:rsidRPr="00FA4918">
        <w:rPr>
          <w:rFonts w:ascii="Arial" w:hAnsi="Arial" w:cs="Arial"/>
          <w:sz w:val="22"/>
          <w:szCs w:val="22"/>
        </w:rPr>
        <w:t>mispolitical</w:t>
      </w:r>
      <w:proofErr w:type="spellEnd"/>
      <w:r w:rsidRPr="00FA4918">
        <w:rPr>
          <w:rFonts w:ascii="Arial" w:hAnsi="Arial" w:cs="Arial"/>
          <w:sz w:val="22"/>
          <w:szCs w:val="22"/>
        </w:rPr>
        <w:t xml:space="preserve"> frameworks that diminish the contextual incarceration of offender. Changing these frameworks is the first step to obtain the support of the public and the politicians’ support for the prefaced funding by national commissioning. Partnering with Nacro, User Voice and the Revolving Doors Agency, the H2HNS will voice the lived experience by social media and community engagement. The community is encouraged to attend the ICS commissioning consultations and support the relevant charities. The community is also encouraged to advocate for health care investments to their elected representatives on the behalf of those who may be released from prison.</w:t>
      </w:r>
      <w:r>
        <w:rPr>
          <w:rFonts w:ascii="Arial" w:hAnsi="Arial" w:cs="Arial"/>
          <w:sz w:val="22"/>
          <w:szCs w:val="22"/>
        </w:rPr>
        <w:t xml:space="preserve"> </w:t>
      </w:r>
    </w:p>
    <w:p w14:paraId="1052B22B" w14:textId="77777777" w:rsidR="00FA4918" w:rsidRDefault="00FA4918" w:rsidP="00FA4918">
      <w:pPr>
        <w:rPr>
          <w:rFonts w:ascii="Arial" w:hAnsi="Arial" w:cs="Arial"/>
          <w:sz w:val="22"/>
          <w:szCs w:val="22"/>
        </w:rPr>
      </w:pPr>
    </w:p>
    <w:p w14:paraId="2C2A29D5" w14:textId="34B87736" w:rsidR="00FA4918" w:rsidRPr="00FA4918" w:rsidRDefault="00FA4918" w:rsidP="00FA4918">
      <w:pPr>
        <w:rPr>
          <w:rFonts w:ascii="Arial" w:hAnsi="Arial" w:cs="Arial"/>
          <w:sz w:val="22"/>
          <w:szCs w:val="22"/>
        </w:rPr>
      </w:pPr>
      <w:r w:rsidRPr="00FA4918">
        <w:rPr>
          <w:rFonts w:ascii="Arial" w:hAnsi="Arial" w:cs="Arial"/>
          <w:sz w:val="22"/>
          <w:szCs w:val="22"/>
        </w:rPr>
        <w:t xml:space="preserve">Critical Analysis. </w:t>
      </w:r>
    </w:p>
    <w:p w14:paraId="74762847" w14:textId="23C223EB" w:rsidR="00FA4918" w:rsidRDefault="00FA4918" w:rsidP="00FA4918">
      <w:pPr>
        <w:rPr>
          <w:rFonts w:ascii="Arial" w:hAnsi="Arial" w:cs="Arial"/>
          <w:sz w:val="22"/>
          <w:szCs w:val="22"/>
        </w:rPr>
      </w:pPr>
      <w:r w:rsidRPr="00FA4918">
        <w:rPr>
          <w:rFonts w:ascii="Arial" w:hAnsi="Arial" w:cs="Arial"/>
          <w:sz w:val="22"/>
          <w:szCs w:val="22"/>
        </w:rPr>
        <w:t xml:space="preserve">The Braun </w:t>
      </w:r>
      <w:proofErr w:type="gramStart"/>
      <w:r w:rsidRPr="00FA4918">
        <w:rPr>
          <w:rFonts w:ascii="Arial" w:hAnsi="Arial" w:cs="Arial"/>
          <w:sz w:val="22"/>
          <w:szCs w:val="22"/>
        </w:rPr>
        <w:t>et al.(</w:t>
      </w:r>
      <w:proofErr w:type="gramEnd"/>
      <w:r w:rsidRPr="00FA4918">
        <w:rPr>
          <w:rFonts w:ascii="Arial" w:hAnsi="Arial" w:cs="Arial"/>
          <w:sz w:val="22"/>
          <w:szCs w:val="22"/>
        </w:rPr>
        <w:t xml:space="preserve">2020,) evidence base shows patient navigation interventions are effective at helping patients access care and reducing delays to service use. As with any evidence base, it has limitations. The resource demands of the model mean that universal provision is not a viable option without some form of risk stratification. The AI tool addresses this </w:t>
      </w:r>
      <w:proofErr w:type="gramStart"/>
      <w:r w:rsidRPr="00FA4918">
        <w:rPr>
          <w:rFonts w:ascii="Arial" w:hAnsi="Arial" w:cs="Arial"/>
          <w:sz w:val="22"/>
          <w:szCs w:val="22"/>
        </w:rPr>
        <w:t>demand, but</w:t>
      </w:r>
      <w:proofErr w:type="gramEnd"/>
      <w:r w:rsidRPr="00FA4918">
        <w:rPr>
          <w:rFonts w:ascii="Arial" w:hAnsi="Arial" w:cs="Arial"/>
          <w:sz w:val="22"/>
          <w:szCs w:val="22"/>
        </w:rPr>
        <w:t xml:space="preserve"> brings the challenge of potentially sustained algorithmic bias which will require independent oversight from the beginning. Up to now, there has been little to no specific information sharing agreements between the NHS, HMPPS, and Local Authorities. This will require ICS level agreements. From an ethical standpoint, we need to balance the tension between integration and surveillance. There can be no compromise on clinical confidentiality and there is a complete ban on coordination of information to the justice sector. Staff must receive trauma-based training, as there is an institutional lack, to help understand that the provision of care will be a long, engaging, and non-judgemental process before a therapeutic alliance can even be considered (Sweeney, 2019).</w:t>
      </w:r>
      <w:r>
        <w:rPr>
          <w:rFonts w:ascii="Arial" w:hAnsi="Arial" w:cs="Arial"/>
          <w:sz w:val="22"/>
          <w:szCs w:val="22"/>
        </w:rPr>
        <w:t xml:space="preserve"> </w:t>
      </w:r>
    </w:p>
    <w:p w14:paraId="1D0BAE34" w14:textId="77777777" w:rsidR="00FA4918" w:rsidRDefault="00FA4918" w:rsidP="00FA4918">
      <w:pPr>
        <w:rPr>
          <w:rFonts w:ascii="Arial" w:hAnsi="Arial" w:cs="Arial"/>
          <w:sz w:val="22"/>
          <w:szCs w:val="22"/>
        </w:rPr>
      </w:pPr>
    </w:p>
    <w:p w14:paraId="16B741BE" w14:textId="77777777" w:rsidR="00FA4918" w:rsidRDefault="00FA4918" w:rsidP="00FA4918">
      <w:pPr>
        <w:rPr>
          <w:rFonts w:ascii="Arial" w:hAnsi="Arial" w:cs="Arial"/>
          <w:sz w:val="22"/>
          <w:szCs w:val="22"/>
        </w:rPr>
      </w:pPr>
      <w:r w:rsidRPr="00FA4918">
        <w:rPr>
          <w:rFonts w:ascii="Arial" w:hAnsi="Arial" w:cs="Arial"/>
          <w:sz w:val="22"/>
          <w:szCs w:val="22"/>
        </w:rPr>
        <w:t>Conclusion</w:t>
      </w:r>
    </w:p>
    <w:p w14:paraId="3F3DC527" w14:textId="6C8A74FF" w:rsidR="00FA4918" w:rsidRDefault="00FA4918" w:rsidP="00FA4918">
      <w:pPr>
        <w:rPr>
          <w:rFonts w:ascii="Arial" w:hAnsi="Arial" w:cs="Arial"/>
          <w:sz w:val="22"/>
          <w:szCs w:val="22"/>
        </w:rPr>
      </w:pPr>
      <w:r w:rsidRPr="00FA4918">
        <w:rPr>
          <w:rFonts w:ascii="Arial" w:hAnsi="Arial" w:cs="Arial"/>
          <w:sz w:val="22"/>
          <w:szCs w:val="22"/>
        </w:rPr>
        <w:lastRenderedPageBreak/>
        <w:t>The H2HNS aligns evidence with an innovative solution to a long-standing and underserved health inequality. The H2HNS addresses a significant gap with the professional embedded at the nexus of prison, NHS and community systems. The gradual introduction of H2HNS with policy, timelines, and real co-production will help articulate the structural issues that mean thousands of people are left with no care at the most vulnerable time in their lives. This is neither a charitable nor an altruistic request to people in power. The H2HNS makes the case for a rational response to the overwhelming evidence of the existence of a group of people, their right to care being as equal to any NHS patient. The H2HNS challenges the perception that being in contact with the criminal justice system negates your right to access the health services provided. Implementing the H2HNS is a real opportunity to show that with the principles of the NHS are alive and well in England's health and social care services.</w:t>
      </w:r>
    </w:p>
    <w:p w14:paraId="56DAD135" w14:textId="77777777" w:rsidR="00350ADE" w:rsidRDefault="00350ADE" w:rsidP="00350ADE">
      <w:pPr>
        <w:rPr>
          <w:rFonts w:ascii="Arial" w:hAnsi="Arial" w:cs="Arial"/>
          <w:sz w:val="22"/>
          <w:szCs w:val="22"/>
        </w:rPr>
      </w:pPr>
    </w:p>
    <w:p w14:paraId="48A42685" w14:textId="77777777" w:rsidR="00350ADE" w:rsidRPr="00350ADE" w:rsidRDefault="00350ADE" w:rsidP="00350ADE">
      <w:pPr>
        <w:rPr>
          <w:rFonts w:ascii="Arial" w:hAnsi="Arial" w:cs="Arial"/>
          <w:sz w:val="22"/>
          <w:szCs w:val="22"/>
        </w:rPr>
      </w:pPr>
      <w:r w:rsidRPr="00350ADE">
        <w:rPr>
          <w:rFonts w:ascii="Arial" w:hAnsi="Arial" w:cs="Arial"/>
          <w:sz w:val="22"/>
          <w:szCs w:val="22"/>
        </w:rPr>
        <w:t xml:space="preserve">References. </w:t>
      </w:r>
    </w:p>
    <w:p w14:paraId="5C6695C8" w14:textId="77777777" w:rsidR="00350ADE" w:rsidRPr="00350ADE" w:rsidRDefault="00350ADE" w:rsidP="00350ADE">
      <w:pPr>
        <w:rPr>
          <w:rFonts w:ascii="Arial" w:hAnsi="Arial" w:cs="Arial"/>
          <w:sz w:val="22"/>
          <w:szCs w:val="22"/>
        </w:rPr>
      </w:pPr>
    </w:p>
    <w:p w14:paraId="668CEED9" w14:textId="77777777" w:rsidR="00350ADE" w:rsidRPr="00350ADE" w:rsidRDefault="00350ADE" w:rsidP="00350ADE">
      <w:pPr>
        <w:rPr>
          <w:rFonts w:ascii="Arial" w:hAnsi="Arial" w:cs="Arial"/>
          <w:sz w:val="22"/>
          <w:szCs w:val="22"/>
        </w:rPr>
      </w:pPr>
      <w:proofErr w:type="spellStart"/>
      <w:r w:rsidRPr="00350ADE">
        <w:rPr>
          <w:rFonts w:ascii="Arial" w:hAnsi="Arial" w:cs="Arial"/>
          <w:sz w:val="22"/>
          <w:szCs w:val="22"/>
        </w:rPr>
        <w:t>Batalden</w:t>
      </w:r>
      <w:proofErr w:type="spellEnd"/>
      <w:r w:rsidRPr="00350ADE">
        <w:rPr>
          <w:rFonts w:ascii="Arial" w:hAnsi="Arial" w:cs="Arial"/>
          <w:sz w:val="22"/>
          <w:szCs w:val="22"/>
        </w:rPr>
        <w:t xml:space="preserve">, M., </w:t>
      </w:r>
      <w:proofErr w:type="spellStart"/>
      <w:r w:rsidRPr="00350ADE">
        <w:rPr>
          <w:rFonts w:ascii="Arial" w:hAnsi="Arial" w:cs="Arial"/>
          <w:sz w:val="22"/>
          <w:szCs w:val="22"/>
        </w:rPr>
        <w:t>Batalden</w:t>
      </w:r>
      <w:proofErr w:type="spellEnd"/>
      <w:r w:rsidRPr="00350ADE">
        <w:rPr>
          <w:rFonts w:ascii="Arial" w:hAnsi="Arial" w:cs="Arial"/>
          <w:sz w:val="22"/>
          <w:szCs w:val="22"/>
        </w:rPr>
        <w:t xml:space="preserve">, P., Margolis, P., Seid, M., Armstrong, G., </w:t>
      </w:r>
      <w:proofErr w:type="spellStart"/>
      <w:r w:rsidRPr="00350ADE">
        <w:rPr>
          <w:rFonts w:ascii="Arial" w:hAnsi="Arial" w:cs="Arial"/>
          <w:sz w:val="22"/>
          <w:szCs w:val="22"/>
        </w:rPr>
        <w:t>Opipari-Arrigan</w:t>
      </w:r>
      <w:proofErr w:type="spellEnd"/>
      <w:r w:rsidRPr="00350ADE">
        <w:rPr>
          <w:rFonts w:ascii="Arial" w:hAnsi="Arial" w:cs="Arial"/>
          <w:sz w:val="22"/>
          <w:szCs w:val="22"/>
        </w:rPr>
        <w:t>, L. and Hartung, H. (2016) 'Coproduction of healthcare service', BMJ Quality &amp; Safety, 25(7), pp. 509–517.</w:t>
      </w:r>
    </w:p>
    <w:p w14:paraId="47B3E8D4" w14:textId="77777777" w:rsidR="00350ADE" w:rsidRPr="00350ADE" w:rsidRDefault="00350ADE" w:rsidP="00350ADE">
      <w:pPr>
        <w:rPr>
          <w:rFonts w:ascii="Arial" w:hAnsi="Arial" w:cs="Arial"/>
          <w:sz w:val="22"/>
          <w:szCs w:val="22"/>
        </w:rPr>
      </w:pPr>
      <w:r w:rsidRPr="00350ADE">
        <w:rPr>
          <w:rFonts w:ascii="Arial" w:hAnsi="Arial" w:cs="Arial"/>
          <w:sz w:val="22"/>
          <w:szCs w:val="22"/>
        </w:rPr>
        <w:t xml:space="preserve">Braun, K.L., Kagawa-Singer, M., Holden, A.E.C., </w:t>
      </w:r>
      <w:proofErr w:type="spellStart"/>
      <w:r w:rsidRPr="00350ADE">
        <w:rPr>
          <w:rFonts w:ascii="Arial" w:hAnsi="Arial" w:cs="Arial"/>
          <w:sz w:val="22"/>
          <w:szCs w:val="22"/>
        </w:rPr>
        <w:t>Burhansstipanov</w:t>
      </w:r>
      <w:proofErr w:type="spellEnd"/>
      <w:r w:rsidRPr="00350ADE">
        <w:rPr>
          <w:rFonts w:ascii="Arial" w:hAnsi="Arial" w:cs="Arial"/>
          <w:sz w:val="22"/>
          <w:szCs w:val="22"/>
        </w:rPr>
        <w:t xml:space="preserve">, L., Tran, J.H., Seals, B.F., Corbie-Smith, G., </w:t>
      </w:r>
      <w:proofErr w:type="spellStart"/>
      <w:r w:rsidRPr="00350ADE">
        <w:rPr>
          <w:rFonts w:ascii="Arial" w:hAnsi="Arial" w:cs="Arial"/>
          <w:sz w:val="22"/>
          <w:szCs w:val="22"/>
        </w:rPr>
        <w:t>Tsark</w:t>
      </w:r>
      <w:proofErr w:type="spellEnd"/>
      <w:r w:rsidRPr="00350ADE">
        <w:rPr>
          <w:rFonts w:ascii="Arial" w:hAnsi="Arial" w:cs="Arial"/>
          <w:sz w:val="22"/>
          <w:szCs w:val="22"/>
        </w:rPr>
        <w:t>, J.A., Harjo, L., Foo, M.A. and Ramirez, A.G. (2020) 'Cancer patient navigator tasks across the cancer care continuum', Journal of Health Care for the Poor and Underserved, 23(1), pp. 398–413.</w:t>
      </w:r>
    </w:p>
    <w:p w14:paraId="5BF7D95E" w14:textId="77777777" w:rsidR="00350ADE" w:rsidRPr="00350ADE" w:rsidRDefault="00350ADE" w:rsidP="00350ADE">
      <w:pPr>
        <w:rPr>
          <w:rFonts w:ascii="Arial" w:hAnsi="Arial" w:cs="Arial"/>
          <w:sz w:val="22"/>
          <w:szCs w:val="22"/>
        </w:rPr>
      </w:pPr>
      <w:r w:rsidRPr="00350ADE">
        <w:rPr>
          <w:rFonts w:ascii="Arial" w:hAnsi="Arial" w:cs="Arial"/>
          <w:sz w:val="22"/>
          <w:szCs w:val="22"/>
        </w:rPr>
        <w:t>Care Act 2014. c.23. London: The Stationery Office.</w:t>
      </w:r>
    </w:p>
    <w:p w14:paraId="4E5AC882" w14:textId="77777777" w:rsidR="00350ADE" w:rsidRPr="00350ADE" w:rsidRDefault="00350ADE" w:rsidP="00350ADE">
      <w:pPr>
        <w:rPr>
          <w:rFonts w:ascii="Arial" w:hAnsi="Arial" w:cs="Arial"/>
          <w:sz w:val="22"/>
          <w:szCs w:val="22"/>
        </w:rPr>
      </w:pPr>
      <w:r w:rsidRPr="00350ADE">
        <w:rPr>
          <w:rFonts w:ascii="Arial" w:hAnsi="Arial" w:cs="Arial"/>
          <w:sz w:val="22"/>
          <w:szCs w:val="22"/>
        </w:rPr>
        <w:t xml:space="preserve">Disley, E., Taylor, C., Kruithof, K., Winpenny, E., Liddle, M., Sutherland, A., </w:t>
      </w:r>
      <w:proofErr w:type="spellStart"/>
      <w:r w:rsidRPr="00350ADE">
        <w:rPr>
          <w:rFonts w:ascii="Arial" w:hAnsi="Arial" w:cs="Arial"/>
          <w:sz w:val="22"/>
          <w:szCs w:val="22"/>
        </w:rPr>
        <w:t>Lilford</w:t>
      </w:r>
      <w:proofErr w:type="spellEnd"/>
      <w:r w:rsidRPr="00350ADE">
        <w:rPr>
          <w:rFonts w:ascii="Arial" w:hAnsi="Arial" w:cs="Arial"/>
          <w:sz w:val="22"/>
          <w:szCs w:val="22"/>
        </w:rPr>
        <w:t>, R., Wright, S., McAteer, L. and Francis, V. (2021) Evaluation of the Offender Liaison and Diversion Trial Schemes. London: RAND Europe/Ministry of Justice.</w:t>
      </w:r>
    </w:p>
    <w:p w14:paraId="0BCB0982" w14:textId="77777777" w:rsidR="00350ADE" w:rsidRPr="00350ADE" w:rsidRDefault="00350ADE" w:rsidP="00350ADE">
      <w:pPr>
        <w:rPr>
          <w:rFonts w:ascii="Arial" w:hAnsi="Arial" w:cs="Arial"/>
          <w:sz w:val="22"/>
          <w:szCs w:val="22"/>
        </w:rPr>
      </w:pPr>
      <w:r w:rsidRPr="00350ADE">
        <w:rPr>
          <w:rFonts w:ascii="Arial" w:hAnsi="Arial" w:cs="Arial"/>
          <w:sz w:val="22"/>
          <w:szCs w:val="22"/>
        </w:rPr>
        <w:t>Equality Act 2010. c.15. London: The Stationery Office.</w:t>
      </w:r>
    </w:p>
    <w:p w14:paraId="07387162" w14:textId="77777777" w:rsidR="00350ADE" w:rsidRPr="00350ADE" w:rsidRDefault="00350ADE" w:rsidP="00350ADE">
      <w:pPr>
        <w:rPr>
          <w:rFonts w:ascii="Arial" w:hAnsi="Arial" w:cs="Arial"/>
          <w:sz w:val="22"/>
          <w:szCs w:val="22"/>
        </w:rPr>
      </w:pPr>
      <w:r w:rsidRPr="00350ADE">
        <w:rPr>
          <w:rFonts w:ascii="Arial" w:hAnsi="Arial" w:cs="Arial"/>
          <w:sz w:val="22"/>
          <w:szCs w:val="22"/>
        </w:rPr>
        <w:t>Health and Care Act 2022. c.31. London: The Stationery Office.</w:t>
      </w:r>
    </w:p>
    <w:p w14:paraId="1B627613" w14:textId="77777777" w:rsidR="00350ADE" w:rsidRPr="00350ADE" w:rsidRDefault="00350ADE" w:rsidP="00350ADE">
      <w:pPr>
        <w:rPr>
          <w:rFonts w:ascii="Arial" w:hAnsi="Arial" w:cs="Arial"/>
          <w:sz w:val="22"/>
          <w:szCs w:val="22"/>
        </w:rPr>
      </w:pPr>
      <w:r w:rsidRPr="00350ADE">
        <w:rPr>
          <w:rFonts w:ascii="Arial" w:hAnsi="Arial" w:cs="Arial"/>
          <w:sz w:val="22"/>
          <w:szCs w:val="22"/>
        </w:rPr>
        <w:t>King's Fund (2022) Integrated care systems explained. London: The King's Fund.</w:t>
      </w:r>
    </w:p>
    <w:p w14:paraId="2B587698" w14:textId="77777777" w:rsidR="00350ADE" w:rsidRPr="00350ADE" w:rsidRDefault="00350ADE" w:rsidP="00350ADE">
      <w:pPr>
        <w:rPr>
          <w:rFonts w:ascii="Arial" w:hAnsi="Arial" w:cs="Arial"/>
          <w:sz w:val="22"/>
          <w:szCs w:val="22"/>
        </w:rPr>
      </w:pPr>
      <w:proofErr w:type="spellStart"/>
      <w:r w:rsidRPr="00350ADE">
        <w:rPr>
          <w:rFonts w:ascii="Arial" w:hAnsi="Arial" w:cs="Arial"/>
          <w:sz w:val="22"/>
          <w:szCs w:val="22"/>
        </w:rPr>
        <w:t>Merrall</w:t>
      </w:r>
      <w:proofErr w:type="spellEnd"/>
      <w:r w:rsidRPr="00350ADE">
        <w:rPr>
          <w:rFonts w:ascii="Arial" w:hAnsi="Arial" w:cs="Arial"/>
          <w:sz w:val="22"/>
          <w:szCs w:val="22"/>
        </w:rPr>
        <w:t xml:space="preserve">, E.L.C., </w:t>
      </w:r>
      <w:proofErr w:type="spellStart"/>
      <w:r w:rsidRPr="00350ADE">
        <w:rPr>
          <w:rFonts w:ascii="Arial" w:hAnsi="Arial" w:cs="Arial"/>
          <w:sz w:val="22"/>
          <w:szCs w:val="22"/>
        </w:rPr>
        <w:t>Kariminia</w:t>
      </w:r>
      <w:proofErr w:type="spellEnd"/>
      <w:r w:rsidRPr="00350ADE">
        <w:rPr>
          <w:rFonts w:ascii="Arial" w:hAnsi="Arial" w:cs="Arial"/>
          <w:sz w:val="22"/>
          <w:szCs w:val="22"/>
        </w:rPr>
        <w:t>, A., Binswanger, I.A., Hobbs, M.S., Farrell, M., Marsden, J., Hutchinson, S.J. and Bird, S.M. (2020) 'Meta-analysis of drug-related deaths soon after release from prison', Addiction, 105(9), pp. 1545–1554.</w:t>
      </w:r>
    </w:p>
    <w:p w14:paraId="7BCA67D4" w14:textId="77777777" w:rsidR="00350ADE" w:rsidRPr="00350ADE" w:rsidRDefault="00350ADE" w:rsidP="00350ADE">
      <w:pPr>
        <w:rPr>
          <w:rFonts w:ascii="Arial" w:hAnsi="Arial" w:cs="Arial"/>
          <w:sz w:val="22"/>
          <w:szCs w:val="22"/>
        </w:rPr>
      </w:pPr>
      <w:r w:rsidRPr="00350ADE">
        <w:rPr>
          <w:rFonts w:ascii="Arial" w:hAnsi="Arial" w:cs="Arial"/>
          <w:sz w:val="22"/>
          <w:szCs w:val="22"/>
        </w:rPr>
        <w:t>Ministry of Justice (2023) Offender management statistics quarterly, England and Wales. London: Ministry of Justice.</w:t>
      </w:r>
    </w:p>
    <w:p w14:paraId="1EFE1C37" w14:textId="77777777" w:rsidR="00350ADE" w:rsidRPr="00350ADE" w:rsidRDefault="00350ADE" w:rsidP="00350ADE">
      <w:pPr>
        <w:rPr>
          <w:rFonts w:ascii="Arial" w:hAnsi="Arial" w:cs="Arial"/>
          <w:sz w:val="22"/>
          <w:szCs w:val="22"/>
        </w:rPr>
      </w:pPr>
      <w:r w:rsidRPr="00350ADE">
        <w:rPr>
          <w:rFonts w:ascii="Arial" w:hAnsi="Arial" w:cs="Arial"/>
          <w:sz w:val="22"/>
          <w:szCs w:val="22"/>
        </w:rPr>
        <w:t>NHS England (2019) The NHS Long Term Plan. London: NHS England.</w:t>
      </w:r>
    </w:p>
    <w:p w14:paraId="158D288C" w14:textId="77777777" w:rsidR="00350ADE" w:rsidRPr="00350ADE" w:rsidRDefault="00350ADE" w:rsidP="00350ADE">
      <w:pPr>
        <w:rPr>
          <w:rFonts w:ascii="Arial" w:hAnsi="Arial" w:cs="Arial"/>
          <w:sz w:val="22"/>
          <w:szCs w:val="22"/>
        </w:rPr>
      </w:pPr>
      <w:r w:rsidRPr="00350ADE">
        <w:rPr>
          <w:rFonts w:ascii="Arial" w:hAnsi="Arial" w:cs="Arial"/>
          <w:sz w:val="22"/>
          <w:szCs w:val="22"/>
        </w:rPr>
        <w:t>NHS England (2022) Health and justice: commissioning guidance for prison healthcare in England. London: NHS England.</w:t>
      </w:r>
    </w:p>
    <w:p w14:paraId="63595009" w14:textId="77777777" w:rsidR="00350ADE" w:rsidRPr="00350ADE" w:rsidRDefault="00350ADE" w:rsidP="00350ADE">
      <w:pPr>
        <w:rPr>
          <w:rFonts w:ascii="Arial" w:hAnsi="Arial" w:cs="Arial"/>
          <w:sz w:val="22"/>
          <w:szCs w:val="22"/>
        </w:rPr>
      </w:pPr>
      <w:r w:rsidRPr="00350ADE">
        <w:rPr>
          <w:rFonts w:ascii="Arial" w:hAnsi="Arial" w:cs="Arial"/>
          <w:sz w:val="22"/>
          <w:szCs w:val="22"/>
        </w:rPr>
        <w:t>NICE (2017) Integrated health and social care for people experiencing homelessness. NICE guideline NG52. London: National Institute for Health and Care Excellence.</w:t>
      </w:r>
    </w:p>
    <w:p w14:paraId="7460468D" w14:textId="77777777" w:rsidR="00350ADE" w:rsidRPr="00350ADE" w:rsidRDefault="00350ADE" w:rsidP="00350ADE">
      <w:pPr>
        <w:rPr>
          <w:rFonts w:ascii="Arial" w:hAnsi="Arial" w:cs="Arial"/>
          <w:sz w:val="22"/>
          <w:szCs w:val="22"/>
        </w:rPr>
      </w:pPr>
      <w:r w:rsidRPr="00350ADE">
        <w:rPr>
          <w:rFonts w:ascii="Arial" w:hAnsi="Arial" w:cs="Arial"/>
          <w:sz w:val="22"/>
          <w:szCs w:val="22"/>
        </w:rPr>
        <w:lastRenderedPageBreak/>
        <w:t>Public Health England (2021) Rapid review of evidence: health needs of people in contact with the criminal justice system. London: PHE.</w:t>
      </w:r>
    </w:p>
    <w:p w14:paraId="2C7F94E5" w14:textId="77777777" w:rsidR="00350ADE" w:rsidRPr="00350ADE" w:rsidRDefault="00350ADE" w:rsidP="00350ADE">
      <w:pPr>
        <w:rPr>
          <w:rFonts w:ascii="Arial" w:hAnsi="Arial" w:cs="Arial"/>
          <w:sz w:val="22"/>
          <w:szCs w:val="22"/>
        </w:rPr>
      </w:pPr>
      <w:r w:rsidRPr="00350ADE">
        <w:rPr>
          <w:rFonts w:ascii="Arial" w:hAnsi="Arial" w:cs="Arial"/>
          <w:sz w:val="22"/>
          <w:szCs w:val="22"/>
        </w:rPr>
        <w:t xml:space="preserve">Steel, Z., Chey, T., </w:t>
      </w:r>
      <w:proofErr w:type="spellStart"/>
      <w:r w:rsidRPr="00350ADE">
        <w:rPr>
          <w:rFonts w:ascii="Arial" w:hAnsi="Arial" w:cs="Arial"/>
          <w:sz w:val="22"/>
          <w:szCs w:val="22"/>
        </w:rPr>
        <w:t>Silove</w:t>
      </w:r>
      <w:proofErr w:type="spellEnd"/>
      <w:r w:rsidRPr="00350ADE">
        <w:rPr>
          <w:rFonts w:ascii="Arial" w:hAnsi="Arial" w:cs="Arial"/>
          <w:sz w:val="22"/>
          <w:szCs w:val="22"/>
        </w:rPr>
        <w:t>, D., Marnane, C., Bryant, R.A. and van Ommeren, M. (2020) 'Association of torture and other potentially traumatic events with mental health outcomes', JAMA, 302(5), pp. 537–549.</w:t>
      </w:r>
    </w:p>
    <w:p w14:paraId="357FF0D4" w14:textId="77777777" w:rsidR="00350ADE" w:rsidRPr="00350ADE" w:rsidRDefault="00350ADE" w:rsidP="00350ADE">
      <w:pPr>
        <w:rPr>
          <w:rFonts w:ascii="Arial" w:hAnsi="Arial" w:cs="Arial"/>
          <w:sz w:val="22"/>
          <w:szCs w:val="22"/>
        </w:rPr>
      </w:pPr>
      <w:r w:rsidRPr="00350ADE">
        <w:rPr>
          <w:rFonts w:ascii="Arial" w:hAnsi="Arial" w:cs="Arial"/>
          <w:sz w:val="22"/>
          <w:szCs w:val="22"/>
        </w:rPr>
        <w:t>Sweeney, A., Clement, S., Filson, B. and Kennedy, A. (2019) 'Trauma-informed mental healthcare in the UK: what is it and how can we further its development?', Mental Health Review Journal, 21(3), pp. 174–192.</w:t>
      </w:r>
    </w:p>
    <w:p w14:paraId="3695EE7A" w14:textId="0846D47A" w:rsidR="00350ADE" w:rsidRPr="00213311" w:rsidRDefault="00350ADE" w:rsidP="00350ADE">
      <w:pPr>
        <w:rPr>
          <w:rFonts w:ascii="Arial" w:hAnsi="Arial" w:cs="Arial"/>
          <w:sz w:val="22"/>
          <w:szCs w:val="22"/>
        </w:rPr>
      </w:pPr>
      <w:r w:rsidRPr="00350ADE">
        <w:rPr>
          <w:rFonts w:ascii="Arial" w:hAnsi="Arial" w:cs="Arial"/>
          <w:sz w:val="22"/>
          <w:szCs w:val="22"/>
        </w:rPr>
        <w:t>UK General Data Protection Regulation (UK GDPR) 2018. London: The Stationery Office.</w:t>
      </w:r>
    </w:p>
    <w:sectPr w:rsidR="00350ADE" w:rsidRPr="00213311">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53C147" w14:textId="77777777" w:rsidR="001663DE" w:rsidRDefault="001663DE" w:rsidP="00213311">
      <w:pPr>
        <w:spacing w:after="0" w:line="240" w:lineRule="auto"/>
      </w:pPr>
      <w:r>
        <w:separator/>
      </w:r>
    </w:p>
  </w:endnote>
  <w:endnote w:type="continuationSeparator" w:id="0">
    <w:p w14:paraId="528969E0" w14:textId="77777777" w:rsidR="001663DE" w:rsidRDefault="001663DE" w:rsidP="002133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41FD74" w14:textId="77777777" w:rsidR="001663DE" w:rsidRDefault="001663DE" w:rsidP="00213311">
      <w:pPr>
        <w:spacing w:after="0" w:line="240" w:lineRule="auto"/>
      </w:pPr>
      <w:r>
        <w:separator/>
      </w:r>
    </w:p>
  </w:footnote>
  <w:footnote w:type="continuationSeparator" w:id="0">
    <w:p w14:paraId="391D2295" w14:textId="77777777" w:rsidR="001663DE" w:rsidRDefault="001663DE" w:rsidP="002133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7129060"/>
      <w:docPartObj>
        <w:docPartGallery w:val="Page Numbers (Top of Page)"/>
        <w:docPartUnique/>
      </w:docPartObj>
    </w:sdtPr>
    <w:sdtEndPr>
      <w:rPr>
        <w:noProof/>
      </w:rPr>
    </w:sdtEndPr>
    <w:sdtContent>
      <w:p w14:paraId="5881859D" w14:textId="38C66AAC" w:rsidR="00213311" w:rsidRDefault="0021331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6B733D8" w14:textId="77777777" w:rsidR="00213311" w:rsidRDefault="002133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311"/>
    <w:rsid w:val="00001E89"/>
    <w:rsid w:val="000029E1"/>
    <w:rsid w:val="00112446"/>
    <w:rsid w:val="00150DF3"/>
    <w:rsid w:val="001663DE"/>
    <w:rsid w:val="001D5636"/>
    <w:rsid w:val="001D6487"/>
    <w:rsid w:val="001F7DD8"/>
    <w:rsid w:val="0020669E"/>
    <w:rsid w:val="00213311"/>
    <w:rsid w:val="002226B5"/>
    <w:rsid w:val="0028704F"/>
    <w:rsid w:val="002D476A"/>
    <w:rsid w:val="00320508"/>
    <w:rsid w:val="00335922"/>
    <w:rsid w:val="00340C5E"/>
    <w:rsid w:val="00350ADE"/>
    <w:rsid w:val="003A6A07"/>
    <w:rsid w:val="003D6648"/>
    <w:rsid w:val="003E4937"/>
    <w:rsid w:val="004A51AB"/>
    <w:rsid w:val="00552447"/>
    <w:rsid w:val="0071796B"/>
    <w:rsid w:val="00753216"/>
    <w:rsid w:val="007A3C5F"/>
    <w:rsid w:val="008034BB"/>
    <w:rsid w:val="0085301A"/>
    <w:rsid w:val="008E3A03"/>
    <w:rsid w:val="008F480F"/>
    <w:rsid w:val="00966815"/>
    <w:rsid w:val="00975D46"/>
    <w:rsid w:val="00980179"/>
    <w:rsid w:val="00AB2A35"/>
    <w:rsid w:val="00B87361"/>
    <w:rsid w:val="00C9447A"/>
    <w:rsid w:val="00CB1641"/>
    <w:rsid w:val="00CE685E"/>
    <w:rsid w:val="00D555CC"/>
    <w:rsid w:val="00DD5A92"/>
    <w:rsid w:val="00DF7CC9"/>
    <w:rsid w:val="00EA0451"/>
    <w:rsid w:val="00F6143C"/>
    <w:rsid w:val="00FA49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7EE3E"/>
  <w15:chartTrackingRefBased/>
  <w15:docId w15:val="{C1101014-E259-4C86-87ED-6489726BC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33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33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33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33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33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33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33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33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33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33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33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33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33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33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33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33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33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3311"/>
    <w:rPr>
      <w:rFonts w:eastAsiaTheme="majorEastAsia" w:cstheme="majorBidi"/>
      <w:color w:val="272727" w:themeColor="text1" w:themeTint="D8"/>
    </w:rPr>
  </w:style>
  <w:style w:type="paragraph" w:styleId="Title">
    <w:name w:val="Title"/>
    <w:basedOn w:val="Normal"/>
    <w:next w:val="Normal"/>
    <w:link w:val="TitleChar"/>
    <w:uiPriority w:val="10"/>
    <w:qFormat/>
    <w:rsid w:val="002133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33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33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33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3311"/>
    <w:pPr>
      <w:spacing w:before="160"/>
      <w:jc w:val="center"/>
    </w:pPr>
    <w:rPr>
      <w:i/>
      <w:iCs/>
      <w:color w:val="404040" w:themeColor="text1" w:themeTint="BF"/>
    </w:rPr>
  </w:style>
  <w:style w:type="character" w:customStyle="1" w:styleId="QuoteChar">
    <w:name w:val="Quote Char"/>
    <w:basedOn w:val="DefaultParagraphFont"/>
    <w:link w:val="Quote"/>
    <w:uiPriority w:val="29"/>
    <w:rsid w:val="00213311"/>
    <w:rPr>
      <w:i/>
      <w:iCs/>
      <w:color w:val="404040" w:themeColor="text1" w:themeTint="BF"/>
    </w:rPr>
  </w:style>
  <w:style w:type="paragraph" w:styleId="ListParagraph">
    <w:name w:val="List Paragraph"/>
    <w:basedOn w:val="Normal"/>
    <w:uiPriority w:val="34"/>
    <w:qFormat/>
    <w:rsid w:val="00213311"/>
    <w:pPr>
      <w:ind w:left="720"/>
      <w:contextualSpacing/>
    </w:pPr>
  </w:style>
  <w:style w:type="character" w:styleId="IntenseEmphasis">
    <w:name w:val="Intense Emphasis"/>
    <w:basedOn w:val="DefaultParagraphFont"/>
    <w:uiPriority w:val="21"/>
    <w:qFormat/>
    <w:rsid w:val="00213311"/>
    <w:rPr>
      <w:i/>
      <w:iCs/>
      <w:color w:val="0F4761" w:themeColor="accent1" w:themeShade="BF"/>
    </w:rPr>
  </w:style>
  <w:style w:type="paragraph" w:styleId="IntenseQuote">
    <w:name w:val="Intense Quote"/>
    <w:basedOn w:val="Normal"/>
    <w:next w:val="Normal"/>
    <w:link w:val="IntenseQuoteChar"/>
    <w:uiPriority w:val="30"/>
    <w:qFormat/>
    <w:rsid w:val="002133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3311"/>
    <w:rPr>
      <w:i/>
      <w:iCs/>
      <w:color w:val="0F4761" w:themeColor="accent1" w:themeShade="BF"/>
    </w:rPr>
  </w:style>
  <w:style w:type="character" w:styleId="IntenseReference">
    <w:name w:val="Intense Reference"/>
    <w:basedOn w:val="DefaultParagraphFont"/>
    <w:uiPriority w:val="32"/>
    <w:qFormat/>
    <w:rsid w:val="00213311"/>
    <w:rPr>
      <w:b/>
      <w:bCs/>
      <w:smallCaps/>
      <w:color w:val="0F4761" w:themeColor="accent1" w:themeShade="BF"/>
      <w:spacing w:val="5"/>
    </w:rPr>
  </w:style>
  <w:style w:type="paragraph" w:styleId="Header">
    <w:name w:val="header"/>
    <w:basedOn w:val="Normal"/>
    <w:link w:val="HeaderChar"/>
    <w:uiPriority w:val="99"/>
    <w:unhideWhenUsed/>
    <w:rsid w:val="002133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3311"/>
  </w:style>
  <w:style w:type="paragraph" w:styleId="Footer">
    <w:name w:val="footer"/>
    <w:basedOn w:val="Normal"/>
    <w:link w:val="FooterChar"/>
    <w:uiPriority w:val="99"/>
    <w:unhideWhenUsed/>
    <w:rsid w:val="002133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33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261d2892f15b40d7eeb84b2ad146cbcd">
  <xsd:schema xmlns:xsd="http://www.w3.org/2001/XMLSchema" xmlns:xs="http://www.w3.org/2001/XMLSchema" xmlns:p="http://schemas.microsoft.com/office/2006/metadata/properties" xmlns:ns3="ccfc14db-0f45-423b-b2f5-752f8f8a0ada" targetNamespace="http://schemas.microsoft.com/office/2006/metadata/properties" ma:root="true" ma:fieldsID="2ad51a59005074aa92aa2d9734734212"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710E18B-AC87-4B82-A503-DE4F99E60019}">
  <ds:schemaRefs>
    <ds:schemaRef ds:uri="http://schemas.microsoft.com/office/2006/metadata/properties"/>
    <ds:schemaRef ds:uri="http://schemas.microsoft.com/office/infopath/2007/PartnerControls"/>
    <ds:schemaRef ds:uri="ccfc14db-0f45-423b-b2f5-752f8f8a0ada"/>
  </ds:schemaRefs>
</ds:datastoreItem>
</file>

<file path=customXml/itemProps2.xml><?xml version="1.0" encoding="utf-8"?>
<ds:datastoreItem xmlns:ds="http://schemas.openxmlformats.org/officeDocument/2006/customXml" ds:itemID="{86664D0F-8ACD-45E7-8ED9-5B89CE01E7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8DC2530-E1E0-4CF7-B97C-217CD840058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6</Pages>
  <Words>1672</Words>
  <Characters>9533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Nageen Khan (2424667)</dc:creator>
  <cp:keywords/>
  <dc:description/>
  <cp:lastModifiedBy>Nageen Khan (2424667)</cp:lastModifiedBy>
  <cp:revision>12</cp:revision>
  <dcterms:created xsi:type="dcterms:W3CDTF">2026-06-09T20:46:00Z</dcterms:created>
  <dcterms:modified xsi:type="dcterms:W3CDTF">2026-06-26T14:19:00Z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