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9014" w:type="dxa"/>
        <w:tblLook w:val="04A0" w:firstRow="1" w:lastRow="0" w:firstColumn="1" w:lastColumn="0" w:noHBand="0" w:noVBand="1"/>
      </w:tblPr>
      <w:tblGrid>
        <w:gridCol w:w="4306"/>
        <w:gridCol w:w="3477"/>
        <w:gridCol w:w="1231"/>
      </w:tblGrid>
      <w:tr w:rsidR="00C81B01" w14:paraId="40B3C396" w14:textId="77777777" w:rsidTr="008B0227">
        <w:trPr>
          <w:trHeight w:val="340"/>
        </w:trPr>
        <w:tc>
          <w:tcPr>
            <w:tcW w:w="4390" w:type="dxa"/>
            <w:vAlign w:val="center"/>
          </w:tcPr>
          <w:p w14:paraId="18AC46CB" w14:textId="26B9EE1C" w:rsidR="00C81B01" w:rsidRPr="00A55CFD" w:rsidRDefault="00C81B01" w:rsidP="00C81B01">
            <w:pPr>
              <w:jc w:val="center"/>
              <w:rPr>
                <w:rFonts w:ascii="Arial" w:hAnsi="Arial" w:cs="Arial"/>
                <w:b/>
                <w:bCs/>
                <w:sz w:val="22"/>
                <w:szCs w:val="22"/>
                <w:lang w:val="cy-GB"/>
              </w:rPr>
            </w:pPr>
            <w:r w:rsidRPr="00A55CFD">
              <w:rPr>
                <w:rFonts w:ascii="Arial" w:hAnsi="Arial" w:cs="Arial"/>
                <w:b/>
                <w:bCs/>
                <w:sz w:val="22"/>
                <w:szCs w:val="22"/>
                <w:lang w:val="cy-GB"/>
              </w:rPr>
              <w:t>Targed</w:t>
            </w:r>
          </w:p>
        </w:tc>
        <w:tc>
          <w:tcPr>
            <w:tcW w:w="3543" w:type="dxa"/>
            <w:vAlign w:val="center"/>
          </w:tcPr>
          <w:p w14:paraId="24249996" w14:textId="4AE1FFEA" w:rsidR="00C81B01" w:rsidRPr="00A55CFD" w:rsidRDefault="00C81B01" w:rsidP="00C81B01">
            <w:pPr>
              <w:jc w:val="center"/>
              <w:rPr>
                <w:rFonts w:ascii="Arial" w:hAnsi="Arial" w:cs="Arial"/>
                <w:b/>
                <w:bCs/>
                <w:sz w:val="22"/>
                <w:szCs w:val="22"/>
                <w:lang w:val="cy-GB"/>
              </w:rPr>
            </w:pPr>
            <w:r w:rsidRPr="00A55CFD">
              <w:rPr>
                <w:rFonts w:ascii="Arial" w:hAnsi="Arial" w:cs="Arial"/>
                <w:b/>
                <w:bCs/>
                <w:sz w:val="22"/>
                <w:szCs w:val="22"/>
                <w:lang w:val="cy-GB"/>
              </w:rPr>
              <w:t>Sut rydych wedi gweithio ar hwn?</w:t>
            </w:r>
          </w:p>
        </w:tc>
        <w:tc>
          <w:tcPr>
            <w:tcW w:w="1081" w:type="dxa"/>
            <w:vAlign w:val="center"/>
          </w:tcPr>
          <w:p w14:paraId="2B24E00B" w14:textId="5FCE7A0F" w:rsidR="00C81B01" w:rsidRPr="00A55CFD" w:rsidRDefault="00C81B01" w:rsidP="00C81B01">
            <w:pPr>
              <w:jc w:val="center"/>
              <w:rPr>
                <w:rFonts w:ascii="Arial" w:hAnsi="Arial" w:cs="Arial"/>
                <w:b/>
                <w:bCs/>
                <w:sz w:val="22"/>
                <w:szCs w:val="22"/>
                <w:lang w:val="cy-GB"/>
              </w:rPr>
            </w:pPr>
            <w:r w:rsidRPr="00A55CFD">
              <w:rPr>
                <w:rFonts w:ascii="Arial" w:hAnsi="Arial" w:cs="Arial"/>
                <w:b/>
                <w:bCs/>
                <w:sz w:val="22"/>
                <w:szCs w:val="22"/>
                <w:lang w:val="cy-GB"/>
              </w:rPr>
              <w:t>Ceir enghraifft ar...</w:t>
            </w:r>
          </w:p>
        </w:tc>
      </w:tr>
      <w:tr w:rsidR="00C81B01" w14:paraId="051FFC4D" w14:textId="77777777" w:rsidTr="008B0227">
        <w:tc>
          <w:tcPr>
            <w:tcW w:w="4390" w:type="dxa"/>
            <w:vAlign w:val="center"/>
          </w:tcPr>
          <w:p w14:paraId="4B63372B" w14:textId="67137895" w:rsidR="00C81B01" w:rsidRPr="002C277B" w:rsidRDefault="002C277B" w:rsidP="008B0227">
            <w:pPr>
              <w:spacing w:line="360" w:lineRule="auto"/>
              <w:rPr>
                <w:rFonts w:ascii="Arial" w:hAnsi="Arial" w:cs="Arial"/>
                <w:sz w:val="22"/>
                <w:szCs w:val="22"/>
                <w:lang w:val="cy-GB"/>
              </w:rPr>
            </w:pPr>
            <w:r w:rsidRPr="002C277B">
              <w:rPr>
                <w:rFonts w:ascii="Arial" w:hAnsi="Arial" w:cs="Arial"/>
                <w:sz w:val="22"/>
                <w:szCs w:val="22"/>
                <w:lang w:val="cy-GB"/>
              </w:rPr>
              <w:t xml:space="preserve">Gofala dy fod yn cyfeirio at ddarllen craidd ac hanfodol y modiwl yn ogystal </w:t>
            </w:r>
            <w:r w:rsidR="00D72DEA">
              <w:rPr>
                <w:rFonts w:ascii="Arial" w:hAnsi="Arial" w:cs="Arial"/>
                <w:sz w:val="22"/>
                <w:szCs w:val="22"/>
                <w:lang w:val="cy-GB"/>
              </w:rPr>
              <w:t>â</w:t>
            </w:r>
            <w:r w:rsidRPr="002C277B">
              <w:rPr>
                <w:rFonts w:ascii="Arial" w:hAnsi="Arial" w:cs="Arial"/>
                <w:sz w:val="22"/>
                <w:szCs w:val="22"/>
                <w:lang w:val="cy-GB"/>
              </w:rPr>
              <w:t xml:space="preserve"> dy ymchwil annibynnol.</w:t>
            </w:r>
          </w:p>
        </w:tc>
        <w:tc>
          <w:tcPr>
            <w:tcW w:w="3543" w:type="dxa"/>
            <w:vAlign w:val="center"/>
          </w:tcPr>
          <w:p w14:paraId="3848591E" w14:textId="43FBEE6B" w:rsidR="00C81B01" w:rsidRPr="00C81B01" w:rsidRDefault="008B0227" w:rsidP="008B0227">
            <w:pPr>
              <w:spacing w:line="360" w:lineRule="auto"/>
              <w:rPr>
                <w:rFonts w:ascii="Arial" w:hAnsi="Arial" w:cs="Arial"/>
                <w:sz w:val="22"/>
                <w:szCs w:val="22"/>
                <w:lang w:val="cy-GB"/>
              </w:rPr>
            </w:pPr>
            <w:r>
              <w:rPr>
                <w:rFonts w:ascii="Arial" w:hAnsi="Arial" w:cs="Arial"/>
                <w:sz w:val="22"/>
                <w:szCs w:val="22"/>
                <w:lang w:val="cy-GB"/>
              </w:rPr>
              <w:t>Rwyf wedi cyfeirio at waith sydd wedi cael eu cyflwyno yn ystod y modiwl.</w:t>
            </w:r>
          </w:p>
        </w:tc>
        <w:tc>
          <w:tcPr>
            <w:tcW w:w="1081" w:type="dxa"/>
            <w:vAlign w:val="center"/>
          </w:tcPr>
          <w:p w14:paraId="4A8FAE56" w14:textId="2DFC8A7F" w:rsidR="00C81B01" w:rsidRPr="00C81B01" w:rsidRDefault="008B0227" w:rsidP="008B0227">
            <w:pPr>
              <w:spacing w:line="360" w:lineRule="auto"/>
              <w:jc w:val="center"/>
              <w:rPr>
                <w:rFonts w:ascii="Arial" w:hAnsi="Arial" w:cs="Arial"/>
                <w:sz w:val="22"/>
                <w:szCs w:val="22"/>
                <w:lang w:val="cy-GB"/>
              </w:rPr>
            </w:pPr>
            <w:r>
              <w:rPr>
                <w:rFonts w:ascii="Arial" w:hAnsi="Arial" w:cs="Arial"/>
                <w:sz w:val="22"/>
                <w:szCs w:val="22"/>
                <w:lang w:val="cy-GB"/>
              </w:rPr>
              <w:t>t.5</w:t>
            </w:r>
          </w:p>
        </w:tc>
      </w:tr>
      <w:tr w:rsidR="00C81B01" w14:paraId="3E9EB03B" w14:textId="77777777" w:rsidTr="008B0227">
        <w:tc>
          <w:tcPr>
            <w:tcW w:w="4390" w:type="dxa"/>
            <w:vAlign w:val="center"/>
          </w:tcPr>
          <w:p w14:paraId="371ECE65" w14:textId="5FAF3B2A" w:rsidR="00C81B01" w:rsidRPr="002C277B" w:rsidRDefault="002C277B" w:rsidP="008B0227">
            <w:pPr>
              <w:spacing w:line="360" w:lineRule="auto"/>
              <w:rPr>
                <w:rFonts w:ascii="Arial" w:hAnsi="Arial" w:cs="Arial"/>
                <w:sz w:val="22"/>
                <w:szCs w:val="22"/>
                <w:lang w:val="cy-GB"/>
              </w:rPr>
            </w:pPr>
            <w:r w:rsidRPr="002C277B">
              <w:rPr>
                <w:rFonts w:ascii="Arial" w:hAnsi="Arial" w:cs="Arial"/>
                <w:sz w:val="22"/>
                <w:szCs w:val="22"/>
                <w:lang w:val="cy-GB"/>
              </w:rPr>
              <w:t>Ystyria ba duedd sydd efallai'n perthyn i rai ffynonellau rwyt yn eu defnyddio fel sail i dy wybodaeth a'th dealltwriaeth, e.e. gwefannau elusennol, neu fentrau sy'n cael eu comisiynu gan y llywodraeth.</w:t>
            </w:r>
          </w:p>
        </w:tc>
        <w:tc>
          <w:tcPr>
            <w:tcW w:w="3543" w:type="dxa"/>
            <w:vAlign w:val="center"/>
          </w:tcPr>
          <w:p w14:paraId="33E0C9EA" w14:textId="2E313B8C" w:rsidR="00C81B01" w:rsidRPr="00C81B01" w:rsidRDefault="008B0227" w:rsidP="008B0227">
            <w:pPr>
              <w:spacing w:line="360" w:lineRule="auto"/>
              <w:rPr>
                <w:rFonts w:ascii="Arial" w:hAnsi="Arial" w:cs="Arial"/>
                <w:sz w:val="22"/>
                <w:szCs w:val="22"/>
                <w:lang w:val="cy-GB"/>
              </w:rPr>
            </w:pPr>
            <w:r>
              <w:rPr>
                <w:rFonts w:ascii="Arial" w:hAnsi="Arial" w:cs="Arial"/>
                <w:sz w:val="22"/>
                <w:szCs w:val="22"/>
                <w:lang w:val="cy-GB"/>
              </w:rPr>
              <w:t>Rwyf wedi sicrhau fy mod wedi defnyddio ystod eang o ffynonellau</w:t>
            </w:r>
            <w:r w:rsidR="00CB648D">
              <w:rPr>
                <w:rFonts w:ascii="Arial" w:hAnsi="Arial" w:cs="Arial"/>
                <w:sz w:val="22"/>
                <w:szCs w:val="22"/>
                <w:lang w:val="cy-GB"/>
              </w:rPr>
              <w:t xml:space="preserve"> ac ystyried eu tuedd wrth eu trafod yn y traethawd.</w:t>
            </w:r>
          </w:p>
        </w:tc>
        <w:tc>
          <w:tcPr>
            <w:tcW w:w="1081" w:type="dxa"/>
            <w:vAlign w:val="center"/>
          </w:tcPr>
          <w:p w14:paraId="51AEEBF3" w14:textId="2D1F9F2D" w:rsidR="00C81B01" w:rsidRPr="00C81B01" w:rsidRDefault="008B0227" w:rsidP="008B0227">
            <w:pPr>
              <w:spacing w:line="360" w:lineRule="auto"/>
              <w:jc w:val="center"/>
              <w:rPr>
                <w:rFonts w:ascii="Arial" w:hAnsi="Arial" w:cs="Arial"/>
                <w:sz w:val="22"/>
                <w:szCs w:val="22"/>
                <w:lang w:val="cy-GB"/>
              </w:rPr>
            </w:pPr>
            <w:r>
              <w:rPr>
                <w:rFonts w:ascii="Arial" w:hAnsi="Arial" w:cs="Arial"/>
                <w:sz w:val="22"/>
                <w:szCs w:val="22"/>
                <w:lang w:val="cy-GB"/>
              </w:rPr>
              <w:t>t.3</w:t>
            </w:r>
          </w:p>
        </w:tc>
      </w:tr>
    </w:tbl>
    <w:p w14:paraId="466FCCE8" w14:textId="77777777" w:rsidR="00C57F29" w:rsidRPr="00C81B01" w:rsidRDefault="00C57F29" w:rsidP="00C81B01">
      <w:pPr>
        <w:spacing w:line="360" w:lineRule="auto"/>
        <w:rPr>
          <w:rFonts w:ascii="Arial" w:hAnsi="Arial" w:cs="Arial"/>
          <w:lang w:val="cy-GB"/>
        </w:rPr>
      </w:pPr>
    </w:p>
    <w:p w14:paraId="4E89EA30" w14:textId="6E0034F2" w:rsidR="007E197F" w:rsidRPr="008B0227" w:rsidRDefault="00C81B01" w:rsidP="00C81B01">
      <w:pPr>
        <w:spacing w:line="360" w:lineRule="auto"/>
        <w:rPr>
          <w:rFonts w:ascii="Arial" w:hAnsi="Arial" w:cs="Arial"/>
          <w:b/>
          <w:bCs/>
          <w:color w:val="000000" w:themeColor="text1"/>
          <w:sz w:val="28"/>
          <w:szCs w:val="28"/>
          <w:u w:val="single"/>
          <w:lang w:val="cy-GB"/>
        </w:rPr>
      </w:pPr>
      <w:r w:rsidRPr="008B0227">
        <w:rPr>
          <w:rFonts w:ascii="Arial" w:hAnsi="Arial" w:cs="Arial"/>
          <w:b/>
          <w:bCs/>
          <w:color w:val="000000" w:themeColor="text1"/>
          <w:sz w:val="28"/>
          <w:szCs w:val="28"/>
          <w:u w:val="single"/>
          <w:lang w:val="cy-GB"/>
        </w:rPr>
        <w:t xml:space="preserve">Adfyfyriwch yn feirniadol ar sut y byddech yn cefnogi dysgwr unigol sydd a’i </w:t>
      </w:r>
      <w:r w:rsidR="008906A2" w:rsidRPr="008B0227">
        <w:rPr>
          <w:rFonts w:ascii="Arial" w:hAnsi="Arial" w:cs="Arial"/>
          <w:b/>
          <w:bCs/>
          <w:color w:val="000000" w:themeColor="text1"/>
          <w:sz w:val="28"/>
          <w:szCs w:val="28"/>
          <w:u w:val="single"/>
          <w:lang w:val="cy-GB"/>
        </w:rPr>
        <w:t>ch</w:t>
      </w:r>
      <w:r w:rsidRPr="008B0227">
        <w:rPr>
          <w:rFonts w:ascii="Arial" w:hAnsi="Arial" w:cs="Arial"/>
          <w:b/>
          <w:bCs/>
          <w:color w:val="000000" w:themeColor="text1"/>
          <w:sz w:val="28"/>
          <w:szCs w:val="28"/>
          <w:u w:val="single"/>
          <w:lang w:val="cy-GB"/>
        </w:rPr>
        <w:t>ynnydd yn cael ei effeithio gan rwystrau penodol i’w dysgu yn ystod un cyfnod pendant o drosglwyddo</w:t>
      </w:r>
    </w:p>
    <w:p w14:paraId="5122D742" w14:textId="77777777" w:rsidR="00FE0EE6" w:rsidRPr="008B0227" w:rsidRDefault="00FE0EE6" w:rsidP="00C81B01">
      <w:pPr>
        <w:spacing w:line="360" w:lineRule="auto"/>
        <w:rPr>
          <w:rFonts w:ascii="Arial" w:hAnsi="Arial" w:cs="Arial"/>
          <w:b/>
          <w:bCs/>
          <w:color w:val="000000" w:themeColor="text1"/>
          <w:sz w:val="10"/>
          <w:szCs w:val="10"/>
          <w:u w:val="single"/>
          <w:lang w:val="cy-GB"/>
        </w:rPr>
      </w:pPr>
    </w:p>
    <w:p w14:paraId="00B920A5" w14:textId="5E2C21CF" w:rsidR="005E440C" w:rsidRPr="005E440C" w:rsidRDefault="005E440C" w:rsidP="005E440C">
      <w:pPr>
        <w:spacing w:line="360" w:lineRule="auto"/>
        <w:rPr>
          <w:rFonts w:ascii="Arial" w:hAnsi="Arial" w:cs="Arial"/>
          <w:color w:val="000000" w:themeColor="text1"/>
          <w:sz w:val="22"/>
          <w:szCs w:val="22"/>
          <w:lang w:val="cy-GB"/>
        </w:rPr>
      </w:pPr>
      <w:r w:rsidRPr="005E440C">
        <w:rPr>
          <w:rFonts w:ascii="Arial" w:hAnsi="Arial" w:cs="Arial"/>
          <w:color w:val="000000" w:themeColor="text1"/>
          <w:sz w:val="22"/>
          <w:szCs w:val="22"/>
          <w:lang w:val="cy-GB"/>
        </w:rPr>
        <w:t>Mae trosglwyddiadau yn rhywbeth mae’r rhan fwyaf o bobl yn wynebu yn ystod eu bywydau. Caiff trosglwyddiadau fertigol eu hystyried i fod yn newidiadau allweddol ym mywyd pla</w:t>
      </w:r>
      <w:r w:rsidR="000F6DE4">
        <w:rPr>
          <w:rFonts w:ascii="Arial" w:hAnsi="Arial" w:cs="Arial"/>
          <w:color w:val="000000" w:themeColor="text1"/>
          <w:sz w:val="22"/>
          <w:szCs w:val="22"/>
          <w:lang w:val="cy-GB"/>
        </w:rPr>
        <w:t>nt</w:t>
      </w:r>
      <w:r w:rsidRPr="005E440C">
        <w:rPr>
          <w:rFonts w:ascii="Arial" w:hAnsi="Arial" w:cs="Arial"/>
          <w:color w:val="000000" w:themeColor="text1"/>
          <w:sz w:val="22"/>
          <w:szCs w:val="22"/>
          <w:lang w:val="cy-GB"/>
        </w:rPr>
        <w:t xml:space="preserve"> megis dechrau ysgol gynradd neu symud i’r uwchradd, tra caiff trosglwyddiadau llorweddol eu hystyried i fod yn newidiadau sydd yn digwydd yn fwy rheolaidd neu’n ddyddiol (Vogler, Crivello a Woodhead, 2008). Un o’r trosglwyddiadau mwyaf arwyddocaol ym mywydau pobl ifanc ydy’r trosglwyddiad o’r ysgol gynradd i’r uwchradd, ac mae dysgwyr sydd ag Anghenion Dysgu Ychwanegol (ADY) yn fwy tebygol o’u chael hi’n anodd gwneud y trosgwlyddiad hyn (Mentally Healthy Schools, dim dyddiad). Bwriad yr aseiniad hwn felly yw adfyfyrio’n feirniadol ar sut byddaf yn cefnogi dysgwr awtistig yn ystod ei throsglwyddiad o’r ysgol gynradd i’r uwchradd. At bwrpas yr aseiniad, byddaf yn cyfeirio at y dysgwyr fel Sofia yn hytrach na’i enw iawn er mwyn cydymffurfio â chanllawiau’r British Educational Research Association [BERA] (2024). Fel rhan o’i awtistiaeth, mae Sofia yn dioddef o orbryder difrifol, mae hi’n profi sensitifrwydd synhwyraidd ac yn ei chael hi’n anodd cymdeithasu ag eraill. Gan ystyried bod y trosglwyddiad o’r cynradd i’r uwchradd yn fwy tebygol o fod yn fwy heriol i ddysgwyr ag ADY, mae’n hanfodol felly bod dysgwyr fel Sofia yn cael y cymorth gorau posib a mwyaf effeithiol er mwyn gwneud y trosglwyddiad mor </w:t>
      </w:r>
      <w:r w:rsidR="000F6DE4">
        <w:rPr>
          <w:rFonts w:ascii="Arial" w:hAnsi="Arial" w:cs="Arial"/>
          <w:color w:val="000000" w:themeColor="text1"/>
          <w:sz w:val="22"/>
          <w:szCs w:val="22"/>
          <w:lang w:val="cy-GB"/>
        </w:rPr>
        <w:t>esmwyth</w:t>
      </w:r>
      <w:r w:rsidRPr="005E440C">
        <w:rPr>
          <w:rFonts w:ascii="Arial" w:hAnsi="Arial" w:cs="Arial"/>
          <w:color w:val="000000" w:themeColor="text1"/>
          <w:sz w:val="22"/>
          <w:szCs w:val="22"/>
          <w:lang w:val="cy-GB"/>
        </w:rPr>
        <w:t xml:space="preserve"> ag sy’n bosib. </w:t>
      </w:r>
    </w:p>
    <w:p w14:paraId="5926161C" w14:textId="77777777" w:rsidR="005E440C" w:rsidRPr="005E440C" w:rsidRDefault="005E440C" w:rsidP="005E440C">
      <w:pPr>
        <w:spacing w:line="360" w:lineRule="auto"/>
        <w:rPr>
          <w:rFonts w:ascii="Arial" w:hAnsi="Arial" w:cs="Arial"/>
          <w:color w:val="000000" w:themeColor="text1"/>
          <w:sz w:val="22"/>
          <w:szCs w:val="22"/>
          <w:lang w:val="cy-GB"/>
        </w:rPr>
      </w:pPr>
    </w:p>
    <w:p w14:paraId="0DDEA069" w14:textId="28E0AD36" w:rsidR="002D5359" w:rsidRPr="008B0227" w:rsidRDefault="005E440C" w:rsidP="005E440C">
      <w:pPr>
        <w:spacing w:line="360" w:lineRule="auto"/>
        <w:rPr>
          <w:rFonts w:ascii="Arial" w:hAnsi="Arial" w:cs="Arial"/>
          <w:color w:val="000000" w:themeColor="text1"/>
          <w:sz w:val="22"/>
          <w:szCs w:val="22"/>
          <w:lang w:val="cy-GB"/>
        </w:rPr>
      </w:pPr>
      <w:r w:rsidRPr="005E440C">
        <w:rPr>
          <w:rFonts w:ascii="Arial" w:hAnsi="Arial" w:cs="Arial"/>
          <w:color w:val="000000" w:themeColor="text1"/>
          <w:sz w:val="22"/>
          <w:szCs w:val="22"/>
          <w:lang w:val="cy-GB"/>
        </w:rPr>
        <w:t xml:space="preserve">Yn ôl y Cod Ymarfer ar Gyflenwi Gwasanaethau Awtistiaeth (2021a), mae cyflwr ar y sbectrwm awtistiaeth (ASC) yn gyflwr datblygiadol sy’n cael effaith ar y ffordd mae pobl yn cyfathrebu, ymddwyn neu ryngweithio ag eraill. Y nodweddion cyffredinol ydy gwahaniaethau mewn sgiliau cymdeithasol, cyfathrebu ac ymddygiad. Mae rhai yn dangos </w:t>
      </w:r>
      <w:r w:rsidRPr="005E440C">
        <w:rPr>
          <w:rFonts w:ascii="Arial" w:hAnsi="Arial" w:cs="Arial"/>
          <w:color w:val="000000" w:themeColor="text1"/>
          <w:sz w:val="22"/>
          <w:szCs w:val="22"/>
          <w:lang w:val="cy-GB"/>
        </w:rPr>
        <w:lastRenderedPageBreak/>
        <w:t>nodweddion amlwg tra bod eraill ddim. Ym merched, gall fod yn anoddach sylwi ar arwyddion awtistiaeth, am eu bod yn masgio symptomau o’u teulu a ffrindiau ac yn enwedig doctoriaid. Caiff ei gyfeirio at fel ‘sbectrwm’ oherwydd ei fod yn cwmpasu ystod eang o symptomau a bod y symptomau hynny’n amrywio ym mhob unigolyn (National Institute of Mental Health, 2024). Mae’r rhwystrau i ddatblygiad dysgwr awtistig felly yn amrywio’n sylweddol oherwydd ei fod yn ddibynnol ar sefyllfa ac anghenion unigryw pob plentyn.</w:t>
      </w:r>
    </w:p>
    <w:p w14:paraId="3965C779" w14:textId="77777777" w:rsidR="00CB35BE" w:rsidRPr="008B0227" w:rsidRDefault="00CB35BE" w:rsidP="00C81B01">
      <w:pPr>
        <w:spacing w:line="360" w:lineRule="auto"/>
        <w:rPr>
          <w:rFonts w:ascii="Arial" w:hAnsi="Arial" w:cs="Arial"/>
          <w:color w:val="000000" w:themeColor="text1"/>
          <w:sz w:val="22"/>
          <w:szCs w:val="22"/>
          <w:lang w:val="cy-GB"/>
        </w:rPr>
      </w:pPr>
    </w:p>
    <w:p w14:paraId="4CE18454" w14:textId="4B646B45" w:rsidR="00F23045" w:rsidRPr="008B0227" w:rsidRDefault="005E440C" w:rsidP="00F23045">
      <w:pPr>
        <w:spacing w:line="360" w:lineRule="auto"/>
        <w:rPr>
          <w:rFonts w:ascii="Arial" w:hAnsi="Arial" w:cs="Arial"/>
          <w:color w:val="000000" w:themeColor="text1"/>
          <w:sz w:val="22"/>
          <w:szCs w:val="22"/>
          <w:lang w:val="cy-GB"/>
        </w:rPr>
      </w:pPr>
      <w:r w:rsidRPr="005E440C">
        <w:rPr>
          <w:rFonts w:ascii="Arial" w:hAnsi="Arial" w:cs="Arial"/>
          <w:color w:val="000000" w:themeColor="text1"/>
          <w:sz w:val="22"/>
          <w:szCs w:val="22"/>
          <w:lang w:val="cy-GB"/>
        </w:rPr>
        <w:t xml:space="preserve">Fel y soniais yn gynharach, fel rhan o’i awtistiaeth, mae Sofia’n dioddef o orbryder difrifol. Mae gorbryder yn gallu arwain at ddysgwyr i feithrin ymddygiadau osgoi oherwydd gall y gorbryder ddwysáu eu sensitifrwydd synhwyraidd sydd felly’n gwneud hi’n anodd iddynt ymdopi â sefyllfaoedd cymdeithasol (Bellini, 2006, t.139). O ganlyniad i’w tueddiadau i osgoi rhyngweithiadau cymdeithasol, mae’n cyfyngu ar y cyfleoedd sydd ganddynt i ymarfer a datblygu eu sgiliau cymdeithasol. Gweler bod yna gysylltiad felly rhwng y gorbryder a’r anhawster mae Sofia yn profi yn ystod rhyngweithiadau cymdeithasol. Wrth ystyried gwaith Bellini, pwysig ydy ystyried mai datblygiad gorbryder cymdeithasol ymysg y glasoed oedd ffocws ei waith, ond o gofio </w:t>
      </w:r>
      <w:r w:rsidR="000F6DE4">
        <w:rPr>
          <w:rFonts w:ascii="Arial" w:hAnsi="Arial" w:cs="Arial"/>
          <w:color w:val="000000" w:themeColor="text1"/>
          <w:sz w:val="22"/>
          <w:szCs w:val="22"/>
          <w:lang w:val="cy-GB"/>
        </w:rPr>
        <w:t xml:space="preserve">oed Sofia ac </w:t>
      </w:r>
      <w:r w:rsidRPr="005E440C">
        <w:rPr>
          <w:rFonts w:ascii="Arial" w:hAnsi="Arial" w:cs="Arial"/>
          <w:color w:val="000000" w:themeColor="text1"/>
          <w:sz w:val="22"/>
          <w:szCs w:val="22"/>
          <w:lang w:val="cy-GB"/>
        </w:rPr>
        <w:t xml:space="preserve">mai bwriad yr aseiniad ydy edrych ar </w:t>
      </w:r>
      <w:r w:rsidR="000F6DE4">
        <w:rPr>
          <w:rFonts w:ascii="Arial" w:hAnsi="Arial" w:cs="Arial"/>
          <w:color w:val="000000" w:themeColor="text1"/>
          <w:sz w:val="22"/>
          <w:szCs w:val="22"/>
          <w:lang w:val="cy-GB"/>
        </w:rPr>
        <w:t>ei th</w:t>
      </w:r>
      <w:r w:rsidRPr="005E440C">
        <w:rPr>
          <w:rFonts w:ascii="Arial" w:hAnsi="Arial" w:cs="Arial"/>
          <w:color w:val="000000" w:themeColor="text1"/>
          <w:sz w:val="22"/>
          <w:szCs w:val="22"/>
          <w:lang w:val="cy-GB"/>
        </w:rPr>
        <w:t>rosglwyddiad i’r ysgol uwchradd, yna gellir dadlau bod ffocws ei waith yn berthnasol at ddiben yr aseiniad. Yn yr un modd, mae dysgwyr awtistig yn dueddol o arddangos ymddygiadau ailadroddus fel ffordd i ymdopi â gorbryder. Creda Rodgers et al. (2012) bod hyn yn cyfyngu ar eu brwdfrydedd i archwilio gweithgareddau neu gyfleoedd cymdeithasol newydd, sy’n rhwystro’u dysgu a’u gallu i addasu. Mae’r ymddygiadau ailadroddus hefyd yn gallu ymyrryd gyda’u cyfranogiad mewn gosodiadau grŵp sy’n gallu arwain at arwahanrwydd pellach iddynt a llai o ddysgu cymdeithasol. Yn ategol i hyn, mae gorbryder yn aml yn atal datblygiad sgiliau rheoleiddio emosiynol, sgil sy’n heriol i ddysgwyr awtistig yn barod. Gall y diffyg gallu i reoli emosiynau arwain at y dysgwr i gau lawr neu i ffrwydro, digwyddiadau sy’n gallu arwain at eithrio cymdeithasol. Noda Marans et al. (‘In press’, dyfynnwyd yn Laurent a Rubin, 2004, t.293) bod diffyg rheoleiddio emosiynol yn effeithio ar allu dysgwr awtistig i lywio trosglwyddiadau dyddiol a rhyngweithiadau cymdeithasol. Yn sefyllfa Sofia, mae’r gorbryder mae hi’n profi’n ddyddiol yn ei gwneud hi’n hynod o flinedig ac mae hi’n gorfod cysgu am gyfnod ar ôl ysgol bob dydd, felly o bryd i’w gilydd mae hi’n colli allan ar weithgareddau allgyrsiol o ganlyniad i’w blinder.</w:t>
      </w:r>
    </w:p>
    <w:p w14:paraId="4A8F4B91" w14:textId="77777777" w:rsidR="00C464C0" w:rsidRPr="008B0227" w:rsidRDefault="00C464C0" w:rsidP="00F23045">
      <w:pPr>
        <w:spacing w:line="360" w:lineRule="auto"/>
        <w:rPr>
          <w:rFonts w:ascii="Arial" w:hAnsi="Arial" w:cs="Arial"/>
          <w:color w:val="000000" w:themeColor="text1"/>
          <w:sz w:val="22"/>
          <w:szCs w:val="22"/>
          <w:lang w:val="cy-GB"/>
        </w:rPr>
      </w:pPr>
    </w:p>
    <w:p w14:paraId="321CD782" w14:textId="22682B34" w:rsidR="003E2390" w:rsidRPr="008B0227" w:rsidRDefault="005E440C" w:rsidP="00F23045">
      <w:pPr>
        <w:spacing w:line="360" w:lineRule="auto"/>
        <w:rPr>
          <w:rFonts w:ascii="Arial" w:hAnsi="Arial" w:cs="Arial"/>
          <w:color w:val="000000" w:themeColor="text1"/>
          <w:sz w:val="22"/>
          <w:szCs w:val="22"/>
          <w:lang w:val="cy-GB"/>
        </w:rPr>
      </w:pPr>
      <w:r w:rsidRPr="005E440C">
        <w:rPr>
          <w:rFonts w:ascii="Arial" w:hAnsi="Arial" w:cs="Arial"/>
          <w:color w:val="000000" w:themeColor="text1"/>
          <w:sz w:val="22"/>
          <w:szCs w:val="22"/>
          <w:lang w:val="cy-GB"/>
        </w:rPr>
        <w:t xml:space="preserve">Mae’r rhwystrau i ddatblygu Sofia sydd wedi cael eu trafod yn flaenorol yn aml yn mynd law yn llaw gyda sensitifrwydd synhwyraidd ymysg dygwyr awtistig. Fel crybwyllir yng nghynt, mae gorbryder yn dueddol o ddwysáu sensitifrwydd synhwyraidd sy’n gallu gwneud nifer o sefyllfaoedd yn ofidus iddynt. Mae sensitifrwydd synhwyraidd yn nodwedd gyffredin ymysg dysgwyr awtistig a’n gallu achosi rhwystrau sylweddol i’w datblygu cymdeithasol, emosiynol </w:t>
      </w:r>
      <w:r w:rsidRPr="005E440C">
        <w:rPr>
          <w:rFonts w:ascii="Arial" w:hAnsi="Arial" w:cs="Arial"/>
          <w:color w:val="000000" w:themeColor="text1"/>
          <w:sz w:val="22"/>
          <w:szCs w:val="22"/>
          <w:lang w:val="cy-GB"/>
        </w:rPr>
        <w:lastRenderedPageBreak/>
        <w:t>a gwybyddol. Mae dysgwyr sy’n dioddef o sensitifrwydd synhwyrol yn aml yn profi gorysgogiad fel ymateb i’r mewnbwn synhwyrol o’u hamgylchedd sy’n gallu cael dylanwad arwyddocaol ar eu gallu i ymgysylltu a dysgu. Gall synau uchel neu oleuadau llachar sbarduno ymatebion i orbryder, sy’n golygu bod amgylcheddau megis ystafell dosbarth a neuaddau yn llethol iddynt. Mae’r rhwystrau yma felly yn atal dysgwyr rhag ymgysylltu mewn profiadau datblygu hanfodol sy’n cynnwys archwilio synhwyraidd a rhyngweithio cymdeithasol (Green a Ben-Sasson, 2010, t.1497). Mae sensitifrwydd synhwyraidd hefyd yn gallu aflonyddu gallu dysgwr awtistig i ymgysylltu mewn ystafell dosbarth oherwydd mae gorysgogiad mewn amgylcheddau o’r fath yn gallu arwain at wrthdyniad, atafael a hyd yn oed arwain yn y dysgwr i gau lawr. Gall y rhain effeithio ar lefelau canolbwyntio'r dysgwyr, eu cyfranogiad a’u cyrhaeddiad academaidd (Ashburner et al., 2008). Arweinir hyn at dangyflawniad academaidd a bydd yn cyfyngu ar allu’r dysgwr i gyrraedd cerrig milltir academaidd.</w:t>
      </w:r>
    </w:p>
    <w:p w14:paraId="46816354" w14:textId="77777777" w:rsidR="005A7DC4" w:rsidRPr="008B0227" w:rsidRDefault="005A7DC4" w:rsidP="00F23045">
      <w:pPr>
        <w:spacing w:line="360" w:lineRule="auto"/>
        <w:rPr>
          <w:rFonts w:ascii="Arial" w:hAnsi="Arial" w:cs="Arial"/>
          <w:color w:val="000000" w:themeColor="text1"/>
          <w:sz w:val="22"/>
          <w:szCs w:val="22"/>
          <w:lang w:val="cy-GB"/>
        </w:rPr>
      </w:pPr>
    </w:p>
    <w:p w14:paraId="5B36EC3F" w14:textId="12C9202E" w:rsidR="00EB5112" w:rsidRPr="008B0227" w:rsidRDefault="005E440C" w:rsidP="00F23045">
      <w:pPr>
        <w:spacing w:line="360" w:lineRule="auto"/>
        <w:rPr>
          <w:rFonts w:ascii="Arial" w:hAnsi="Arial" w:cs="Arial"/>
          <w:color w:val="000000" w:themeColor="text1"/>
          <w:sz w:val="22"/>
          <w:szCs w:val="22"/>
          <w:lang w:val="cy-GB"/>
        </w:rPr>
      </w:pPr>
      <w:r w:rsidRPr="005E440C">
        <w:rPr>
          <w:rFonts w:ascii="Arial" w:hAnsi="Arial" w:cs="Arial"/>
          <w:color w:val="000000" w:themeColor="text1"/>
          <w:sz w:val="22"/>
          <w:szCs w:val="22"/>
          <w:lang w:val="cy-GB"/>
        </w:rPr>
        <w:t xml:space="preserve">Mae deall y cefndir damcaniaethol i ddatblygiad dysgwyr sydd ar y sbectrwm awtistiaeth yn hanfodol oherwydd mae’n caniatáu i’r bobl sy’n rhan o’u bywydau gynnig cymorth mwy effeithiol, cefnogol a personol. Cyn edrych ar ddatblygiad Sofia trwy lens damcaniaethol, mae’n bwysig edrych ar beth mae llenyddiaeth yn dweud wrthym am y theorïau hyn yn barod. Un theori ydy </w:t>
      </w:r>
      <w:r w:rsidR="000F6DE4">
        <w:rPr>
          <w:rFonts w:ascii="Arial" w:hAnsi="Arial" w:cs="Arial"/>
          <w:color w:val="000000" w:themeColor="text1"/>
          <w:sz w:val="22"/>
          <w:szCs w:val="22"/>
          <w:lang w:val="cy-GB"/>
        </w:rPr>
        <w:t xml:space="preserve">theori </w:t>
      </w:r>
      <w:r w:rsidRPr="005E440C">
        <w:rPr>
          <w:rFonts w:ascii="Arial" w:hAnsi="Arial" w:cs="Arial"/>
          <w:color w:val="000000" w:themeColor="text1"/>
          <w:sz w:val="22"/>
          <w:szCs w:val="22"/>
          <w:lang w:val="cy-GB"/>
        </w:rPr>
        <w:t xml:space="preserve">Damcaniaeth y Meddwl (DyM). Yn ei astudiaeth semenaidd ym 1985, cyflwynodd Baron-Cohen (1985) y cysyniad bod dysgwyr awtistig yn cael anhawster sylweddol â DyM, sef y gallu i ddeall bod gan eraill meddyliau, credoau a safbwyntiau sy’n wahanol i’w hunain. Creda Baron-Cohen bod pobl awtistig yn ei chael hi’n anodd adnabod teimladau ac emosiynau pobl eraill, deall cymhelliant, bwriadu ac agendau eraill, deall iaith y corff a darllen mynegiant </w:t>
      </w:r>
      <w:r w:rsidR="000F6DE4">
        <w:rPr>
          <w:rFonts w:ascii="Arial" w:hAnsi="Arial" w:cs="Arial"/>
          <w:color w:val="000000" w:themeColor="text1"/>
          <w:sz w:val="22"/>
          <w:szCs w:val="22"/>
          <w:lang w:val="cy-GB"/>
        </w:rPr>
        <w:t xml:space="preserve">y wyneb </w:t>
      </w:r>
      <w:r w:rsidRPr="005E440C">
        <w:rPr>
          <w:rFonts w:ascii="Arial" w:hAnsi="Arial" w:cs="Arial"/>
          <w:color w:val="000000" w:themeColor="text1"/>
          <w:sz w:val="22"/>
          <w:szCs w:val="22"/>
          <w:lang w:val="cy-GB"/>
        </w:rPr>
        <w:t>yn ogystal â deall tôn y llais. Ond mae gwaith Baron-Cohen wedi cael ei feirniadu gan nifer o ymchwilwyr dros y blynyddoedd gyda rhai yn dadlau nad yw ei waith yn ystyried yn llawn amrywiaeth a chymhlethdod gwybyddiaeth a rhyngweithio cymdeithasol awtistiaeth. Awgryma ymchwil Gernsbacher a Yergeau (2019) bod awtistiaeth yn cynnwys amrediad cymhleth o wahaniaethau gwybyddol, synhwyraidd a niwrolegol tu hwnt i DyM yn unig, megis swyddogaeth weithredol a gwahaniaethau wrth brosesu synhwyrau. Mae ymchwil hefyd yn dangos bod rhai pobl awtistig yn medru pasio profion DyM, sydd felly’n cwestiynu</w:t>
      </w:r>
      <w:r w:rsidR="000F6DE4">
        <w:rPr>
          <w:rFonts w:ascii="Arial" w:hAnsi="Arial" w:cs="Arial"/>
          <w:color w:val="000000" w:themeColor="text1"/>
          <w:sz w:val="22"/>
          <w:szCs w:val="22"/>
          <w:lang w:val="cy-GB"/>
        </w:rPr>
        <w:t>’r</w:t>
      </w:r>
      <w:r w:rsidRPr="005E440C">
        <w:rPr>
          <w:rFonts w:ascii="Arial" w:hAnsi="Arial" w:cs="Arial"/>
          <w:color w:val="000000" w:themeColor="text1"/>
          <w:sz w:val="22"/>
          <w:szCs w:val="22"/>
          <w:lang w:val="cy-GB"/>
        </w:rPr>
        <w:t xml:space="preserve"> syniad bod anawsterau DyM yn nodwedd gyffredin ymysg pobl awtistig (Peterson, Wellman, a Liu, 2005).  Pwysig ydy cydnabod bod gwaith mwy diweddar Baron-Cohen yn cydnabod bod diffyg damcaniaeth y meddwl ddim o reidrwydd yn benodol i bobl awtistig (2010, t.169). O ran perthnasedd theori DyM i sefyllfa Sofia, sylwer bod yr heriau sy’n cael eu trafod gan Baron-Cohen yn egluro llawer o’r anhawster mae hi’n profi yn ystod rhyngweithiadau cymdeithasol. Gellir dadlau felly bod yr heriau mae Sofia yn ei hwynebu yn ystod rhyngweithiadau cymdeithasol yn dwysau’r </w:t>
      </w:r>
      <w:r w:rsidRPr="005E440C">
        <w:rPr>
          <w:rFonts w:ascii="Arial" w:hAnsi="Arial" w:cs="Arial"/>
          <w:color w:val="000000" w:themeColor="text1"/>
          <w:sz w:val="22"/>
          <w:szCs w:val="22"/>
          <w:lang w:val="cy-GB"/>
        </w:rPr>
        <w:lastRenderedPageBreak/>
        <w:t>gorbyder mae hi’n profi yn barod sydd felly’n creu cylch anfad. Cefnogir hyn gan waith Briscoe et al. sy’n nodi bod yna berthynas negyddol rhwng DyM a gorbryder (2024).</w:t>
      </w:r>
    </w:p>
    <w:p w14:paraId="31626E90" w14:textId="77777777" w:rsidR="00C37CD9" w:rsidRPr="008B0227" w:rsidRDefault="00C37CD9" w:rsidP="00F23045">
      <w:pPr>
        <w:spacing w:line="360" w:lineRule="auto"/>
        <w:rPr>
          <w:rFonts w:ascii="Arial" w:hAnsi="Arial" w:cs="Arial"/>
          <w:color w:val="000000" w:themeColor="text1"/>
          <w:sz w:val="22"/>
          <w:szCs w:val="22"/>
          <w:lang w:val="cy-GB"/>
        </w:rPr>
      </w:pPr>
    </w:p>
    <w:p w14:paraId="5AFCF6A8" w14:textId="13891522" w:rsidR="00923BB3" w:rsidRPr="008B0227" w:rsidRDefault="00485E4B" w:rsidP="00F23045">
      <w:pPr>
        <w:spacing w:line="360" w:lineRule="auto"/>
        <w:rPr>
          <w:rFonts w:ascii="Arial" w:hAnsi="Arial" w:cs="Arial"/>
          <w:color w:val="000000" w:themeColor="text1"/>
          <w:sz w:val="22"/>
          <w:szCs w:val="22"/>
          <w:lang w:val="cy-GB"/>
        </w:rPr>
      </w:pPr>
      <w:r w:rsidRPr="00485E4B">
        <w:rPr>
          <w:rFonts w:ascii="Arial" w:hAnsi="Arial" w:cs="Arial"/>
          <w:color w:val="000000" w:themeColor="text1"/>
          <w:sz w:val="22"/>
          <w:szCs w:val="22"/>
          <w:lang w:val="cy-GB"/>
        </w:rPr>
        <w:t>Mae’r ddamcaniaeth nesaf rwyf am ei drafod wedi cael ei grybwyll yn flaenorol sef damcaniaeth swyddogaeth weithredol (DSG). Mae’r DSG yn cyfeirio at allu person i brosesu gwybodaeth. Mae’n cynnwys sgiliau megis trefnu, cynllunio, talu sylw, rheoli ymatebion a hunan-reoli emosiynau (Autism Speaks, dim dyddiad). Awgryma gwaith semenaidd Pennington ac Ozonoff (1996) bod diffygion swyddogaeth weithredol (SG) yn aml yn nodweddion sy’n gyffredin ymysg pobl awtistig ac yn cael eu hystyried i gyfrannu tuag at symptomau cyffredin megis ymddygiad ailadroddus a diddordebau cyfyngedig sy’n gysylltiedig â’r cyflwr. Pwysleisia eu hymchwil fod diffygion DSG nid yn unig yn ganolog i ASC ond hefyd yn gyffredin ar draws nifer o anhwylderau datblygiadol. Mae deall y diffygion sy’n gysylltiedig â DSG yn hollbwysig oherwydd mae’n darparu mewnwelediad i’r heriau mae’r unigolyn yn ei wynebu ac felly’n golygu bod modd teilwra strategaethau neu ymyraethau at anghenion penodol yr unigolyn (Demetrieu, DeMayo a Guastella, 2019, t.12).</w:t>
      </w:r>
      <w:r>
        <w:rPr>
          <w:rFonts w:ascii="Arial" w:hAnsi="Arial" w:cs="Arial"/>
          <w:color w:val="000000" w:themeColor="text1"/>
          <w:sz w:val="22"/>
          <w:szCs w:val="22"/>
          <w:lang w:val="cy-GB"/>
        </w:rPr>
        <w:t xml:space="preserve"> </w:t>
      </w:r>
      <w:r w:rsidRPr="00485E4B">
        <w:rPr>
          <w:rFonts w:ascii="Arial" w:hAnsi="Arial" w:cs="Arial"/>
          <w:color w:val="000000" w:themeColor="text1"/>
          <w:sz w:val="22"/>
          <w:szCs w:val="22"/>
          <w:lang w:val="cy-GB"/>
        </w:rPr>
        <w:t>Ond yn debyg i DyM, mae’r amrywiaeth o fewn ASC wedi achosi i ymchwilwyr gwestiynu a ddylai diffygion DSG gael eu hystyried i fod yn nodwedd graidd o awtistiaeth neu nodwedd sy’n bresennol mewn rhai unigolion. Er bod anhawster gyda chynllunio, hyblygrwydd gwybyddol a rheolaeth ataliol yn nodweddion sy’n aml yn cael eu cysylltu ag awtistiaeth, mae ymchwil yn dangos nad oes gan bob unigolyn awtistig diffygion SG (Hill, 2004). Felly mae’r amrywiaeth hyn yn awgrymu nad yw diffygion SG yn nodwedd sydd gan unigolion awtistig ac felly nid yw’n hanfodol er mwyn diffinio’r cyflwr. Er nad oes gan Sofia o reidrwydd nam gwybyddol, mae’r diffygion SG yn egluro’i ymagweddau ailadroddus a diffyg trefn.</w:t>
      </w:r>
    </w:p>
    <w:p w14:paraId="721D8E0E" w14:textId="77777777" w:rsidR="00FF59A3" w:rsidRPr="008B0227" w:rsidRDefault="00FF59A3" w:rsidP="00F23045">
      <w:pPr>
        <w:spacing w:line="360" w:lineRule="auto"/>
        <w:rPr>
          <w:rFonts w:ascii="Arial" w:hAnsi="Arial" w:cs="Arial"/>
          <w:color w:val="000000" w:themeColor="text1"/>
          <w:sz w:val="22"/>
          <w:szCs w:val="22"/>
          <w:lang w:val="cy-GB"/>
        </w:rPr>
      </w:pPr>
    </w:p>
    <w:p w14:paraId="164C22AA" w14:textId="20B25750" w:rsidR="00C77B66" w:rsidRPr="008B0227" w:rsidRDefault="00485E4B" w:rsidP="00590EF3">
      <w:pPr>
        <w:spacing w:line="360" w:lineRule="auto"/>
        <w:rPr>
          <w:rFonts w:ascii="Arial" w:hAnsi="Arial" w:cs="Arial"/>
          <w:color w:val="000000" w:themeColor="text1"/>
          <w:sz w:val="22"/>
          <w:szCs w:val="22"/>
          <w:lang w:val="cy-GB"/>
        </w:rPr>
      </w:pPr>
      <w:r w:rsidRPr="00485E4B">
        <w:rPr>
          <w:rFonts w:ascii="Arial" w:hAnsi="Arial" w:cs="Arial"/>
          <w:color w:val="000000" w:themeColor="text1"/>
          <w:sz w:val="22"/>
          <w:szCs w:val="22"/>
          <w:lang w:val="cy-GB"/>
        </w:rPr>
        <w:t xml:space="preserve">Mae Cod Cynnydd Cwricwlwm i Gymru (2021b) yn nodi bod “cwricwlwm llwyddiannus, a gefnogir gan addysgu a dysgu effeithiol, yn galluogi dysgwyr i wneud cynnydd ystyrlon” (t.5). Ond dengys ymchwil Galton, Gray a Ruddock (1999, t.6) bod dau ym mhob pum plentyn yn methu gwneud y cynnydd disgwyliedig yn ystod y flwyddyn gyntaf ar ôl newid ysgol. Pwysig ydy ystyried dyddiad yr ymchwil oherwydd bellach, mae rheoliadau pontio newydd wedi dod i rym yng Nghymru sy’n galw ar ysgolion cynradd ac uwchradd i gydweithio er mwyn cefnogi cynnydd cydlynol gan ddysgwyr a chefnogi eu hanghenion a lles cyffredinol (Llywodraeth Cymru, 2022). Ond fel sy’n cael ei drafod yng Nghod Anghenion Dysgu Ychwanegol Cymru (2021c), “Gall prosesau pontio fod yn fwy heriol i blant a phobl ifanc ag ADY na'u cyfoedion, ac o ganlyniad, efallai y bydd angen cymorth ychwanegol arnynt i sicrhau nad yw'r broses bontio'n cael effaith andwyol ar eu haddysg” (t.305). Mae’r Cod ADY hefyd yn nodi bod “cynlluniau pontio fel arfer yn fwyaf effeithiol pan fabwysiedir dull sy'n canolbwyntio ar yr unigolyn” (t.305). Mae’n hanfodol felly bod anghenion personol Sofia’n cael eu hystyried er </w:t>
      </w:r>
      <w:r w:rsidRPr="00485E4B">
        <w:rPr>
          <w:rFonts w:ascii="Arial" w:hAnsi="Arial" w:cs="Arial"/>
          <w:color w:val="000000" w:themeColor="text1"/>
          <w:sz w:val="22"/>
          <w:szCs w:val="22"/>
          <w:lang w:val="cy-GB"/>
        </w:rPr>
        <w:lastRenderedPageBreak/>
        <w:t>mwyn ceisio gorchfygu’r rhwystrau bydd hi’n ei hwynebu yn ystod ei throsglwyddiad o’r ysgol gynradd i’r uwchradd. Cefnogir hyn gan ymchwil cynhaliwyd gan y National Autistic Society sy’n awgrymu mai paratoi cynnar sy’n ystyried anghenion pob plentyn yn unigol, wedi’u gyfuno â chefnogaeth cyfoedion ydy un o’r ffyrdd mwyaf effeithiol er mwyn esmwytho’r trosglwyddiad i’r ysgol uwchradd ar gyfer dysgwyr awtistig (Batten a W</w:t>
      </w:r>
      <w:r>
        <w:rPr>
          <w:rFonts w:ascii="Arial" w:hAnsi="Arial" w:cs="Arial"/>
          <w:color w:val="000000" w:themeColor="text1"/>
          <w:sz w:val="22"/>
          <w:szCs w:val="22"/>
          <w:lang w:val="cy-GB"/>
        </w:rPr>
        <w:t>i</w:t>
      </w:r>
      <w:r w:rsidRPr="00485E4B">
        <w:rPr>
          <w:rFonts w:ascii="Arial" w:hAnsi="Arial" w:cs="Arial"/>
          <w:color w:val="000000" w:themeColor="text1"/>
          <w:sz w:val="22"/>
          <w:szCs w:val="22"/>
          <w:lang w:val="cy-GB"/>
        </w:rPr>
        <w:t>thers, 2006). Wrth drafod trosglwyddiadau, mae’n bwysig ystyried model Bridges (1979). Creda Bridges mai proses ac nid digwyddiad ydy trosglwyddiad sy’n ffocysu ar y trawsnewidiadau seicolegol mae pobl yn profi yn ystod newid yn hytrach na’r digwyddiad. Mae ei fodel yn tynnu sylw at dri cham, y paratoi, y symud a’r ymgartrefu.</w:t>
      </w:r>
      <w:r w:rsidR="00C77B66" w:rsidRPr="008B0227">
        <w:rPr>
          <w:rFonts w:ascii="Arial" w:hAnsi="Arial" w:cs="Arial"/>
          <w:color w:val="000000" w:themeColor="text1"/>
          <w:sz w:val="22"/>
          <w:szCs w:val="22"/>
          <w:lang w:val="cy-GB"/>
        </w:rPr>
        <w:t xml:space="preserve"> </w:t>
      </w:r>
      <w:r w:rsidRPr="00485E4B">
        <w:rPr>
          <w:rFonts w:ascii="Arial" w:hAnsi="Arial" w:cs="Arial"/>
          <w:color w:val="000000" w:themeColor="text1"/>
          <w:sz w:val="22"/>
          <w:szCs w:val="22"/>
          <w:lang w:val="cy-GB"/>
        </w:rPr>
        <w:t>Mae’r cam cyntaf sef y paratoi yn golygu bod unigolion yn sylweddoli bod rhywbeth yn dod i ben ac yn cydnabod beth maent yn mynd i golli. Mae’r ail gam, y symud, rhwng yr her a’r newydd. Mae’</w:t>
      </w:r>
      <w:r w:rsidR="004F4928">
        <w:rPr>
          <w:rFonts w:ascii="Arial" w:hAnsi="Arial" w:cs="Arial"/>
          <w:color w:val="000000" w:themeColor="text1"/>
          <w:sz w:val="22"/>
          <w:szCs w:val="22"/>
          <w:lang w:val="cy-GB"/>
        </w:rPr>
        <w:t>r ail gam yn</w:t>
      </w:r>
      <w:r w:rsidRPr="00485E4B">
        <w:rPr>
          <w:rFonts w:ascii="Arial" w:hAnsi="Arial" w:cs="Arial"/>
          <w:color w:val="000000" w:themeColor="text1"/>
          <w:sz w:val="22"/>
          <w:szCs w:val="22"/>
          <w:lang w:val="cy-GB"/>
        </w:rPr>
        <w:t xml:space="preserve"> reiddiol i’r broses o drosglwyddo oherwydd dyma pryd mae’r aildrefniad seicolegol yn digwydd ac mae pobl yn creu prosesau newydd ac yn dysgu beth fydd eu rolau newydd. Y cam olaf ydy’r ymgartrefu, lle mae unigolion yn dechrau derbyn ac ymrwymo i’r newidiadau newydd (William Bridges Associates, dim dyddiad). Mae model Bridges yn tanseilio bod cefnogi pobl yn ystod pob cam o’r trosglwyddiad yn allweddol er mwyn sicrhau bod y trosglwyddiad yn un llwyddiannus. Gellir cymhwyso model trosglwyddo Bridges yn feddylgar i gefnogi plant awtistig yn ystod newidiadau trwy gydnabod eu hanghenion unigryw.</w:t>
      </w:r>
    </w:p>
    <w:p w14:paraId="376A7FB0" w14:textId="77777777" w:rsidR="00C77B66" w:rsidRPr="008B0227" w:rsidRDefault="00C77B66" w:rsidP="00590EF3">
      <w:pPr>
        <w:spacing w:line="360" w:lineRule="auto"/>
        <w:rPr>
          <w:rFonts w:ascii="Arial" w:hAnsi="Arial" w:cs="Arial"/>
          <w:color w:val="000000" w:themeColor="text1"/>
          <w:sz w:val="22"/>
          <w:szCs w:val="22"/>
          <w:lang w:val="cy-GB"/>
        </w:rPr>
      </w:pPr>
    </w:p>
    <w:p w14:paraId="34035AE9" w14:textId="025339B2" w:rsidR="006D55D6" w:rsidRDefault="00485E4B" w:rsidP="00590EF3">
      <w:pPr>
        <w:spacing w:line="360" w:lineRule="auto"/>
        <w:rPr>
          <w:rFonts w:ascii="Arial" w:hAnsi="Arial" w:cs="Arial"/>
          <w:color w:val="000000" w:themeColor="text1"/>
          <w:sz w:val="22"/>
          <w:szCs w:val="22"/>
          <w:lang w:val="cy-GB"/>
        </w:rPr>
      </w:pPr>
      <w:r w:rsidRPr="00485E4B">
        <w:rPr>
          <w:rFonts w:ascii="Arial" w:hAnsi="Arial" w:cs="Arial"/>
          <w:color w:val="000000" w:themeColor="text1"/>
          <w:sz w:val="22"/>
          <w:szCs w:val="22"/>
          <w:lang w:val="cy-GB"/>
        </w:rPr>
        <w:t>Un o’r ffyrdd mwyaf adnabyddus o gefnogi dysgwyr yn ystod eu trosglwyddiad o’r ysgol gynradd i’r uwchradd ydy pontio. Fel sydd wedi cael ei drafod yn flaenorol, mae pontio effeithiol yn hynod o bwysig er mwyn esmwytho’r trosglwyddiad i ddysgwyr. Yn ôl y National Autistic Society (2020), mae trefnu ymweliadau gyda’r ysgol uwchradd yn gymorth enfawr i ddysgwyr awtistig oherwydd mae’n rhoi cyfle i’r dysgwr ymgyfarwyddo â’r amgylchedd gwahanol a dod i adnabod athrawon newydd a strwythur newydd i’w diwrnodau. Bydd hyn yn ei dro yn lleddfu ar lawer o’r pryder sy’n gysylltiedig â symud i’r ysgol uwchradd. Gellir dadlau felly byddai trefnu ymweliadau blaenorol yn llawer o gymorth i Sofia er mwyn lleihau’r gorbryder mae hi’n profi. Mae’r wefan hefyd yn nodi er mwyn cefnogi dysgwr awtistig yn ystod cyfnod o newid, dylid rhoi cyfarwyddiadau clir, heb ddefnyddio ystumiau na mynegiadau penodol er mwyn eu helpu i ddeall yr hyn sy’n cael ei ddweud wrthym. Sylwer bod hyn yn cysylltu â theori DyM Baron-Cohen bod dysgwyr ar y sbectrwm awtistiaeth yn ei chael hi’n anodd darllen mynegiant y wyneb a iaith y corff. Felly trwy siarad yn glir am bethau gyda Sofia, mi fydd hi’n deall yn well beth sydd yn mynd i ddigwydd a beth sy’n ofynnol ohoni.</w:t>
      </w:r>
    </w:p>
    <w:p w14:paraId="1A664AC4" w14:textId="77777777" w:rsidR="00485E4B" w:rsidRPr="008B0227" w:rsidRDefault="00485E4B" w:rsidP="00590EF3">
      <w:pPr>
        <w:spacing w:line="360" w:lineRule="auto"/>
        <w:rPr>
          <w:rFonts w:ascii="Arial" w:hAnsi="Arial" w:cs="Arial"/>
          <w:color w:val="000000" w:themeColor="text1"/>
          <w:sz w:val="22"/>
          <w:szCs w:val="22"/>
          <w:lang w:val="cy-GB"/>
        </w:rPr>
      </w:pPr>
    </w:p>
    <w:p w14:paraId="707F5409" w14:textId="7367D344" w:rsidR="009C26CD" w:rsidRPr="008B0227" w:rsidRDefault="00485E4B" w:rsidP="009C26CD">
      <w:pPr>
        <w:spacing w:line="360" w:lineRule="auto"/>
        <w:rPr>
          <w:rFonts w:ascii="Arial" w:hAnsi="Arial" w:cs="Arial"/>
          <w:color w:val="000000" w:themeColor="text1"/>
          <w:sz w:val="22"/>
          <w:szCs w:val="22"/>
          <w:lang w:val="cy-GB"/>
        </w:rPr>
      </w:pPr>
      <w:r w:rsidRPr="00485E4B">
        <w:rPr>
          <w:rFonts w:ascii="Arial" w:hAnsi="Arial" w:cs="Arial"/>
          <w:color w:val="000000" w:themeColor="text1"/>
          <w:sz w:val="22"/>
          <w:szCs w:val="22"/>
          <w:lang w:val="cy-GB"/>
        </w:rPr>
        <w:t xml:space="preserve">Strategaeth arall gallai helpu Sofia yn ystod ei throsglwyddiad i’r ysgol uwchradd ydy i sicrhau bod ganddi gynllun datblygu unigol (CDU). Noda arweiniad atodol Estyn ar gyfer </w:t>
      </w:r>
      <w:r w:rsidRPr="00485E4B">
        <w:rPr>
          <w:rFonts w:ascii="Arial" w:hAnsi="Arial" w:cs="Arial"/>
          <w:color w:val="000000" w:themeColor="text1"/>
          <w:sz w:val="22"/>
          <w:szCs w:val="22"/>
          <w:lang w:val="cy-GB"/>
        </w:rPr>
        <w:lastRenderedPageBreak/>
        <w:t>dysgwyr ag ADY bod ‘CDUau yn gynlluniau statudol ar gyfer dysgwyr ag ADY sy’n cynnwys disgrifiad o ADY unigolyn, disgrifiad o’r ddarpariaeth ddysgu amgen sydd ei hangen ar gyfer anhawster neu anabledd dysgu dysgwr, ac unrhyw beth arall sy’n ofynnol neu wedi’i awdurdodi gan, neu o dan, Ran 2 y Ddeddf Anghenion Dysgu Ychwanegol a’r Tribiwnlys Addysg (Cymru) 2018 [Deddf ADY]</w:t>
      </w:r>
      <w:r w:rsidR="008C0A44">
        <w:rPr>
          <w:rFonts w:ascii="Arial" w:hAnsi="Arial" w:cs="Arial"/>
          <w:color w:val="000000" w:themeColor="text1"/>
          <w:sz w:val="22"/>
          <w:szCs w:val="22"/>
          <w:lang w:val="cy-GB"/>
        </w:rPr>
        <w:t>’</w:t>
      </w:r>
      <w:r w:rsidRPr="00485E4B">
        <w:rPr>
          <w:rFonts w:ascii="Arial" w:hAnsi="Arial" w:cs="Arial"/>
          <w:color w:val="000000" w:themeColor="text1"/>
          <w:sz w:val="22"/>
          <w:szCs w:val="22"/>
          <w:lang w:val="cy-GB"/>
        </w:rPr>
        <w:t xml:space="preserve"> (t.20)(deddfwriaeth, 2021). Bydd gan bawb sydd ag ADY oed 0-25 CDU a chaiff ei gyfeirio at fel cynllun oherwydd ei fod yn cynllunio’r camau mae’n rhaid eu cymryd ar gyfer y dysgwr ac yn darparu cofnod er mwyn medru monitro ac adolygu cynnydd y dysgwyr (SNAP Cymru, dim dyddiad). Bydd gan bob CDU yr un strwythur sylfaenol oherwydd bydd yn ‘sicrhau cysondeb a chydraddoldeb eang o ran y ffordd y caiff dysgwyr eu trin a bydd yn sail i gydlyniad y system ADY yn ei chyfanrwydd a chludadwyedd cynlluniau unigol’ (Cyngor Sir Gar, dim dyddiad). Felly bydd CDU Sofia yn sicrhau bod yr ysgol uwchradd yn ymwybodol o’i anghenion a’i chamau nesaf sydd felly’n esmwytho’i throsglwyddiad i’r ysgol uwchradd.</w:t>
      </w:r>
    </w:p>
    <w:p w14:paraId="0D123F27" w14:textId="77777777" w:rsidR="00330F4D" w:rsidRPr="008B0227" w:rsidRDefault="00330F4D" w:rsidP="009C26CD">
      <w:pPr>
        <w:spacing w:line="360" w:lineRule="auto"/>
        <w:rPr>
          <w:rFonts w:ascii="Arial" w:hAnsi="Arial" w:cs="Arial"/>
          <w:color w:val="000000" w:themeColor="text1"/>
          <w:sz w:val="22"/>
          <w:szCs w:val="22"/>
          <w:lang w:val="cy-GB"/>
        </w:rPr>
      </w:pPr>
    </w:p>
    <w:p w14:paraId="73893D6C" w14:textId="278F4E59" w:rsidR="00733E04" w:rsidRPr="008B0227" w:rsidRDefault="00485E4B" w:rsidP="00590EF3">
      <w:pPr>
        <w:spacing w:line="360" w:lineRule="auto"/>
        <w:rPr>
          <w:rFonts w:ascii="Arial" w:hAnsi="Arial" w:cs="Arial"/>
          <w:color w:val="000000" w:themeColor="text1"/>
          <w:sz w:val="22"/>
          <w:szCs w:val="22"/>
          <w:lang w:val="cy-GB"/>
        </w:rPr>
      </w:pPr>
      <w:r w:rsidRPr="00485E4B">
        <w:rPr>
          <w:rFonts w:ascii="Arial" w:hAnsi="Arial" w:cs="Arial"/>
          <w:color w:val="000000" w:themeColor="text1"/>
          <w:sz w:val="22"/>
          <w:szCs w:val="22"/>
          <w:lang w:val="cy-GB"/>
        </w:rPr>
        <w:t>Mae astudiaethau mwy diweddar yn trafod pwysigrwydd cynnwys rhieni yn ystod y broses o drosglwyddo er mwyn darparu’r dysgwr â rhwydwaith cymorth cyson yn yr ysgol ac yn y cartref (Hebron, 2017). Gweler bod yr hyn meddai Hebron yn cysylltu â theori systemau ecolegol Bronfenbrenner (1977).  Awgryma theori Bronfenbrenner bod datblygiad plentyn yn cael ei ddylanwadu gan haenau gwahanol o ryngweithio o fewn eu hamgylchedd. Nid yn unig mae’r plentyn yn cael ei ddylanwadu gan yr amgylchedd sydd fwyaf agos ato megis teulu a ffrindiau, ond mae hefyd yn cael ei ddylanwadu gan amgylcheddau anuniongyrchol megis diwylliant a systemau gwleidyddol. Yn ystod y trosglwyddiad i’r ysgol uwchradd, awgryma Bronfenbrenner bod mesosystem cefnogol, sef y rhyngweithio rhwng y meicrosystemau gwahanol, yn gallu esmwytho’r cyfnod o newid yn sylweddol i’r dysgwr (1994, t.39). Noda Hebron (2017) hefyd, pan fydd athrawon a rhieni’n cyfathrebu’n effeithiol, maent yn medru rhannu gwybodaeth bwysig am anghenion, hoffterau a strategaethau ymdopi’r dysgwr er mwyn esmwytho’r trosglwyddiad (t.9). Sylwer bod hyn yn cysylltu â’r CDU trafodwyd yn flaenorol.</w:t>
      </w:r>
    </w:p>
    <w:p w14:paraId="71C0E721" w14:textId="77777777" w:rsidR="000E186F" w:rsidRPr="008B0227" w:rsidRDefault="000E186F" w:rsidP="00590EF3">
      <w:pPr>
        <w:spacing w:line="360" w:lineRule="auto"/>
        <w:rPr>
          <w:rFonts w:ascii="Arial" w:hAnsi="Arial" w:cs="Arial"/>
          <w:color w:val="000000" w:themeColor="text1"/>
          <w:sz w:val="22"/>
          <w:szCs w:val="22"/>
          <w:lang w:val="cy-GB"/>
        </w:rPr>
      </w:pPr>
    </w:p>
    <w:p w14:paraId="46C79B48" w14:textId="24190EB3" w:rsidR="00C26420" w:rsidRPr="008B0227" w:rsidRDefault="00485E4B" w:rsidP="00590EF3">
      <w:pPr>
        <w:spacing w:line="360" w:lineRule="auto"/>
        <w:rPr>
          <w:rFonts w:ascii="Arial" w:hAnsi="Arial" w:cs="Arial"/>
          <w:color w:val="000000" w:themeColor="text1"/>
          <w:sz w:val="22"/>
          <w:szCs w:val="22"/>
          <w:lang w:val="cy-GB"/>
        </w:rPr>
      </w:pPr>
      <w:r w:rsidRPr="00485E4B">
        <w:rPr>
          <w:rFonts w:ascii="Arial" w:hAnsi="Arial" w:cs="Arial"/>
          <w:color w:val="000000" w:themeColor="text1"/>
          <w:sz w:val="22"/>
          <w:szCs w:val="22"/>
          <w:lang w:val="cy-GB"/>
        </w:rPr>
        <w:t xml:space="preserve">Mae’r trosglwyddiad o’r ysgol gynradd i’r uwchradd yn gyfnod heriol i unrhyw ddysgwr, heb sôn am ddysgwr sydd ag ADY. Does dim dwywaith felly bod hi’n hanfodol bod Sofia yn derbyn y cymorth gorau posib sy’n berthnasol i’w anghenion personol hi yn ystod y newid hwn. Wrth edrych ar waith damcaniaethwyr arwyddocaol, sylwer bod y strategaethau cymorth sydd wedi cael eu trafod yn ystod yr aseiniad yn cysylltu â’r hyn ddywedai’r damcaniaethwyr. Credaf mai pontio ydy un o’r strategaethau pwysicaf i helpu Sofia yn ystod ei throsglwyddiad i’r ysgol uwchradd oherwydd mae’n rhoi’r cyfle iddi ddod yn gyfarwydd ag amgylchedd a phobl newydd yn raddol sydd felly’n lleddfu ar lawer o’r orbryder sy’n aml yn </w:t>
      </w:r>
      <w:r w:rsidRPr="00485E4B">
        <w:rPr>
          <w:rFonts w:ascii="Arial" w:hAnsi="Arial" w:cs="Arial"/>
          <w:color w:val="000000" w:themeColor="text1"/>
          <w:sz w:val="22"/>
          <w:szCs w:val="22"/>
          <w:lang w:val="cy-GB"/>
        </w:rPr>
        <w:lastRenderedPageBreak/>
        <w:t xml:space="preserve">gysylltiedig â symud i’r ysgol uwchradd. Mae’r CDUau sy’n statudol yng Nghymru hefyd yn hanfodol oherwydd mae’n sicrhau bod yna gysondeb yn y cymorth sy’n cael ei ddarparu i Sofia rhwng yr ysgolion sydd hefyd yn esmwytho’r trosglwyddiad. Yn yr un modd, mae cydweithio effeithiol gyda rhieni a gofalwyr yn sicrhau cysondeb a bod elfennau cyfarwydd </w:t>
      </w:r>
      <w:r w:rsidR="008C0A44">
        <w:rPr>
          <w:rFonts w:ascii="Arial" w:hAnsi="Arial" w:cs="Arial"/>
          <w:color w:val="000000" w:themeColor="text1"/>
          <w:sz w:val="22"/>
          <w:szCs w:val="22"/>
          <w:lang w:val="cy-GB"/>
        </w:rPr>
        <w:t>o’u hamgylch</w:t>
      </w:r>
      <w:r w:rsidRPr="00485E4B">
        <w:rPr>
          <w:rFonts w:ascii="Arial" w:hAnsi="Arial" w:cs="Arial"/>
          <w:color w:val="000000" w:themeColor="text1"/>
          <w:sz w:val="22"/>
          <w:szCs w:val="22"/>
          <w:lang w:val="cy-GB"/>
        </w:rPr>
        <w:t xml:space="preserve"> ymysg yr holl newid.</w:t>
      </w:r>
    </w:p>
    <w:p w14:paraId="0C257B2A" w14:textId="77777777" w:rsidR="00C26420" w:rsidRPr="008B0227" w:rsidRDefault="00C26420" w:rsidP="00590EF3">
      <w:pPr>
        <w:spacing w:line="360" w:lineRule="auto"/>
        <w:rPr>
          <w:rFonts w:ascii="Arial" w:hAnsi="Arial" w:cs="Arial"/>
          <w:color w:val="000000" w:themeColor="text1"/>
          <w:sz w:val="22"/>
          <w:szCs w:val="22"/>
          <w:lang w:val="cy-GB"/>
        </w:rPr>
      </w:pPr>
    </w:p>
    <w:p w14:paraId="2D887039" w14:textId="10946081" w:rsidR="00C26420" w:rsidRDefault="0029258B" w:rsidP="00590EF3">
      <w:pPr>
        <w:spacing w:line="360" w:lineRule="auto"/>
        <w:rPr>
          <w:rFonts w:ascii="Arial" w:hAnsi="Arial" w:cs="Arial"/>
          <w:color w:val="000000" w:themeColor="text1"/>
          <w:sz w:val="22"/>
          <w:szCs w:val="22"/>
          <w:lang w:val="cy-GB"/>
        </w:rPr>
      </w:pPr>
      <w:r w:rsidRPr="0029258B">
        <w:rPr>
          <w:rFonts w:ascii="Arial" w:hAnsi="Arial" w:cs="Arial"/>
          <w:color w:val="000000" w:themeColor="text1"/>
          <w:sz w:val="22"/>
          <w:szCs w:val="22"/>
          <w:lang w:val="cy-GB"/>
        </w:rPr>
        <w:t>Yn ystod fy ngyrfa, rwy’n gobeithio dysgu oed blwyddyn 5/6, sef yr oedrannau lle mae’r cyfnod pontio fel arfer yn dechrau, felly mae ysgrifennu’r aseiniad hwn wedi bod yn hynod o ddefnyddiol i mi yn bersonol. Mae fy nealltwriaeth o’r broses o drosglwyddo wedi gwella’n sylweddol a bellach rwy’n deall y pwysigrwydd o gefnogi pob dysgwr, yn enwedig y rheini sydd ag ADY yn ystod y newid mawr hwn yn eu bywydau. Mae hefyd gen i ddealltwriaeth well o beth i wneud yn ystod y broses petai gen i ddysgwr sydd ar y sbectrwm awtistiaeth yn fy nosbarth. Mae gen i syniad gwell o’r strategaethau gellir eu defnyddio er mwyn cefnogi dysgwr ASC yn ystod ei drosglwyddiad i’r ysgol uwchradd ond rwyf hefyd yn cydnabod na fydd y strategaethau sydd wedi cael eu trafod yn yr aseiniad hwn yn gymorth i bob dysgwr awtistig</w:t>
      </w:r>
      <w:r>
        <w:rPr>
          <w:rFonts w:ascii="Arial" w:hAnsi="Arial" w:cs="Arial"/>
          <w:color w:val="000000" w:themeColor="text1"/>
          <w:sz w:val="22"/>
          <w:szCs w:val="22"/>
          <w:lang w:val="cy-GB"/>
        </w:rPr>
        <w:t>.</w:t>
      </w:r>
    </w:p>
    <w:p w14:paraId="63D477BC" w14:textId="77777777" w:rsidR="00CF6496" w:rsidRDefault="00CF6496" w:rsidP="00590EF3">
      <w:pPr>
        <w:spacing w:line="360" w:lineRule="auto"/>
        <w:rPr>
          <w:rFonts w:ascii="Arial" w:hAnsi="Arial" w:cs="Arial"/>
          <w:color w:val="000000" w:themeColor="text1"/>
          <w:sz w:val="22"/>
          <w:szCs w:val="22"/>
          <w:lang w:val="cy-GB"/>
        </w:rPr>
      </w:pPr>
    </w:p>
    <w:p w14:paraId="177282EA" w14:textId="77777777" w:rsidR="00CF6496" w:rsidRDefault="00CF6496" w:rsidP="00590EF3">
      <w:pPr>
        <w:spacing w:line="360" w:lineRule="auto"/>
        <w:rPr>
          <w:rFonts w:ascii="Arial" w:hAnsi="Arial" w:cs="Arial"/>
          <w:color w:val="000000" w:themeColor="text1"/>
          <w:sz w:val="22"/>
          <w:szCs w:val="22"/>
          <w:lang w:val="cy-GB"/>
        </w:rPr>
      </w:pPr>
    </w:p>
    <w:p w14:paraId="3432F634" w14:textId="77777777" w:rsidR="00AF6C4E" w:rsidRDefault="00AF6C4E" w:rsidP="00590EF3">
      <w:pPr>
        <w:spacing w:line="360" w:lineRule="auto"/>
        <w:rPr>
          <w:rFonts w:ascii="Arial" w:hAnsi="Arial" w:cs="Arial"/>
          <w:color w:val="000000" w:themeColor="text1"/>
          <w:sz w:val="22"/>
          <w:szCs w:val="22"/>
          <w:lang w:val="cy-GB"/>
        </w:rPr>
      </w:pPr>
    </w:p>
    <w:p w14:paraId="274595BF" w14:textId="77777777" w:rsidR="00AF6C4E" w:rsidRDefault="00AF6C4E" w:rsidP="00590EF3">
      <w:pPr>
        <w:spacing w:line="360" w:lineRule="auto"/>
        <w:rPr>
          <w:rFonts w:ascii="Arial" w:hAnsi="Arial" w:cs="Arial"/>
          <w:color w:val="000000" w:themeColor="text1"/>
          <w:sz w:val="22"/>
          <w:szCs w:val="22"/>
          <w:lang w:val="cy-GB"/>
        </w:rPr>
      </w:pPr>
    </w:p>
    <w:p w14:paraId="14A82710" w14:textId="0B8CF498" w:rsidR="00C81B01" w:rsidRPr="00577100" w:rsidRDefault="00C81B01" w:rsidP="00C81B01">
      <w:pPr>
        <w:spacing w:line="360" w:lineRule="auto"/>
        <w:rPr>
          <w:rFonts w:ascii="Arial" w:hAnsi="Arial" w:cs="Arial"/>
          <w:color w:val="4C94D8" w:themeColor="text2" w:themeTint="80"/>
          <w:sz w:val="22"/>
          <w:szCs w:val="22"/>
          <w:lang w:val="cy-GB"/>
        </w:rPr>
      </w:pPr>
    </w:p>
    <w:p w14:paraId="4891A5A1" w14:textId="77777777" w:rsidR="00520FAC" w:rsidRDefault="00520FAC" w:rsidP="00C81B01">
      <w:pPr>
        <w:spacing w:line="360" w:lineRule="auto"/>
        <w:rPr>
          <w:rFonts w:ascii="Arial" w:hAnsi="Arial" w:cs="Arial"/>
          <w:lang w:val="cy-GB"/>
        </w:rPr>
      </w:pPr>
    </w:p>
    <w:p w14:paraId="4FF2BBAA" w14:textId="77777777" w:rsidR="00520FAC" w:rsidRDefault="00520FAC" w:rsidP="00C81B01">
      <w:pPr>
        <w:spacing w:line="360" w:lineRule="auto"/>
        <w:rPr>
          <w:rFonts w:ascii="Arial" w:hAnsi="Arial" w:cs="Arial"/>
          <w:lang w:val="cy-GB"/>
        </w:rPr>
      </w:pPr>
    </w:p>
    <w:p w14:paraId="29A65AFE" w14:textId="77777777" w:rsidR="00520FAC" w:rsidRDefault="00520FAC" w:rsidP="00C81B01">
      <w:pPr>
        <w:spacing w:line="360" w:lineRule="auto"/>
        <w:rPr>
          <w:rFonts w:ascii="Arial" w:hAnsi="Arial" w:cs="Arial"/>
          <w:lang w:val="cy-GB"/>
        </w:rPr>
      </w:pPr>
    </w:p>
    <w:p w14:paraId="34806009" w14:textId="77777777" w:rsidR="00520FAC" w:rsidRDefault="00520FAC" w:rsidP="00C81B01">
      <w:pPr>
        <w:spacing w:line="360" w:lineRule="auto"/>
        <w:rPr>
          <w:rFonts w:ascii="Arial" w:hAnsi="Arial" w:cs="Arial"/>
          <w:lang w:val="cy-GB"/>
        </w:rPr>
      </w:pPr>
    </w:p>
    <w:p w14:paraId="2B5CE080" w14:textId="77777777" w:rsidR="00520FAC" w:rsidRDefault="00520FAC" w:rsidP="00C81B01">
      <w:pPr>
        <w:spacing w:line="360" w:lineRule="auto"/>
        <w:rPr>
          <w:rFonts w:ascii="Arial" w:hAnsi="Arial" w:cs="Arial"/>
          <w:lang w:val="cy-GB"/>
        </w:rPr>
      </w:pPr>
    </w:p>
    <w:p w14:paraId="739B7CA7" w14:textId="77777777" w:rsidR="00862762" w:rsidRDefault="00862762" w:rsidP="00C81B01">
      <w:pPr>
        <w:spacing w:line="360" w:lineRule="auto"/>
        <w:rPr>
          <w:rFonts w:ascii="Arial" w:hAnsi="Arial" w:cs="Arial"/>
          <w:lang w:val="cy-GB"/>
        </w:rPr>
      </w:pPr>
    </w:p>
    <w:p w14:paraId="30FE6146" w14:textId="77777777" w:rsidR="00862762" w:rsidRDefault="00862762" w:rsidP="00C81B01">
      <w:pPr>
        <w:spacing w:line="360" w:lineRule="auto"/>
        <w:rPr>
          <w:rFonts w:ascii="Arial" w:hAnsi="Arial" w:cs="Arial"/>
          <w:lang w:val="cy-GB"/>
        </w:rPr>
      </w:pPr>
    </w:p>
    <w:p w14:paraId="0C491E76" w14:textId="77777777" w:rsidR="00862762" w:rsidRDefault="00862762" w:rsidP="00C81B01">
      <w:pPr>
        <w:spacing w:line="360" w:lineRule="auto"/>
        <w:rPr>
          <w:rFonts w:ascii="Arial" w:hAnsi="Arial" w:cs="Arial"/>
          <w:lang w:val="cy-GB"/>
        </w:rPr>
      </w:pPr>
    </w:p>
    <w:p w14:paraId="788C1D2A" w14:textId="77777777" w:rsidR="00862762" w:rsidRDefault="00862762" w:rsidP="00C81B01">
      <w:pPr>
        <w:spacing w:line="360" w:lineRule="auto"/>
        <w:rPr>
          <w:rFonts w:ascii="Arial" w:hAnsi="Arial" w:cs="Arial"/>
          <w:lang w:val="cy-GB"/>
        </w:rPr>
      </w:pPr>
    </w:p>
    <w:p w14:paraId="09E4F6A6" w14:textId="77777777" w:rsidR="00862762" w:rsidRDefault="00862762" w:rsidP="00C81B01">
      <w:pPr>
        <w:spacing w:line="360" w:lineRule="auto"/>
        <w:rPr>
          <w:rFonts w:ascii="Arial" w:hAnsi="Arial" w:cs="Arial"/>
          <w:lang w:val="cy-GB"/>
        </w:rPr>
      </w:pPr>
    </w:p>
    <w:p w14:paraId="674AD1B1" w14:textId="77777777" w:rsidR="00862762" w:rsidRDefault="00862762" w:rsidP="00C81B01">
      <w:pPr>
        <w:spacing w:line="360" w:lineRule="auto"/>
        <w:rPr>
          <w:rFonts w:ascii="Arial" w:hAnsi="Arial" w:cs="Arial"/>
          <w:lang w:val="cy-GB"/>
        </w:rPr>
      </w:pPr>
    </w:p>
    <w:p w14:paraId="5754EC78" w14:textId="77777777" w:rsidR="00FB5BC2" w:rsidRDefault="00FB5BC2" w:rsidP="00F57335">
      <w:pPr>
        <w:spacing w:line="360" w:lineRule="auto"/>
        <w:rPr>
          <w:rFonts w:ascii="Arial" w:hAnsi="Arial" w:cs="Arial"/>
          <w:lang w:val="cy-GB"/>
        </w:rPr>
      </w:pPr>
    </w:p>
    <w:p w14:paraId="688B0969" w14:textId="77777777" w:rsidR="0029258B" w:rsidRDefault="0029258B" w:rsidP="00F57335">
      <w:pPr>
        <w:spacing w:line="360" w:lineRule="auto"/>
        <w:rPr>
          <w:rFonts w:ascii="Arial" w:hAnsi="Arial" w:cs="Arial"/>
          <w:lang w:val="cy-GB"/>
        </w:rPr>
      </w:pPr>
    </w:p>
    <w:p w14:paraId="276765DB" w14:textId="77777777" w:rsidR="0029258B" w:rsidRDefault="0029258B" w:rsidP="00F57335">
      <w:pPr>
        <w:spacing w:line="360" w:lineRule="auto"/>
        <w:rPr>
          <w:rFonts w:ascii="Arial" w:hAnsi="Arial" w:cs="Arial"/>
          <w:lang w:val="cy-GB"/>
        </w:rPr>
      </w:pPr>
    </w:p>
    <w:p w14:paraId="724673E6" w14:textId="3EFEFDA1" w:rsidR="00121C4B" w:rsidRPr="00F57335" w:rsidRDefault="009D220B" w:rsidP="00F57335">
      <w:pPr>
        <w:spacing w:line="360" w:lineRule="auto"/>
        <w:rPr>
          <w:rFonts w:ascii="Arial" w:hAnsi="Arial" w:cs="Arial"/>
          <w:b/>
          <w:bCs/>
          <w:lang w:val="cy-GB"/>
        </w:rPr>
      </w:pPr>
      <w:r w:rsidRPr="00F57335">
        <w:rPr>
          <w:rFonts w:ascii="Arial" w:hAnsi="Arial" w:cs="Arial"/>
          <w:b/>
          <w:bCs/>
          <w:lang w:val="cy-GB"/>
        </w:rPr>
        <w:lastRenderedPageBreak/>
        <w:t>Rhestr Gyfeiriadau</w:t>
      </w:r>
    </w:p>
    <w:p w14:paraId="3D6E87CE"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Ashburner, J., Ziviani, J., a Rodger, S. (2008). Sensory processing and classroom emotional, behavioral, and educational outcomes in children with autism spectrum disorder. </w:t>
      </w:r>
      <w:r w:rsidRPr="00FB5BC2">
        <w:rPr>
          <w:rFonts w:ascii="Arial" w:hAnsi="Arial" w:cs="Arial"/>
          <w:i/>
          <w:iCs/>
          <w:sz w:val="22"/>
          <w:szCs w:val="22"/>
          <w:lang w:val="cy-GB"/>
        </w:rPr>
        <w:t>American Journal of Occupational Therapy</w:t>
      </w:r>
      <w:r w:rsidRPr="00FB5BC2">
        <w:rPr>
          <w:rFonts w:ascii="Arial" w:hAnsi="Arial" w:cs="Arial"/>
          <w:sz w:val="22"/>
          <w:szCs w:val="22"/>
          <w:lang w:val="cy-GB"/>
        </w:rPr>
        <w:t>, 62(5), t.564-573.</w:t>
      </w:r>
    </w:p>
    <w:p w14:paraId="545CB177"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 xml:space="preserve">Autism Speaks (Dim Dyddiad) What is executive functioning? Ar gael yn: </w:t>
      </w:r>
      <w:r w:rsidRPr="00FB5BC2">
        <w:rPr>
          <w:rFonts w:ascii="Arial" w:hAnsi="Arial" w:cs="Arial"/>
          <w:sz w:val="22"/>
          <w:szCs w:val="22"/>
          <w:lang w:val="cy-GB"/>
        </w:rPr>
        <w:fldChar w:fldCharType="begin"/>
      </w:r>
      <w:r w:rsidRPr="00FB5BC2">
        <w:rPr>
          <w:rFonts w:ascii="Arial" w:hAnsi="Arial" w:cs="Arial"/>
          <w:sz w:val="22"/>
          <w:szCs w:val="22"/>
          <w:lang w:val="cy-GB"/>
        </w:rPr>
        <w:instrText>HYPERLINK "https://www.autismspeaks.org/executive-functioning"</w:instrText>
      </w:r>
      <w:r w:rsidRPr="00FB5BC2">
        <w:rPr>
          <w:rFonts w:ascii="Arial" w:hAnsi="Arial" w:cs="Arial"/>
          <w:sz w:val="22"/>
          <w:szCs w:val="22"/>
          <w:lang w:val="cy-GB"/>
        </w:rPr>
      </w:r>
      <w:r w:rsidRPr="00FB5BC2">
        <w:rPr>
          <w:rFonts w:ascii="Arial" w:hAnsi="Arial" w:cs="Arial"/>
          <w:sz w:val="22"/>
          <w:szCs w:val="22"/>
          <w:lang w:val="cy-GB"/>
        </w:rPr>
        <w:fldChar w:fldCharType="separate"/>
      </w:r>
      <w:r w:rsidRPr="00FB5BC2">
        <w:rPr>
          <w:rStyle w:val="Hyperlink"/>
          <w:rFonts w:ascii="Arial" w:hAnsi="Arial" w:cs="Arial"/>
          <w:sz w:val="22"/>
          <w:szCs w:val="22"/>
          <w:lang w:val="cy-GB"/>
        </w:rPr>
        <w:t>https://www.autismspeaks.org/executive-functioning</w:t>
      </w:r>
      <w:r w:rsidRPr="00FB5BC2">
        <w:rPr>
          <w:rStyle w:val="Hyperlink"/>
          <w:rFonts w:ascii="Arial" w:hAnsi="Arial" w:cs="Arial"/>
          <w:sz w:val="22"/>
          <w:szCs w:val="22"/>
          <w:lang w:val="cy-GB"/>
        </w:rPr>
        <w:fldChar w:fldCharType="end"/>
      </w:r>
      <w:r w:rsidRPr="00FB5BC2">
        <w:rPr>
          <w:rFonts w:ascii="Arial" w:hAnsi="Arial" w:cs="Arial"/>
          <w:sz w:val="22"/>
          <w:szCs w:val="22"/>
          <w:lang w:val="cy-GB"/>
        </w:rPr>
        <w:t xml:space="preserve"> (Cyrchwyd: 7 Tachwedd 2024).</w:t>
      </w:r>
    </w:p>
    <w:p w14:paraId="031114F3"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 xml:space="preserve">Baron-Cohen, S. (1985) Does the autistic child have a “theory of mind”?  Cognition, 21(2), t.37-46. Ar gael yn: </w:t>
      </w:r>
      <w:r w:rsidRPr="00FB5BC2">
        <w:rPr>
          <w:rFonts w:ascii="Arial" w:hAnsi="Arial" w:cs="Arial"/>
          <w:sz w:val="22"/>
          <w:szCs w:val="22"/>
          <w:lang w:val="cy-GB"/>
        </w:rPr>
        <w:fldChar w:fldCharType="begin"/>
      </w:r>
      <w:r w:rsidRPr="00FB5BC2">
        <w:rPr>
          <w:rFonts w:ascii="Arial" w:hAnsi="Arial" w:cs="Arial"/>
          <w:sz w:val="22"/>
          <w:szCs w:val="22"/>
          <w:lang w:val="cy-GB"/>
        </w:rPr>
        <w:instrText>HYPERLINK "http://autismtruths.org/pdf/3.%20Does%20the%20autistic%20child%20have%20a%20theory%20of%20mind_SBC.pdf"</w:instrText>
      </w:r>
      <w:r w:rsidRPr="00FB5BC2">
        <w:rPr>
          <w:rFonts w:ascii="Arial" w:hAnsi="Arial" w:cs="Arial"/>
          <w:sz w:val="22"/>
          <w:szCs w:val="22"/>
          <w:lang w:val="cy-GB"/>
        </w:rPr>
      </w:r>
      <w:r w:rsidRPr="00FB5BC2">
        <w:rPr>
          <w:rFonts w:ascii="Arial" w:hAnsi="Arial" w:cs="Arial"/>
          <w:sz w:val="22"/>
          <w:szCs w:val="22"/>
          <w:lang w:val="cy-GB"/>
        </w:rPr>
        <w:fldChar w:fldCharType="separate"/>
      </w:r>
      <w:r w:rsidRPr="00FB5BC2">
        <w:rPr>
          <w:rStyle w:val="Hyperlink"/>
          <w:rFonts w:ascii="Arial" w:hAnsi="Arial" w:cs="Arial"/>
          <w:sz w:val="22"/>
          <w:szCs w:val="22"/>
          <w:lang w:val="cy-GB"/>
        </w:rPr>
        <w:t>http://autismtruths.org/pdf/3.%20Does%20the%20autistic%20child%20have%20a%20theory%20of%20mind_SBC.pdf</w:t>
      </w:r>
      <w:r w:rsidRPr="00FB5BC2">
        <w:rPr>
          <w:rStyle w:val="Hyperlink"/>
          <w:rFonts w:ascii="Arial" w:hAnsi="Arial" w:cs="Arial"/>
          <w:sz w:val="22"/>
          <w:szCs w:val="22"/>
          <w:lang w:val="cy-GB"/>
        </w:rPr>
        <w:fldChar w:fldCharType="end"/>
      </w:r>
      <w:r w:rsidRPr="00FB5BC2">
        <w:rPr>
          <w:rFonts w:ascii="Arial" w:hAnsi="Arial" w:cs="Arial"/>
          <w:sz w:val="22"/>
          <w:szCs w:val="22"/>
          <w:lang w:val="cy-GB"/>
        </w:rPr>
        <w:t xml:space="preserve"> (Cyrchwyd: 3 Tachwedd 2024)</w:t>
      </w:r>
    </w:p>
    <w:p w14:paraId="415D6546"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 xml:space="preserve">Baron-Cohen, S. (2010) Empathizing, systemizing, and the extreme male brain theory of autism. Progress in Brain Research, 168(11), t.167-185. DOI: 10.1016/B978-0-444-53630-3.00011-7. </w:t>
      </w:r>
    </w:p>
    <w:p w14:paraId="370314B6"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Batten, A. a Withers, L., 2006. Make school make sense: Autism and education: The reality for families today. London: National Autistic Society.</w:t>
      </w:r>
    </w:p>
    <w:p w14:paraId="0C3E5247"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 xml:space="preserve">Bellini, S. (2006). The Development of Social Anxiety in Adolescents With Autism Spectrum Disorders. Focus on Autism and Other Developmental Disabilities, 21(3), t.138-145. Ar gael yn: </w:t>
      </w:r>
      <w:r w:rsidRPr="00FB5BC2">
        <w:rPr>
          <w:rFonts w:ascii="Arial" w:hAnsi="Arial" w:cs="Arial"/>
          <w:sz w:val="22"/>
          <w:szCs w:val="22"/>
          <w:lang w:val="cy-GB"/>
        </w:rPr>
        <w:fldChar w:fldCharType="begin"/>
      </w:r>
      <w:r w:rsidRPr="00FB5BC2">
        <w:rPr>
          <w:rFonts w:ascii="Arial" w:hAnsi="Arial" w:cs="Arial"/>
          <w:sz w:val="22"/>
          <w:szCs w:val="22"/>
          <w:lang w:val="cy-GB"/>
        </w:rPr>
        <w:instrText>HYPERLINK "https://doi.org/10.1177/10883576060210030201"</w:instrText>
      </w:r>
      <w:r w:rsidRPr="00FB5BC2">
        <w:rPr>
          <w:rFonts w:ascii="Arial" w:hAnsi="Arial" w:cs="Arial"/>
          <w:sz w:val="22"/>
          <w:szCs w:val="22"/>
          <w:lang w:val="cy-GB"/>
        </w:rPr>
      </w:r>
      <w:r w:rsidRPr="00FB5BC2">
        <w:rPr>
          <w:rFonts w:ascii="Arial" w:hAnsi="Arial" w:cs="Arial"/>
          <w:sz w:val="22"/>
          <w:szCs w:val="22"/>
          <w:lang w:val="cy-GB"/>
        </w:rPr>
        <w:fldChar w:fldCharType="separate"/>
      </w:r>
      <w:r w:rsidRPr="00FB5BC2">
        <w:rPr>
          <w:rStyle w:val="Hyperlink"/>
          <w:rFonts w:ascii="Arial" w:hAnsi="Arial" w:cs="Arial"/>
          <w:sz w:val="22"/>
          <w:szCs w:val="22"/>
          <w:lang w:val="cy-GB"/>
        </w:rPr>
        <w:t>https://doi.org/10.1177/10883576060210</w:t>
      </w:r>
      <w:r w:rsidRPr="00FB5BC2">
        <w:rPr>
          <w:rStyle w:val="Hyperlink"/>
          <w:rFonts w:ascii="Arial" w:hAnsi="Arial" w:cs="Arial"/>
          <w:sz w:val="22"/>
          <w:szCs w:val="22"/>
          <w:lang w:val="cy-GB"/>
        </w:rPr>
        <w:t>0</w:t>
      </w:r>
      <w:r w:rsidRPr="00FB5BC2">
        <w:rPr>
          <w:rStyle w:val="Hyperlink"/>
          <w:rFonts w:ascii="Arial" w:hAnsi="Arial" w:cs="Arial"/>
          <w:sz w:val="22"/>
          <w:szCs w:val="22"/>
          <w:lang w:val="cy-GB"/>
        </w:rPr>
        <w:t>30201</w:t>
      </w:r>
      <w:r w:rsidRPr="00FB5BC2">
        <w:rPr>
          <w:rFonts w:ascii="Arial" w:hAnsi="Arial" w:cs="Arial"/>
          <w:sz w:val="22"/>
          <w:szCs w:val="22"/>
          <w:lang w:val="cy-GB"/>
        </w:rPr>
        <w:fldChar w:fldCharType="end"/>
      </w:r>
      <w:r w:rsidRPr="00FB5BC2">
        <w:rPr>
          <w:rFonts w:ascii="Arial" w:hAnsi="Arial" w:cs="Arial"/>
          <w:sz w:val="22"/>
          <w:szCs w:val="22"/>
          <w:lang w:val="cy-GB"/>
        </w:rPr>
        <w:t xml:space="preserve"> (Cyrchwyd: 2 Tachwedd 2024).</w:t>
      </w:r>
    </w:p>
    <w:p w14:paraId="4DE71E32"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rPr>
        <w:t>Bridges, W., 1979. </w:t>
      </w:r>
      <w:r w:rsidRPr="00FB5BC2">
        <w:rPr>
          <w:rFonts w:ascii="Arial" w:hAnsi="Arial" w:cs="Arial"/>
          <w:i/>
          <w:iCs/>
          <w:sz w:val="22"/>
          <w:szCs w:val="22"/>
        </w:rPr>
        <w:t>Transitions: Making Sense of Life's Changes.</w:t>
      </w:r>
      <w:r w:rsidRPr="00FB5BC2">
        <w:rPr>
          <w:rFonts w:ascii="Arial" w:hAnsi="Arial" w:cs="Arial"/>
          <w:sz w:val="22"/>
          <w:szCs w:val="22"/>
        </w:rPr>
        <w:t> Reading, MA: Addison-Wesley.</w:t>
      </w:r>
    </w:p>
    <w:p w14:paraId="367E4B0B"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Bridges, W., 1991. </w:t>
      </w:r>
      <w:r w:rsidRPr="00FB5BC2">
        <w:rPr>
          <w:rFonts w:ascii="Arial" w:hAnsi="Arial" w:cs="Arial"/>
          <w:i/>
          <w:iCs/>
          <w:sz w:val="22"/>
          <w:szCs w:val="22"/>
          <w:lang w:val="cy-GB"/>
        </w:rPr>
        <w:t>Managing transitions: making the most of change</w:t>
      </w:r>
      <w:r w:rsidRPr="00FB5BC2">
        <w:rPr>
          <w:rFonts w:ascii="Arial" w:hAnsi="Arial" w:cs="Arial"/>
          <w:sz w:val="22"/>
          <w:szCs w:val="22"/>
          <w:lang w:val="cy-GB"/>
        </w:rPr>
        <w:t>. Reading, MA: Addison-Wesley.</w:t>
      </w:r>
    </w:p>
    <w:p w14:paraId="2611A789"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Briscoe, H., Vickers-Graver, B., Cherukat, M., Jones, C. a Surtees, A., (2024). The link between anxiety and theory of mind in children: A meta-analysis. </w:t>
      </w:r>
      <w:r w:rsidRPr="00FB5BC2">
        <w:rPr>
          <w:rFonts w:ascii="Arial" w:hAnsi="Arial" w:cs="Arial"/>
          <w:i/>
          <w:iCs/>
          <w:sz w:val="22"/>
          <w:szCs w:val="22"/>
          <w:lang w:val="cy-GB"/>
        </w:rPr>
        <w:t>Journal of Affective Disorders</w:t>
      </w:r>
      <w:r w:rsidRPr="00FB5BC2">
        <w:rPr>
          <w:rFonts w:ascii="Arial" w:hAnsi="Arial" w:cs="Arial"/>
          <w:sz w:val="22"/>
          <w:szCs w:val="22"/>
          <w:lang w:val="cy-GB"/>
        </w:rPr>
        <w:t xml:space="preserve">, 367, t.530-544. Ar gael yn: </w:t>
      </w:r>
      <w:r w:rsidRPr="00FB5BC2">
        <w:rPr>
          <w:rFonts w:ascii="Arial" w:hAnsi="Arial" w:cs="Arial"/>
          <w:sz w:val="22"/>
          <w:szCs w:val="22"/>
          <w:lang w:val="cy-GB"/>
        </w:rPr>
        <w:fldChar w:fldCharType="begin"/>
      </w:r>
      <w:r w:rsidRPr="00FB5BC2">
        <w:rPr>
          <w:rFonts w:ascii="Arial" w:hAnsi="Arial" w:cs="Arial"/>
          <w:sz w:val="22"/>
          <w:szCs w:val="22"/>
          <w:lang w:val="cy-GB"/>
        </w:rPr>
        <w:instrText>HYPERLINK "https://www.sciencedirect.com/science/article/pii/S0165032724014034"</w:instrText>
      </w:r>
      <w:r w:rsidRPr="00FB5BC2">
        <w:rPr>
          <w:rFonts w:ascii="Arial" w:hAnsi="Arial" w:cs="Arial"/>
          <w:sz w:val="22"/>
          <w:szCs w:val="22"/>
          <w:lang w:val="cy-GB"/>
        </w:rPr>
      </w:r>
      <w:r w:rsidRPr="00FB5BC2">
        <w:rPr>
          <w:rFonts w:ascii="Arial" w:hAnsi="Arial" w:cs="Arial"/>
          <w:sz w:val="22"/>
          <w:szCs w:val="22"/>
          <w:lang w:val="cy-GB"/>
        </w:rPr>
        <w:fldChar w:fldCharType="separate"/>
      </w:r>
      <w:r w:rsidRPr="00FB5BC2">
        <w:rPr>
          <w:rStyle w:val="Hyperlink"/>
          <w:rFonts w:ascii="Arial" w:hAnsi="Arial" w:cs="Arial"/>
          <w:sz w:val="22"/>
          <w:szCs w:val="22"/>
          <w:lang w:val="cy-GB"/>
        </w:rPr>
        <w:t>https://www.sciencedirect.com/science/article/pii/S0165032724014034</w:t>
      </w:r>
      <w:r w:rsidRPr="00FB5BC2">
        <w:rPr>
          <w:rStyle w:val="Hyperlink"/>
          <w:rFonts w:ascii="Arial" w:hAnsi="Arial" w:cs="Arial"/>
          <w:sz w:val="22"/>
          <w:szCs w:val="22"/>
          <w:lang w:val="cy-GB"/>
        </w:rPr>
        <w:fldChar w:fldCharType="end"/>
      </w:r>
      <w:r w:rsidRPr="00FB5BC2">
        <w:rPr>
          <w:rFonts w:ascii="Arial" w:hAnsi="Arial" w:cs="Arial"/>
          <w:sz w:val="22"/>
          <w:szCs w:val="22"/>
          <w:lang w:val="cy-GB"/>
        </w:rPr>
        <w:t xml:space="preserve"> (Cyrchwyd: 6 Tachwedd 2024).</w:t>
      </w:r>
    </w:p>
    <w:p w14:paraId="0E54F1A3"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British Educational Research Association (2024) </w:t>
      </w:r>
      <w:r w:rsidRPr="00FB5BC2">
        <w:rPr>
          <w:rFonts w:ascii="Arial" w:hAnsi="Arial" w:cs="Arial"/>
          <w:i/>
          <w:iCs/>
          <w:sz w:val="22"/>
          <w:szCs w:val="22"/>
          <w:lang w:val="cy-GB"/>
        </w:rPr>
        <w:t>Ethical guidelines for educational research</w:t>
      </w:r>
      <w:r w:rsidRPr="00FB5BC2">
        <w:rPr>
          <w:rFonts w:ascii="Arial" w:hAnsi="Arial" w:cs="Arial"/>
          <w:sz w:val="22"/>
          <w:szCs w:val="22"/>
          <w:lang w:val="cy-GB"/>
        </w:rPr>
        <w:t xml:space="preserve">. 5ed arg. Llundain: BERA. Ar gael yn: </w:t>
      </w:r>
      <w:r w:rsidRPr="00FB5BC2">
        <w:rPr>
          <w:rFonts w:ascii="Arial" w:hAnsi="Arial" w:cs="Arial"/>
          <w:sz w:val="22"/>
          <w:szCs w:val="22"/>
          <w:lang w:val="cy-GB"/>
        </w:rPr>
        <w:fldChar w:fldCharType="begin"/>
      </w:r>
      <w:r w:rsidRPr="00FB5BC2">
        <w:rPr>
          <w:rFonts w:ascii="Arial" w:hAnsi="Arial" w:cs="Arial"/>
          <w:sz w:val="22"/>
          <w:szCs w:val="22"/>
          <w:lang w:val="cy-GB"/>
        </w:rPr>
        <w:instrText>HYPERLINK "https://www.bera.ac.uk/publication/ethical-guidelines-for-educational-research-fifth-edition-2024-online"</w:instrText>
      </w:r>
      <w:r w:rsidRPr="00FB5BC2">
        <w:rPr>
          <w:rFonts w:ascii="Arial" w:hAnsi="Arial" w:cs="Arial"/>
          <w:sz w:val="22"/>
          <w:szCs w:val="22"/>
          <w:lang w:val="cy-GB"/>
        </w:rPr>
      </w:r>
      <w:r w:rsidRPr="00FB5BC2">
        <w:rPr>
          <w:rFonts w:ascii="Arial" w:hAnsi="Arial" w:cs="Arial"/>
          <w:sz w:val="22"/>
          <w:szCs w:val="22"/>
          <w:lang w:val="cy-GB"/>
        </w:rPr>
        <w:fldChar w:fldCharType="separate"/>
      </w:r>
      <w:r w:rsidRPr="00FB5BC2">
        <w:rPr>
          <w:rStyle w:val="Hyperlink"/>
          <w:rFonts w:ascii="Arial" w:hAnsi="Arial" w:cs="Arial"/>
          <w:sz w:val="22"/>
          <w:szCs w:val="22"/>
          <w:lang w:val="cy-GB"/>
        </w:rPr>
        <w:t>https://www.bera.ac.uk/publication/ethical-guidelines-for-educational-research-fifth-edition-2024-online</w:t>
      </w:r>
      <w:r w:rsidRPr="00FB5BC2">
        <w:rPr>
          <w:rFonts w:ascii="Arial" w:hAnsi="Arial" w:cs="Arial"/>
          <w:sz w:val="22"/>
          <w:szCs w:val="22"/>
          <w:lang w:val="cy-GB"/>
        </w:rPr>
        <w:fldChar w:fldCharType="end"/>
      </w:r>
      <w:r w:rsidRPr="00FB5BC2">
        <w:rPr>
          <w:rFonts w:ascii="Arial" w:hAnsi="Arial" w:cs="Arial"/>
          <w:sz w:val="22"/>
          <w:szCs w:val="22"/>
          <w:lang w:val="cy-GB"/>
        </w:rPr>
        <w:t xml:space="preserve"> (Cyrchwyd: 29 Hydref 2024).</w:t>
      </w:r>
    </w:p>
    <w:p w14:paraId="6BC6BCE6"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Bronfenbrenner, U., 1977. Toward an experimental ecology of human</w:t>
      </w:r>
      <w:r w:rsidRPr="00FB5BC2">
        <w:rPr>
          <w:rFonts w:ascii="Arial" w:hAnsi="Arial" w:cs="Arial"/>
          <w:sz w:val="22"/>
          <w:szCs w:val="22"/>
          <w:lang w:val="cy-GB"/>
        </w:rPr>
        <w:t xml:space="preserve"> </w:t>
      </w:r>
      <w:r w:rsidRPr="00FB5BC2">
        <w:rPr>
          <w:rFonts w:ascii="Arial" w:hAnsi="Arial" w:cs="Arial"/>
          <w:sz w:val="22"/>
          <w:szCs w:val="22"/>
          <w:lang w:val="cy-GB"/>
        </w:rPr>
        <w:t>development. </w:t>
      </w:r>
      <w:r w:rsidRPr="00FB5BC2">
        <w:rPr>
          <w:rFonts w:ascii="Arial" w:hAnsi="Arial" w:cs="Arial"/>
          <w:i/>
          <w:iCs/>
          <w:sz w:val="22"/>
          <w:szCs w:val="22"/>
          <w:lang w:val="cy-GB"/>
        </w:rPr>
        <w:t>American psychologist</w:t>
      </w:r>
      <w:r w:rsidRPr="00FB5BC2">
        <w:rPr>
          <w:rFonts w:ascii="Arial" w:hAnsi="Arial" w:cs="Arial"/>
          <w:sz w:val="22"/>
          <w:szCs w:val="22"/>
          <w:lang w:val="cy-GB"/>
        </w:rPr>
        <w:t>, </w:t>
      </w:r>
      <w:r w:rsidRPr="00FB5BC2">
        <w:rPr>
          <w:rFonts w:ascii="Arial" w:hAnsi="Arial" w:cs="Arial"/>
          <w:i/>
          <w:iCs/>
          <w:sz w:val="22"/>
          <w:szCs w:val="22"/>
          <w:lang w:val="cy-GB"/>
        </w:rPr>
        <w:t>32</w:t>
      </w:r>
      <w:r w:rsidRPr="00FB5BC2">
        <w:rPr>
          <w:rFonts w:ascii="Arial" w:hAnsi="Arial" w:cs="Arial"/>
          <w:sz w:val="22"/>
          <w:szCs w:val="22"/>
          <w:lang w:val="cy-GB"/>
        </w:rPr>
        <w:t xml:space="preserve">(7), </w:t>
      </w:r>
      <w:r w:rsidRPr="00FB5BC2">
        <w:rPr>
          <w:rFonts w:ascii="Arial" w:hAnsi="Arial" w:cs="Arial"/>
          <w:sz w:val="22"/>
          <w:szCs w:val="22"/>
          <w:lang w:val="cy-GB"/>
        </w:rPr>
        <w:t>t</w:t>
      </w:r>
      <w:r w:rsidRPr="00FB5BC2">
        <w:rPr>
          <w:rFonts w:ascii="Arial" w:hAnsi="Arial" w:cs="Arial"/>
          <w:sz w:val="22"/>
          <w:szCs w:val="22"/>
          <w:lang w:val="cy-GB"/>
        </w:rPr>
        <w:t>.513.</w:t>
      </w:r>
    </w:p>
    <w:p w14:paraId="4249B6B8"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Bronfenbrenner, U., 1994. Ecological models of human development. </w:t>
      </w:r>
      <w:r w:rsidRPr="00FB5BC2">
        <w:rPr>
          <w:rFonts w:ascii="Arial" w:hAnsi="Arial" w:cs="Arial"/>
          <w:i/>
          <w:iCs/>
          <w:sz w:val="22"/>
          <w:szCs w:val="22"/>
          <w:lang w:val="cy-GB"/>
        </w:rPr>
        <w:t>International encyclopedia of education</w:t>
      </w:r>
      <w:r w:rsidRPr="00FB5BC2">
        <w:rPr>
          <w:rFonts w:ascii="Arial" w:hAnsi="Arial" w:cs="Arial"/>
          <w:sz w:val="22"/>
          <w:szCs w:val="22"/>
          <w:lang w:val="cy-GB"/>
        </w:rPr>
        <w:t>, </w:t>
      </w:r>
      <w:r w:rsidRPr="00FB5BC2">
        <w:rPr>
          <w:rFonts w:ascii="Arial" w:hAnsi="Arial" w:cs="Arial"/>
          <w:i/>
          <w:iCs/>
          <w:sz w:val="22"/>
          <w:szCs w:val="22"/>
          <w:lang w:val="cy-GB"/>
        </w:rPr>
        <w:t>3</w:t>
      </w:r>
      <w:r w:rsidRPr="00FB5BC2">
        <w:rPr>
          <w:rFonts w:ascii="Arial" w:hAnsi="Arial" w:cs="Arial"/>
          <w:sz w:val="22"/>
          <w:szCs w:val="22"/>
          <w:lang w:val="cy-GB"/>
        </w:rPr>
        <w:t xml:space="preserve">(2), </w:t>
      </w:r>
      <w:r w:rsidRPr="00FB5BC2">
        <w:rPr>
          <w:rFonts w:ascii="Arial" w:hAnsi="Arial" w:cs="Arial"/>
          <w:sz w:val="22"/>
          <w:szCs w:val="22"/>
          <w:lang w:val="cy-GB"/>
        </w:rPr>
        <w:t>t</w:t>
      </w:r>
      <w:r w:rsidRPr="00FB5BC2">
        <w:rPr>
          <w:rFonts w:ascii="Arial" w:hAnsi="Arial" w:cs="Arial"/>
          <w:sz w:val="22"/>
          <w:szCs w:val="22"/>
          <w:lang w:val="cy-GB"/>
        </w:rPr>
        <w:t>.37-43.</w:t>
      </w:r>
    </w:p>
    <w:p w14:paraId="20F391BA"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 xml:space="preserve">Cyngor Sir Gar (dim dyddiad) </w:t>
      </w:r>
      <w:r w:rsidRPr="00FB5BC2">
        <w:rPr>
          <w:rFonts w:ascii="Arial" w:hAnsi="Arial" w:cs="Arial"/>
          <w:sz w:val="22"/>
          <w:szCs w:val="22"/>
          <w:lang w:val="cy-GB"/>
        </w:rPr>
        <w:t>Anghenion dysgu ychwanegol: Y broses o wneud</w:t>
      </w:r>
      <w:r w:rsidRPr="00FB5BC2">
        <w:rPr>
          <w:rFonts w:ascii="Arial" w:hAnsi="Arial" w:cs="Arial"/>
          <w:sz w:val="22"/>
          <w:szCs w:val="22"/>
          <w:lang w:val="cy-GB"/>
        </w:rPr>
        <w:t xml:space="preserve"> </w:t>
      </w:r>
      <w:r w:rsidRPr="00FB5BC2">
        <w:rPr>
          <w:rFonts w:ascii="Arial" w:hAnsi="Arial" w:cs="Arial"/>
          <w:sz w:val="22"/>
          <w:szCs w:val="22"/>
          <w:lang w:val="cy-GB"/>
        </w:rPr>
        <w:t>penderfyniadau</w:t>
      </w:r>
      <w:r w:rsidRPr="00FB5BC2">
        <w:rPr>
          <w:rFonts w:ascii="Arial" w:hAnsi="Arial" w:cs="Arial"/>
          <w:sz w:val="22"/>
          <w:szCs w:val="22"/>
          <w:lang w:val="cy-GB"/>
        </w:rPr>
        <w:t xml:space="preserve">. Ar gael yn: </w:t>
      </w:r>
      <w:r w:rsidRPr="00FB5BC2">
        <w:rPr>
          <w:rFonts w:ascii="Arial" w:hAnsi="Arial" w:cs="Arial"/>
          <w:sz w:val="22"/>
          <w:szCs w:val="22"/>
          <w:lang w:val="cy-GB"/>
        </w:rPr>
        <w:fldChar w:fldCharType="begin"/>
      </w:r>
      <w:r w:rsidRPr="00FB5BC2">
        <w:rPr>
          <w:rFonts w:ascii="Arial" w:hAnsi="Arial" w:cs="Arial"/>
          <w:sz w:val="22"/>
          <w:szCs w:val="22"/>
          <w:lang w:val="cy-GB"/>
        </w:rPr>
        <w:instrText>HYPERLINK "</w:instrText>
      </w:r>
      <w:r w:rsidRPr="00FB5BC2">
        <w:rPr>
          <w:rFonts w:ascii="Arial" w:hAnsi="Arial" w:cs="Arial"/>
          <w:sz w:val="22"/>
          <w:szCs w:val="22"/>
          <w:lang w:val="cy-GB"/>
        </w:rPr>
        <w:instrText>https://www.sirgar.llyw.cymru/gwasanaethaur-cyngor/addysg-ac-ysgolion/anghenion-dysgu-ychwanegol/anghenion-dysgu-ychwanegol-y-broses-o-wneud-penderfyniadau/4-beth-yw-cynllun-datblygu-unigol/</w:instrText>
      </w:r>
      <w:r w:rsidRPr="00FB5BC2">
        <w:rPr>
          <w:rFonts w:ascii="Arial" w:hAnsi="Arial" w:cs="Arial"/>
          <w:sz w:val="22"/>
          <w:szCs w:val="22"/>
          <w:lang w:val="cy-GB"/>
        </w:rPr>
        <w:instrText>"</w:instrText>
      </w:r>
      <w:r w:rsidRPr="00FB5BC2">
        <w:rPr>
          <w:rFonts w:ascii="Arial" w:hAnsi="Arial" w:cs="Arial"/>
          <w:sz w:val="22"/>
          <w:szCs w:val="22"/>
          <w:lang w:val="cy-GB"/>
        </w:rPr>
        <w:fldChar w:fldCharType="separate"/>
      </w:r>
      <w:r w:rsidRPr="00FB5BC2">
        <w:rPr>
          <w:rStyle w:val="Hyperlink"/>
          <w:rFonts w:ascii="Arial" w:hAnsi="Arial" w:cs="Arial"/>
          <w:sz w:val="22"/>
          <w:szCs w:val="22"/>
          <w:lang w:val="cy-GB"/>
        </w:rPr>
        <w:t>https://www.sirgar.llyw.cymru/gwasanaethaur-cyngor/addysg-ac-</w:t>
      </w:r>
      <w:r w:rsidRPr="00FB5BC2">
        <w:rPr>
          <w:rStyle w:val="Hyperlink"/>
          <w:rFonts w:ascii="Arial" w:hAnsi="Arial" w:cs="Arial"/>
          <w:sz w:val="22"/>
          <w:szCs w:val="22"/>
          <w:lang w:val="cy-GB"/>
        </w:rPr>
        <w:lastRenderedPageBreak/>
        <w:t>ysgolion/anghenion-dysgu-ychwanegol/anghenion-dysgu-ychwanegol-y-broses-o-wneud-penderfyniadau/4-beth-yw-cynllun-datblygu-unigol/</w:t>
      </w:r>
      <w:r w:rsidRPr="00FB5BC2">
        <w:rPr>
          <w:rFonts w:ascii="Arial" w:hAnsi="Arial" w:cs="Arial"/>
          <w:sz w:val="22"/>
          <w:szCs w:val="22"/>
          <w:lang w:val="cy-GB"/>
        </w:rPr>
        <w:fldChar w:fldCharType="end"/>
      </w:r>
      <w:r w:rsidRPr="00FB5BC2">
        <w:rPr>
          <w:rFonts w:ascii="Arial" w:hAnsi="Arial" w:cs="Arial"/>
          <w:sz w:val="22"/>
          <w:szCs w:val="22"/>
          <w:lang w:val="cy-GB"/>
        </w:rPr>
        <w:t xml:space="preserve"> (Cyrchwyd: 7 Tachwedd 2024).</w:t>
      </w:r>
    </w:p>
    <w:p w14:paraId="3B2A6117"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 xml:space="preserve">Deddfwriaeth (2021) Deddf Anghenion Dysgu Ychwanegol a’r Tribiwnlys Addysg (Cymru) 2018. Ar gael yn: </w:t>
      </w:r>
      <w:r w:rsidRPr="00FB5BC2">
        <w:rPr>
          <w:rFonts w:ascii="Arial" w:hAnsi="Arial" w:cs="Arial"/>
          <w:sz w:val="22"/>
          <w:szCs w:val="22"/>
          <w:lang w:val="cy-GB"/>
        </w:rPr>
        <w:fldChar w:fldCharType="begin"/>
      </w:r>
      <w:r w:rsidRPr="00FB5BC2">
        <w:rPr>
          <w:rFonts w:ascii="Arial" w:hAnsi="Arial" w:cs="Arial"/>
          <w:sz w:val="22"/>
          <w:szCs w:val="22"/>
          <w:lang w:val="cy-GB"/>
        </w:rPr>
        <w:instrText>HYPERLINK "https://www.legislation.gov.uk/cy/anaw/2018/2/section/2/welsh"</w:instrText>
      </w:r>
      <w:r w:rsidRPr="00FB5BC2">
        <w:rPr>
          <w:rFonts w:ascii="Arial" w:hAnsi="Arial" w:cs="Arial"/>
          <w:sz w:val="22"/>
          <w:szCs w:val="22"/>
          <w:lang w:val="cy-GB"/>
        </w:rPr>
      </w:r>
      <w:r w:rsidRPr="00FB5BC2">
        <w:rPr>
          <w:rFonts w:ascii="Arial" w:hAnsi="Arial" w:cs="Arial"/>
          <w:sz w:val="22"/>
          <w:szCs w:val="22"/>
          <w:lang w:val="cy-GB"/>
        </w:rPr>
        <w:fldChar w:fldCharType="separate"/>
      </w:r>
      <w:r w:rsidRPr="00FB5BC2">
        <w:rPr>
          <w:rStyle w:val="Hyperlink"/>
          <w:rFonts w:ascii="Arial" w:hAnsi="Arial" w:cs="Arial"/>
          <w:sz w:val="22"/>
          <w:szCs w:val="22"/>
          <w:lang w:val="cy-GB"/>
        </w:rPr>
        <w:t>https://www.legislation.gov.uk/cy/anaw/2018/2/section/2/welsh</w:t>
      </w:r>
      <w:r w:rsidRPr="00FB5BC2">
        <w:rPr>
          <w:rStyle w:val="Hyperlink"/>
          <w:rFonts w:ascii="Arial" w:hAnsi="Arial" w:cs="Arial"/>
          <w:sz w:val="22"/>
          <w:szCs w:val="22"/>
          <w:lang w:val="cy-GB"/>
        </w:rPr>
        <w:fldChar w:fldCharType="end"/>
      </w:r>
      <w:r w:rsidRPr="00FB5BC2">
        <w:rPr>
          <w:rFonts w:ascii="Arial" w:hAnsi="Arial" w:cs="Arial"/>
          <w:sz w:val="22"/>
          <w:szCs w:val="22"/>
          <w:lang w:val="cy-GB"/>
        </w:rPr>
        <w:t xml:space="preserve"> (Cyrchwyd: </w:t>
      </w:r>
      <w:r w:rsidRPr="00FB5BC2">
        <w:rPr>
          <w:rFonts w:ascii="Arial" w:hAnsi="Arial" w:cs="Arial"/>
          <w:sz w:val="22"/>
          <w:szCs w:val="22"/>
          <w:lang w:val="cy-GB"/>
        </w:rPr>
        <w:t>7 Tachwedd</w:t>
      </w:r>
      <w:r w:rsidRPr="00FB5BC2">
        <w:rPr>
          <w:rFonts w:ascii="Arial" w:hAnsi="Arial" w:cs="Arial"/>
          <w:sz w:val="22"/>
          <w:szCs w:val="22"/>
          <w:lang w:val="cy-GB"/>
        </w:rPr>
        <w:t xml:space="preserve"> 2024)</w:t>
      </w:r>
      <w:r w:rsidRPr="00FB5BC2">
        <w:rPr>
          <w:rFonts w:ascii="Arial" w:hAnsi="Arial" w:cs="Arial"/>
          <w:sz w:val="22"/>
          <w:szCs w:val="22"/>
          <w:lang w:val="cy-GB"/>
        </w:rPr>
        <w:t>.</w:t>
      </w:r>
    </w:p>
    <w:p w14:paraId="63DB84FF"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Demetriou, E.A., DeMayo, M.M. and Guastella, A.J., 2019. Executive function in autism spectrum disorder: history, theoretical models, empirical findings, and potential as an endophenotype. </w:t>
      </w:r>
      <w:r w:rsidRPr="00FB5BC2">
        <w:rPr>
          <w:rFonts w:ascii="Arial" w:hAnsi="Arial" w:cs="Arial"/>
          <w:i/>
          <w:iCs/>
          <w:sz w:val="22"/>
          <w:szCs w:val="22"/>
          <w:lang w:val="cy-GB"/>
        </w:rPr>
        <w:t>Frontiers in psychiatry</w:t>
      </w:r>
      <w:r w:rsidRPr="00FB5BC2">
        <w:rPr>
          <w:rFonts w:ascii="Arial" w:hAnsi="Arial" w:cs="Arial"/>
          <w:sz w:val="22"/>
          <w:szCs w:val="22"/>
          <w:lang w:val="cy-GB"/>
        </w:rPr>
        <w:t>, </w:t>
      </w:r>
      <w:r w:rsidRPr="00FB5BC2">
        <w:rPr>
          <w:rFonts w:ascii="Arial" w:hAnsi="Arial" w:cs="Arial"/>
          <w:i/>
          <w:iCs/>
          <w:sz w:val="22"/>
          <w:szCs w:val="22"/>
          <w:lang w:val="cy-GB"/>
        </w:rPr>
        <w:t>10</w:t>
      </w:r>
      <w:r w:rsidRPr="00FB5BC2">
        <w:rPr>
          <w:rFonts w:ascii="Arial" w:hAnsi="Arial" w:cs="Arial"/>
          <w:sz w:val="22"/>
          <w:szCs w:val="22"/>
          <w:lang w:val="cy-GB"/>
        </w:rPr>
        <w:t xml:space="preserve">(753). Ar gael yn: </w:t>
      </w:r>
      <w:r w:rsidRPr="00FB5BC2">
        <w:rPr>
          <w:rFonts w:ascii="Arial" w:hAnsi="Arial" w:cs="Arial"/>
          <w:sz w:val="22"/>
          <w:szCs w:val="22"/>
          <w:lang w:val="cy-GB"/>
        </w:rPr>
        <w:fldChar w:fldCharType="begin"/>
      </w:r>
      <w:r w:rsidRPr="00FB5BC2">
        <w:rPr>
          <w:rFonts w:ascii="Arial" w:hAnsi="Arial" w:cs="Arial"/>
          <w:sz w:val="22"/>
          <w:szCs w:val="22"/>
          <w:lang w:val="cy-GB"/>
        </w:rPr>
        <w:instrText>HYPERLINK "https://www.frontiersin.org/journals/psychiatry/articles/10.3389/fpsyt.2019.00753/full"</w:instrText>
      </w:r>
      <w:r w:rsidRPr="00FB5BC2">
        <w:rPr>
          <w:rFonts w:ascii="Arial" w:hAnsi="Arial" w:cs="Arial"/>
          <w:sz w:val="22"/>
          <w:szCs w:val="22"/>
          <w:lang w:val="cy-GB"/>
        </w:rPr>
      </w:r>
      <w:r w:rsidRPr="00FB5BC2">
        <w:rPr>
          <w:rFonts w:ascii="Arial" w:hAnsi="Arial" w:cs="Arial"/>
          <w:sz w:val="22"/>
          <w:szCs w:val="22"/>
          <w:lang w:val="cy-GB"/>
        </w:rPr>
        <w:fldChar w:fldCharType="separate"/>
      </w:r>
      <w:r w:rsidRPr="00FB5BC2">
        <w:rPr>
          <w:rStyle w:val="Hyperlink"/>
          <w:rFonts w:ascii="Arial" w:hAnsi="Arial" w:cs="Arial"/>
          <w:sz w:val="22"/>
          <w:szCs w:val="22"/>
          <w:lang w:val="cy-GB"/>
        </w:rPr>
        <w:t>https://www.frontiersin.org/journals/psychiatry/articles/10.3389/fpsyt.2019.00753/full</w:t>
      </w:r>
      <w:r w:rsidRPr="00FB5BC2">
        <w:rPr>
          <w:rStyle w:val="Hyperlink"/>
          <w:rFonts w:ascii="Arial" w:hAnsi="Arial" w:cs="Arial"/>
          <w:sz w:val="22"/>
          <w:szCs w:val="22"/>
          <w:lang w:val="cy-GB"/>
        </w:rPr>
        <w:fldChar w:fldCharType="end"/>
      </w:r>
      <w:r w:rsidRPr="00FB5BC2">
        <w:rPr>
          <w:rFonts w:ascii="Arial" w:hAnsi="Arial" w:cs="Arial"/>
          <w:sz w:val="22"/>
          <w:szCs w:val="22"/>
          <w:lang w:val="cy-GB"/>
        </w:rPr>
        <w:t xml:space="preserve"> (Cyrchwyd: 7 Tachwedd 2024).</w:t>
      </w:r>
    </w:p>
    <w:p w14:paraId="778A1C13"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Galton, M. Gray, J. a Ruddock, J. (1999)</w:t>
      </w:r>
      <w:r w:rsidRPr="00FB5BC2">
        <w:rPr>
          <w:rFonts w:ascii="Arial" w:hAnsi="Arial" w:cs="Arial"/>
          <w:i/>
          <w:iCs/>
          <w:sz w:val="22"/>
          <w:szCs w:val="22"/>
          <w:lang w:val="cy-GB"/>
        </w:rPr>
        <w:t xml:space="preserve"> The Impact of School Transitions and Transfers on Pupil Progress and Attainment. </w:t>
      </w:r>
      <w:r w:rsidRPr="00FB5BC2">
        <w:rPr>
          <w:rFonts w:ascii="Arial" w:hAnsi="Arial" w:cs="Arial"/>
          <w:sz w:val="22"/>
          <w:szCs w:val="22"/>
          <w:lang w:val="cy-GB"/>
        </w:rPr>
        <w:t xml:space="preserve">(Rhifyn. 131). London: DfEE. Ar gael yn: </w:t>
      </w:r>
      <w:r w:rsidRPr="00FB5BC2">
        <w:rPr>
          <w:rFonts w:ascii="Arial" w:hAnsi="Arial" w:cs="Arial"/>
          <w:sz w:val="22"/>
          <w:szCs w:val="22"/>
          <w:lang w:val="cy-GB"/>
        </w:rPr>
        <w:fldChar w:fldCharType="begin"/>
      </w:r>
      <w:r w:rsidRPr="00FB5BC2">
        <w:rPr>
          <w:rFonts w:ascii="Arial" w:hAnsi="Arial" w:cs="Arial"/>
          <w:sz w:val="22"/>
          <w:szCs w:val="22"/>
          <w:lang w:val="cy-GB"/>
        </w:rPr>
        <w:instrText>HYPERLINK "https://www.scipalliance.org/assets/files/Research-review-The-impact-of-school-transitions-and-transfers-on-pupil-progress-and-attainment.-DfE.-1999.pdf"</w:instrText>
      </w:r>
      <w:r w:rsidRPr="00FB5BC2">
        <w:rPr>
          <w:rFonts w:ascii="Arial" w:hAnsi="Arial" w:cs="Arial"/>
          <w:sz w:val="22"/>
          <w:szCs w:val="22"/>
          <w:lang w:val="cy-GB"/>
        </w:rPr>
      </w:r>
      <w:r w:rsidRPr="00FB5BC2">
        <w:rPr>
          <w:rFonts w:ascii="Arial" w:hAnsi="Arial" w:cs="Arial"/>
          <w:sz w:val="22"/>
          <w:szCs w:val="22"/>
          <w:lang w:val="cy-GB"/>
        </w:rPr>
        <w:fldChar w:fldCharType="separate"/>
      </w:r>
      <w:r w:rsidRPr="00FB5BC2">
        <w:rPr>
          <w:rStyle w:val="Hyperlink"/>
          <w:rFonts w:ascii="Arial" w:hAnsi="Arial" w:cs="Arial"/>
          <w:sz w:val="22"/>
          <w:szCs w:val="22"/>
          <w:lang w:val="cy-GB"/>
        </w:rPr>
        <w:t>https://www.scipalliance.org/assets/files/Research-review-The-impact-of-school-transitions-and-transfers-on-pupil-progress-and-attainment.-DfE.-1999.pdf</w:t>
      </w:r>
      <w:r w:rsidRPr="00FB5BC2">
        <w:rPr>
          <w:rStyle w:val="Hyperlink"/>
          <w:rFonts w:ascii="Arial" w:hAnsi="Arial" w:cs="Arial"/>
          <w:sz w:val="22"/>
          <w:szCs w:val="22"/>
          <w:lang w:val="cy-GB"/>
        </w:rPr>
        <w:fldChar w:fldCharType="end"/>
      </w:r>
      <w:r w:rsidRPr="00FB5BC2">
        <w:rPr>
          <w:rFonts w:ascii="Arial" w:hAnsi="Arial" w:cs="Arial"/>
          <w:sz w:val="22"/>
          <w:szCs w:val="22"/>
          <w:lang w:val="cy-GB"/>
        </w:rPr>
        <w:t xml:space="preserve"> (Cyrchwyd: 15 Hydref 2024).</w:t>
      </w:r>
    </w:p>
    <w:p w14:paraId="08640542"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Gernsbacher, M. A., a Yergeau, M. (2019). Empirical failures of the claim that autistic people lack a theory of mind. </w:t>
      </w:r>
      <w:r w:rsidRPr="00FB5BC2">
        <w:rPr>
          <w:rFonts w:ascii="Arial" w:hAnsi="Arial" w:cs="Arial"/>
          <w:i/>
          <w:iCs/>
          <w:sz w:val="22"/>
          <w:szCs w:val="22"/>
          <w:lang w:val="cy-GB"/>
        </w:rPr>
        <w:t>Archives of Scientific Psychology</w:t>
      </w:r>
      <w:r w:rsidRPr="00FB5BC2">
        <w:rPr>
          <w:rFonts w:ascii="Arial" w:hAnsi="Arial" w:cs="Arial"/>
          <w:sz w:val="22"/>
          <w:szCs w:val="22"/>
          <w:lang w:val="cy-GB"/>
        </w:rPr>
        <w:t>, </w:t>
      </w:r>
      <w:r w:rsidRPr="00FB5BC2">
        <w:rPr>
          <w:rFonts w:ascii="Arial" w:hAnsi="Arial" w:cs="Arial"/>
          <w:i/>
          <w:iCs/>
          <w:sz w:val="22"/>
          <w:szCs w:val="22"/>
          <w:lang w:val="cy-GB"/>
        </w:rPr>
        <w:t>7</w:t>
      </w:r>
      <w:r w:rsidRPr="00FB5BC2">
        <w:rPr>
          <w:rFonts w:ascii="Arial" w:hAnsi="Arial" w:cs="Arial"/>
          <w:sz w:val="22"/>
          <w:szCs w:val="22"/>
          <w:lang w:val="cy-GB"/>
        </w:rPr>
        <w:t xml:space="preserve">(1), t.102-118. Ar gael yn: </w:t>
      </w:r>
      <w:r w:rsidRPr="00FB5BC2">
        <w:rPr>
          <w:rFonts w:ascii="Arial" w:hAnsi="Arial" w:cs="Arial"/>
          <w:sz w:val="22"/>
          <w:szCs w:val="22"/>
          <w:lang w:val="cy-GB"/>
        </w:rPr>
        <w:fldChar w:fldCharType="begin"/>
      </w:r>
      <w:r w:rsidRPr="00FB5BC2">
        <w:rPr>
          <w:rFonts w:ascii="Arial" w:hAnsi="Arial" w:cs="Arial"/>
          <w:sz w:val="22"/>
          <w:szCs w:val="22"/>
          <w:lang w:val="cy-GB"/>
        </w:rPr>
        <w:instrText>HYPERLINK "https://www.researchgate.net/publication/337851028_Empirical_Failures_of_the_Claim_That_Autistic_People_Lack_a_Theory_of_Mind"</w:instrText>
      </w:r>
      <w:r w:rsidRPr="00FB5BC2">
        <w:rPr>
          <w:rFonts w:ascii="Arial" w:hAnsi="Arial" w:cs="Arial"/>
          <w:sz w:val="22"/>
          <w:szCs w:val="22"/>
          <w:lang w:val="cy-GB"/>
        </w:rPr>
      </w:r>
      <w:r w:rsidRPr="00FB5BC2">
        <w:rPr>
          <w:rFonts w:ascii="Arial" w:hAnsi="Arial" w:cs="Arial"/>
          <w:sz w:val="22"/>
          <w:szCs w:val="22"/>
          <w:lang w:val="cy-GB"/>
        </w:rPr>
        <w:fldChar w:fldCharType="separate"/>
      </w:r>
      <w:r w:rsidRPr="00FB5BC2">
        <w:rPr>
          <w:rStyle w:val="Hyperlink"/>
          <w:rFonts w:ascii="Arial" w:hAnsi="Arial" w:cs="Arial"/>
          <w:sz w:val="22"/>
          <w:szCs w:val="22"/>
          <w:lang w:val="cy-GB"/>
        </w:rPr>
        <w:t>https://www.researchgate.net/publication/337851028_Empirical_Failures_of_the_Claim_That_Autistic_People_Lack_a_Theory_of_Mind</w:t>
      </w:r>
      <w:r w:rsidRPr="00FB5BC2">
        <w:rPr>
          <w:rStyle w:val="Hyperlink"/>
          <w:rFonts w:ascii="Arial" w:hAnsi="Arial" w:cs="Arial"/>
          <w:sz w:val="22"/>
          <w:szCs w:val="22"/>
          <w:lang w:val="cy-GB"/>
        </w:rPr>
        <w:fldChar w:fldCharType="end"/>
      </w:r>
      <w:r w:rsidRPr="00FB5BC2">
        <w:rPr>
          <w:rFonts w:ascii="Arial" w:hAnsi="Arial" w:cs="Arial"/>
          <w:sz w:val="22"/>
          <w:szCs w:val="22"/>
          <w:lang w:val="cy-GB"/>
        </w:rPr>
        <w:t xml:space="preserve"> (Cyrchwyd: 6 Tachwedd 2024).</w:t>
      </w:r>
    </w:p>
    <w:p w14:paraId="002A6E4D"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Green, S. A., a Ben-Sasson, A. (2010). Anxiety disorders and sensory over-responsivity in children with autism spectrum disorders: Is there a causal relationship? </w:t>
      </w:r>
      <w:r w:rsidRPr="00FB5BC2">
        <w:rPr>
          <w:rFonts w:ascii="Arial" w:hAnsi="Arial" w:cs="Arial"/>
          <w:i/>
          <w:iCs/>
          <w:sz w:val="22"/>
          <w:szCs w:val="22"/>
          <w:lang w:val="cy-GB"/>
        </w:rPr>
        <w:t>Journal of Autism and Developmental Disorders</w:t>
      </w:r>
      <w:r w:rsidRPr="00FB5BC2">
        <w:rPr>
          <w:rFonts w:ascii="Arial" w:hAnsi="Arial" w:cs="Arial"/>
          <w:sz w:val="22"/>
          <w:szCs w:val="22"/>
          <w:lang w:val="cy-GB"/>
        </w:rPr>
        <w:t>, 40(12), t.1495-1504. Ar gael yn:</w:t>
      </w:r>
      <w:r w:rsidRPr="00FB5BC2">
        <w:rPr>
          <w:rFonts w:ascii="Arial" w:hAnsi="Arial" w:cs="Arial"/>
        </w:rPr>
        <w:t xml:space="preserve"> </w:t>
      </w:r>
      <w:hyperlink r:id="rId7" w:history="1">
        <w:r w:rsidRPr="00FB5BC2">
          <w:rPr>
            <w:rStyle w:val="Hyperlink"/>
            <w:rFonts w:ascii="Arial" w:hAnsi="Arial" w:cs="Arial"/>
            <w:sz w:val="22"/>
            <w:szCs w:val="22"/>
            <w:lang w:val="cy-GB"/>
          </w:rPr>
          <w:t>https://link.springer.com/content/pdf/10.1007/s10803-010-1007-x.pdf</w:t>
        </w:r>
      </w:hyperlink>
      <w:r w:rsidRPr="00FB5BC2">
        <w:rPr>
          <w:rFonts w:ascii="Arial" w:hAnsi="Arial" w:cs="Arial"/>
          <w:sz w:val="22"/>
          <w:szCs w:val="22"/>
          <w:lang w:val="cy-GB"/>
        </w:rPr>
        <w:t xml:space="preserve"> (Cyrchwyd: 2 Tachwedd 2024).</w:t>
      </w:r>
    </w:p>
    <w:p w14:paraId="76D631B9"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Hebron, J., 2017. The transition from primary to secondary school for students with autism spectrum conditions. In </w:t>
      </w:r>
      <w:r w:rsidRPr="00FB5BC2">
        <w:rPr>
          <w:rFonts w:ascii="Arial" w:hAnsi="Arial" w:cs="Arial"/>
          <w:i/>
          <w:iCs/>
          <w:sz w:val="22"/>
          <w:szCs w:val="22"/>
          <w:lang w:val="cy-GB"/>
        </w:rPr>
        <w:t>Supporting social inclusion for students with autism spectrum disorders</w:t>
      </w:r>
      <w:r w:rsidRPr="00FB5BC2">
        <w:rPr>
          <w:rFonts w:ascii="Arial" w:hAnsi="Arial" w:cs="Arial"/>
          <w:sz w:val="22"/>
          <w:szCs w:val="22"/>
          <w:lang w:val="cy-GB"/>
        </w:rPr>
        <w:t> (pp. 84-99). Routledge.</w:t>
      </w:r>
    </w:p>
    <w:p w14:paraId="123E776E"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Hill, E.L., 2004. Executive dysfunction in autism. </w:t>
      </w:r>
      <w:r w:rsidRPr="00FB5BC2">
        <w:rPr>
          <w:rFonts w:ascii="Arial" w:hAnsi="Arial" w:cs="Arial"/>
          <w:i/>
          <w:iCs/>
          <w:sz w:val="22"/>
          <w:szCs w:val="22"/>
          <w:lang w:val="cy-GB"/>
        </w:rPr>
        <w:t>Trends in cognitive sciences</w:t>
      </w:r>
      <w:r w:rsidRPr="00FB5BC2">
        <w:rPr>
          <w:rFonts w:ascii="Arial" w:hAnsi="Arial" w:cs="Arial"/>
          <w:sz w:val="22"/>
          <w:szCs w:val="22"/>
          <w:lang w:val="cy-GB"/>
        </w:rPr>
        <w:t>, </w:t>
      </w:r>
      <w:r w:rsidRPr="00FB5BC2">
        <w:rPr>
          <w:rFonts w:ascii="Arial" w:hAnsi="Arial" w:cs="Arial"/>
          <w:i/>
          <w:iCs/>
          <w:sz w:val="22"/>
          <w:szCs w:val="22"/>
          <w:lang w:val="cy-GB"/>
        </w:rPr>
        <w:t>8</w:t>
      </w:r>
      <w:r w:rsidRPr="00FB5BC2">
        <w:rPr>
          <w:rFonts w:ascii="Arial" w:hAnsi="Arial" w:cs="Arial"/>
          <w:sz w:val="22"/>
          <w:szCs w:val="22"/>
          <w:lang w:val="cy-GB"/>
        </w:rPr>
        <w:t xml:space="preserve">(1), t.26-32. Ar gael yn: </w:t>
      </w:r>
      <w:r w:rsidRPr="00FB5BC2">
        <w:rPr>
          <w:rFonts w:ascii="Arial" w:hAnsi="Arial" w:cs="Arial"/>
          <w:sz w:val="22"/>
          <w:szCs w:val="22"/>
          <w:lang w:val="cy-GB"/>
        </w:rPr>
        <w:fldChar w:fldCharType="begin"/>
      </w:r>
      <w:r w:rsidRPr="00FB5BC2">
        <w:rPr>
          <w:rFonts w:ascii="Arial" w:hAnsi="Arial" w:cs="Arial"/>
          <w:sz w:val="22"/>
          <w:szCs w:val="22"/>
          <w:lang w:val="cy-GB"/>
        </w:rPr>
        <w:instrText>HYPERLINK "https://www.sciencedirect.com/science/article/pii/S1364661303003152"</w:instrText>
      </w:r>
      <w:r w:rsidRPr="00FB5BC2">
        <w:rPr>
          <w:rFonts w:ascii="Arial" w:hAnsi="Arial" w:cs="Arial"/>
          <w:sz w:val="22"/>
          <w:szCs w:val="22"/>
          <w:lang w:val="cy-GB"/>
        </w:rPr>
      </w:r>
      <w:r w:rsidRPr="00FB5BC2">
        <w:rPr>
          <w:rFonts w:ascii="Arial" w:hAnsi="Arial" w:cs="Arial"/>
          <w:sz w:val="22"/>
          <w:szCs w:val="22"/>
          <w:lang w:val="cy-GB"/>
        </w:rPr>
        <w:fldChar w:fldCharType="separate"/>
      </w:r>
      <w:r w:rsidRPr="00FB5BC2">
        <w:rPr>
          <w:rStyle w:val="Hyperlink"/>
          <w:rFonts w:ascii="Arial" w:hAnsi="Arial" w:cs="Arial"/>
          <w:sz w:val="22"/>
          <w:szCs w:val="22"/>
          <w:lang w:val="cy-GB"/>
        </w:rPr>
        <w:t>https://www.sciencedirect.com/science/article/pii/S1364661303003152</w:t>
      </w:r>
      <w:r w:rsidRPr="00FB5BC2">
        <w:rPr>
          <w:rStyle w:val="Hyperlink"/>
          <w:rFonts w:ascii="Arial" w:hAnsi="Arial" w:cs="Arial"/>
          <w:sz w:val="22"/>
          <w:szCs w:val="22"/>
          <w:lang w:val="cy-GB"/>
        </w:rPr>
        <w:fldChar w:fldCharType="end"/>
      </w:r>
      <w:r w:rsidRPr="00FB5BC2">
        <w:rPr>
          <w:rFonts w:ascii="Arial" w:hAnsi="Arial" w:cs="Arial"/>
          <w:sz w:val="22"/>
          <w:szCs w:val="22"/>
          <w:lang w:val="cy-GB"/>
        </w:rPr>
        <w:t xml:space="preserve"> (Cyrchwyd: 7 Tachwedd 2024).</w:t>
      </w:r>
    </w:p>
    <w:p w14:paraId="01786426" w14:textId="77777777" w:rsidR="000F6DE4" w:rsidRPr="00FB5BC2" w:rsidRDefault="000F6DE4" w:rsidP="00F57335">
      <w:pPr>
        <w:spacing w:line="360" w:lineRule="auto"/>
        <w:rPr>
          <w:rFonts w:ascii="Arial" w:hAnsi="Arial" w:cs="Arial"/>
          <w:sz w:val="22"/>
          <w:szCs w:val="22"/>
        </w:rPr>
      </w:pPr>
      <w:r w:rsidRPr="00FB5BC2">
        <w:rPr>
          <w:rFonts w:ascii="Arial" w:hAnsi="Arial" w:cs="Arial"/>
          <w:sz w:val="22"/>
          <w:szCs w:val="22"/>
        </w:rPr>
        <w:t>Laurent, A.C. and Rubin, E., 2004. Challenges in emotional regulation in Asperger syndrome and high-functioning autism. </w:t>
      </w:r>
      <w:r w:rsidRPr="00FB5BC2">
        <w:rPr>
          <w:rFonts w:ascii="Arial" w:hAnsi="Arial" w:cs="Arial"/>
          <w:i/>
          <w:iCs/>
          <w:sz w:val="22"/>
          <w:szCs w:val="22"/>
        </w:rPr>
        <w:t>Topics in Language Disorders</w:t>
      </w:r>
      <w:r w:rsidRPr="00FB5BC2">
        <w:rPr>
          <w:rFonts w:ascii="Arial" w:hAnsi="Arial" w:cs="Arial"/>
          <w:sz w:val="22"/>
          <w:szCs w:val="22"/>
        </w:rPr>
        <w:t>, </w:t>
      </w:r>
      <w:r w:rsidRPr="00FB5BC2">
        <w:rPr>
          <w:rFonts w:ascii="Arial" w:hAnsi="Arial" w:cs="Arial"/>
          <w:i/>
          <w:iCs/>
          <w:sz w:val="22"/>
          <w:szCs w:val="22"/>
        </w:rPr>
        <w:t>24</w:t>
      </w:r>
      <w:r w:rsidRPr="00FB5BC2">
        <w:rPr>
          <w:rFonts w:ascii="Arial" w:hAnsi="Arial" w:cs="Arial"/>
          <w:sz w:val="22"/>
          <w:szCs w:val="22"/>
        </w:rPr>
        <w:t xml:space="preserve">(4), </w:t>
      </w:r>
      <w:r w:rsidRPr="00FB5BC2">
        <w:rPr>
          <w:rFonts w:ascii="Arial" w:hAnsi="Arial" w:cs="Arial"/>
          <w:sz w:val="22"/>
          <w:szCs w:val="22"/>
        </w:rPr>
        <w:t>t</w:t>
      </w:r>
      <w:r w:rsidRPr="00FB5BC2">
        <w:rPr>
          <w:rFonts w:ascii="Arial" w:hAnsi="Arial" w:cs="Arial"/>
          <w:sz w:val="22"/>
          <w:szCs w:val="22"/>
        </w:rPr>
        <w:t>.286-297.</w:t>
      </w:r>
      <w:r w:rsidRPr="00FB5BC2">
        <w:rPr>
          <w:rFonts w:ascii="Arial" w:hAnsi="Arial" w:cs="Arial"/>
          <w:sz w:val="22"/>
          <w:szCs w:val="22"/>
        </w:rPr>
        <w:t xml:space="preserve"> </w:t>
      </w:r>
      <w:proofErr w:type="spellStart"/>
      <w:r w:rsidRPr="00FB5BC2">
        <w:rPr>
          <w:rFonts w:ascii="Arial" w:hAnsi="Arial" w:cs="Arial"/>
          <w:sz w:val="22"/>
          <w:szCs w:val="22"/>
        </w:rPr>
        <w:t>Ar</w:t>
      </w:r>
      <w:proofErr w:type="spellEnd"/>
      <w:r w:rsidRPr="00FB5BC2">
        <w:rPr>
          <w:rFonts w:ascii="Arial" w:hAnsi="Arial" w:cs="Arial"/>
          <w:sz w:val="22"/>
          <w:szCs w:val="22"/>
        </w:rPr>
        <w:t xml:space="preserve"> </w:t>
      </w:r>
      <w:proofErr w:type="spellStart"/>
      <w:r w:rsidRPr="00FB5BC2">
        <w:rPr>
          <w:rFonts w:ascii="Arial" w:hAnsi="Arial" w:cs="Arial"/>
          <w:sz w:val="22"/>
          <w:szCs w:val="22"/>
        </w:rPr>
        <w:t>gael</w:t>
      </w:r>
      <w:proofErr w:type="spellEnd"/>
      <w:r w:rsidRPr="00FB5BC2">
        <w:rPr>
          <w:rFonts w:ascii="Arial" w:hAnsi="Arial" w:cs="Arial"/>
          <w:sz w:val="22"/>
          <w:szCs w:val="22"/>
        </w:rPr>
        <w:t xml:space="preserve"> </w:t>
      </w:r>
      <w:proofErr w:type="spellStart"/>
      <w:r w:rsidRPr="00FB5BC2">
        <w:rPr>
          <w:rFonts w:ascii="Arial" w:hAnsi="Arial" w:cs="Arial"/>
          <w:sz w:val="22"/>
          <w:szCs w:val="22"/>
        </w:rPr>
        <w:t>yn</w:t>
      </w:r>
      <w:proofErr w:type="spellEnd"/>
      <w:r w:rsidRPr="00FB5BC2">
        <w:rPr>
          <w:rFonts w:ascii="Arial" w:hAnsi="Arial" w:cs="Arial"/>
          <w:sz w:val="22"/>
          <w:szCs w:val="22"/>
        </w:rPr>
        <w:t>:</w:t>
      </w:r>
      <w:r w:rsidRPr="00FB5BC2">
        <w:rPr>
          <w:rFonts w:ascii="Arial" w:hAnsi="Arial" w:cs="Arial"/>
        </w:rPr>
        <w:t xml:space="preserve"> </w:t>
      </w:r>
      <w:hyperlink r:id="rId8" w:history="1">
        <w:r w:rsidRPr="00FB5BC2">
          <w:rPr>
            <w:rStyle w:val="Hyperlink"/>
            <w:rFonts w:ascii="Arial" w:hAnsi="Arial" w:cs="Arial"/>
            <w:sz w:val="22"/>
            <w:szCs w:val="22"/>
          </w:rPr>
          <w:t>https://d1wqtxts1xzle7.cloudfront.net/87165807/00011363-200410000-0000620220607-1-13sexor-libre.pdf?1654645864=&amp;response-content-disposition=inline%3B+filename%3DChallenges_in_Emotional_Regulation_in_As.pdf&amp;Expires=1731252489&amp;Signature=GDDERT8uwRpwafITGafYx9zbGsb-iO8JpKGEDyVl~XjwgVP08Fp-U-9pgskyrxNH6sM5xf5xu8QRIKySU-5Z1RWfSvGMRnRa4eMVIs74rQ6gFQpg4vu7LCrMZEdYRy~~77THwepKg6QAYhGGXbOW</w:t>
        </w:r>
        <w:r w:rsidRPr="00FB5BC2">
          <w:rPr>
            <w:rStyle w:val="Hyperlink"/>
            <w:rFonts w:ascii="Arial" w:hAnsi="Arial" w:cs="Arial"/>
            <w:sz w:val="22"/>
            <w:szCs w:val="22"/>
          </w:rPr>
          <w:lastRenderedPageBreak/>
          <w:t>KdSJ4hoXETsijcglS-KKsMQtY6twHHlN0sBf3c6OEk~F76pbobcE~GzmEYJ8M1QSQtYh9nVrnDDSZDAebXx8TREvrcrut0nR4Qek~X8F52gfS-qqWSc7TQZJ8nXct~8eI5GxECxosq~rgXc3w89Y8a5U8qI~QkssXoMLnZ4UnjOeow5ZLhnre5tfrTmliNi9Xg__&amp;Key-Pair-Id=APKAJLOHF5GGSLRBV4ZA</w:t>
        </w:r>
      </w:hyperlink>
      <w:r w:rsidRPr="00FB5BC2">
        <w:rPr>
          <w:rFonts w:ascii="Arial" w:hAnsi="Arial" w:cs="Arial"/>
          <w:sz w:val="22"/>
          <w:szCs w:val="22"/>
        </w:rPr>
        <w:t xml:space="preserve"> (</w:t>
      </w:r>
      <w:proofErr w:type="spellStart"/>
      <w:r w:rsidRPr="00FB5BC2">
        <w:rPr>
          <w:rFonts w:ascii="Arial" w:hAnsi="Arial" w:cs="Arial"/>
          <w:sz w:val="22"/>
          <w:szCs w:val="22"/>
        </w:rPr>
        <w:t>Cyrchwyd</w:t>
      </w:r>
      <w:proofErr w:type="spellEnd"/>
      <w:r w:rsidRPr="00FB5BC2">
        <w:rPr>
          <w:rFonts w:ascii="Arial" w:hAnsi="Arial" w:cs="Arial"/>
          <w:sz w:val="22"/>
          <w:szCs w:val="22"/>
        </w:rPr>
        <w:t xml:space="preserve">: 2 </w:t>
      </w:r>
      <w:proofErr w:type="spellStart"/>
      <w:r w:rsidRPr="00FB5BC2">
        <w:rPr>
          <w:rFonts w:ascii="Arial" w:hAnsi="Arial" w:cs="Arial"/>
          <w:sz w:val="22"/>
          <w:szCs w:val="22"/>
        </w:rPr>
        <w:t>Tachwedd</w:t>
      </w:r>
      <w:proofErr w:type="spellEnd"/>
      <w:r w:rsidRPr="00FB5BC2">
        <w:rPr>
          <w:rFonts w:ascii="Arial" w:hAnsi="Arial" w:cs="Arial"/>
          <w:sz w:val="22"/>
          <w:szCs w:val="22"/>
        </w:rPr>
        <w:t xml:space="preserve"> 2024)</w:t>
      </w:r>
    </w:p>
    <w:p w14:paraId="02A6A73A"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 xml:space="preserve">Llywodraeth Cymru (2021a) Yn ôl y Cod Ymarfer ar Gyflenwi Gwasanaethau Awtistiaeth. Ar gael yn: </w:t>
      </w:r>
      <w:hyperlink r:id="rId9" w:history="1">
        <w:r w:rsidRPr="00FB5BC2">
          <w:rPr>
            <w:rStyle w:val="Hyperlink"/>
            <w:rFonts w:ascii="Arial" w:hAnsi="Arial" w:cs="Arial"/>
            <w:sz w:val="22"/>
            <w:szCs w:val="22"/>
            <w:lang w:val="cy-GB"/>
          </w:rPr>
          <w:t>https://www.llyw.cymru/sites/default/files/publications/2021-07/cod-ymarfer-ar-gyflenwi-gwasanaethau-awtistiaeth.pdf</w:t>
        </w:r>
      </w:hyperlink>
      <w:r w:rsidRPr="00FB5BC2">
        <w:rPr>
          <w:rFonts w:ascii="Arial" w:hAnsi="Arial" w:cs="Arial"/>
          <w:sz w:val="22"/>
          <w:szCs w:val="22"/>
          <w:lang w:val="cy-GB"/>
        </w:rPr>
        <w:t xml:space="preserve"> (Cyrchwyd: 30 Hydref 2024).</w:t>
      </w:r>
    </w:p>
    <w:p w14:paraId="4E6A0FFF"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 xml:space="preserve">Llywodraeth Cymru (2021b) Y Cwricwlwm i Gymru – Y Cod Cynnydd. Ar gael yn: </w:t>
      </w:r>
      <w:hyperlink r:id="rId10" w:history="1">
        <w:r w:rsidRPr="00FB5BC2">
          <w:rPr>
            <w:rStyle w:val="Hyperlink"/>
            <w:rFonts w:ascii="Arial" w:hAnsi="Arial" w:cs="Arial"/>
            <w:sz w:val="22"/>
            <w:szCs w:val="22"/>
            <w:lang w:val="cy-GB"/>
          </w:rPr>
          <w:t>https://www.llyw.cymru/sites/default/files/publications/2021-11/cwricwlwm-i-gymru-y-cod-cynnydd.pdf</w:t>
        </w:r>
      </w:hyperlink>
      <w:r w:rsidRPr="00FB5BC2">
        <w:rPr>
          <w:rFonts w:ascii="Arial" w:hAnsi="Arial" w:cs="Arial"/>
          <w:sz w:val="22"/>
          <w:szCs w:val="22"/>
          <w:lang w:val="cy-GB"/>
        </w:rPr>
        <w:t xml:space="preserve"> (Cyrchwyd: 21 Hydref 2024).</w:t>
      </w:r>
    </w:p>
    <w:p w14:paraId="55F48A41"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 xml:space="preserve">Llywodraeth Cymru (2021c) Cod Anghenion Dysgu Ychwanegol Cymru. Ar gael yn: </w:t>
      </w:r>
      <w:hyperlink r:id="rId11" w:history="1">
        <w:r w:rsidRPr="00FB5BC2">
          <w:rPr>
            <w:rStyle w:val="Hyperlink"/>
            <w:rFonts w:ascii="Arial" w:hAnsi="Arial" w:cs="Arial"/>
            <w:sz w:val="22"/>
            <w:szCs w:val="22"/>
            <w:lang w:val="cy-GB"/>
          </w:rPr>
          <w:t>https://www.llyw.cymru/sites/default/files/publications/2024-04/220622-cod-anghenion-dysgu-ychwanegol-cymru-2021%20%282%29.pdf</w:t>
        </w:r>
      </w:hyperlink>
      <w:r w:rsidRPr="00FB5BC2">
        <w:rPr>
          <w:rFonts w:ascii="Arial" w:hAnsi="Arial" w:cs="Arial"/>
          <w:sz w:val="22"/>
          <w:szCs w:val="22"/>
          <w:lang w:val="cy-GB"/>
        </w:rPr>
        <w:t xml:space="preserve"> (Cyrchwyd: 22 Hydref 2024).</w:t>
      </w:r>
    </w:p>
    <w:p w14:paraId="2168BE53"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 xml:space="preserve">Llywodraeth Cymru (2022) Canllawiau ar gyfer pontio o’r ysgol gynradd i’r ysgol uwchradd. Ar gael yn: </w:t>
      </w:r>
      <w:hyperlink r:id="rId12" w:history="1">
        <w:r w:rsidRPr="00FB5BC2">
          <w:rPr>
            <w:rStyle w:val="Hyperlink"/>
            <w:rFonts w:ascii="Arial" w:hAnsi="Arial" w:cs="Arial"/>
            <w:sz w:val="22"/>
            <w:szCs w:val="22"/>
            <w:lang w:val="cy-GB"/>
          </w:rPr>
          <w:t>https://hwb.gov.wales/cwricwlwm-i-gymru/trefniadau-asesu/canllawiau-ar-gyfer-pontio-o-r-ysgol-gynradd-i-r-ysgol-uwchradd/#anghydfodau</w:t>
        </w:r>
      </w:hyperlink>
      <w:r w:rsidRPr="00FB5BC2">
        <w:rPr>
          <w:rFonts w:ascii="Arial" w:hAnsi="Arial" w:cs="Arial"/>
          <w:sz w:val="22"/>
          <w:szCs w:val="22"/>
          <w:lang w:val="cy-GB"/>
        </w:rPr>
        <w:t xml:space="preserve"> (Cyrchwyd: 21 Hydref 2024).</w:t>
      </w:r>
    </w:p>
    <w:p w14:paraId="4A5A4068"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 xml:space="preserve">Mentally Healthy Schools (dim dyddiad) </w:t>
      </w:r>
      <w:r w:rsidRPr="00FB5BC2">
        <w:rPr>
          <w:rFonts w:ascii="Arial" w:hAnsi="Arial" w:cs="Arial"/>
          <w:i/>
          <w:iCs/>
          <w:sz w:val="22"/>
          <w:szCs w:val="22"/>
          <w:lang w:val="cy-GB"/>
        </w:rPr>
        <w:t xml:space="preserve">Transitions. </w:t>
      </w:r>
      <w:r w:rsidRPr="00FB5BC2">
        <w:rPr>
          <w:rFonts w:ascii="Arial" w:hAnsi="Arial" w:cs="Arial"/>
          <w:sz w:val="22"/>
          <w:szCs w:val="22"/>
          <w:lang w:val="cy-GB"/>
        </w:rPr>
        <w:t xml:space="preserve">Ar gael yn: </w:t>
      </w:r>
      <w:hyperlink r:id="rId13" w:history="1">
        <w:r w:rsidRPr="00FB5BC2">
          <w:rPr>
            <w:rStyle w:val="Hyperlink"/>
            <w:rFonts w:ascii="Arial" w:hAnsi="Arial" w:cs="Arial"/>
            <w:sz w:val="22"/>
            <w:szCs w:val="22"/>
            <w:lang w:val="cy-GB"/>
          </w:rPr>
          <w:t>https://www.mentallyhealthyschools.org.uk/factors-that-impact-mental-health/school-based-risk-factors/transitions/</w:t>
        </w:r>
      </w:hyperlink>
      <w:r w:rsidRPr="00FB5BC2">
        <w:rPr>
          <w:rFonts w:ascii="Arial" w:hAnsi="Arial" w:cs="Arial"/>
          <w:sz w:val="22"/>
          <w:szCs w:val="22"/>
          <w:lang w:val="cy-GB"/>
        </w:rPr>
        <w:t xml:space="preserve"> (Cyrchwyd: 15 Hydref 2024).</w:t>
      </w:r>
    </w:p>
    <w:p w14:paraId="0365AFD9"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 xml:space="preserve">National Institute of Mental Health (2024) Autism Spectrum Disorder. Ar gael yn: </w:t>
      </w:r>
      <w:hyperlink r:id="rId14" w:history="1">
        <w:r w:rsidRPr="00FB5BC2">
          <w:rPr>
            <w:rStyle w:val="Hyperlink"/>
            <w:rFonts w:ascii="Arial" w:hAnsi="Arial" w:cs="Arial"/>
            <w:sz w:val="22"/>
            <w:szCs w:val="22"/>
            <w:lang w:val="cy-GB"/>
          </w:rPr>
          <w:t>https://www.nimh.nih.gov/health/topics/autism-spectrum-disorders-asd#:~:text=Autism%20is%20known%20as%20a,can%20be%20diagnosed%20with%20ASD</w:t>
        </w:r>
      </w:hyperlink>
      <w:r w:rsidRPr="00FB5BC2">
        <w:rPr>
          <w:rFonts w:ascii="Arial" w:hAnsi="Arial" w:cs="Arial"/>
          <w:sz w:val="22"/>
          <w:szCs w:val="22"/>
          <w:lang w:val="cy-GB"/>
        </w:rPr>
        <w:t>. (Cyrchwyd: 30 Hydref 2024).</w:t>
      </w:r>
    </w:p>
    <w:p w14:paraId="6F17D80B"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Pennington, B.F. ac Ozonoff, S., 1996. Executive functions and developmental psychopathology. </w:t>
      </w:r>
      <w:r w:rsidRPr="00FB5BC2">
        <w:rPr>
          <w:rFonts w:ascii="Arial" w:hAnsi="Arial" w:cs="Arial"/>
          <w:i/>
          <w:iCs/>
          <w:sz w:val="22"/>
          <w:szCs w:val="22"/>
          <w:lang w:val="cy-GB"/>
        </w:rPr>
        <w:t>Journal of child psychology and psychiatry</w:t>
      </w:r>
      <w:r w:rsidRPr="00FB5BC2">
        <w:rPr>
          <w:rFonts w:ascii="Arial" w:hAnsi="Arial" w:cs="Arial"/>
          <w:sz w:val="22"/>
          <w:szCs w:val="22"/>
          <w:lang w:val="cy-GB"/>
        </w:rPr>
        <w:t>, </w:t>
      </w:r>
      <w:r w:rsidRPr="00FB5BC2">
        <w:rPr>
          <w:rFonts w:ascii="Arial" w:hAnsi="Arial" w:cs="Arial"/>
          <w:i/>
          <w:iCs/>
          <w:sz w:val="22"/>
          <w:szCs w:val="22"/>
          <w:lang w:val="cy-GB"/>
        </w:rPr>
        <w:t>37</w:t>
      </w:r>
      <w:r w:rsidRPr="00FB5BC2">
        <w:rPr>
          <w:rFonts w:ascii="Arial" w:hAnsi="Arial" w:cs="Arial"/>
          <w:sz w:val="22"/>
          <w:szCs w:val="22"/>
          <w:lang w:val="cy-GB"/>
        </w:rPr>
        <w:t>(1), t.51-87.</w:t>
      </w:r>
    </w:p>
    <w:p w14:paraId="00C81164"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Peterson, C. C., Wellman, H. M., a Liu, D. (2005). Steps in theory</w:t>
      </w:r>
      <w:r w:rsidRPr="00FB5BC2">
        <w:rPr>
          <w:rFonts w:ascii="Cambria Math" w:hAnsi="Cambria Math" w:cs="Cambria Math"/>
          <w:sz w:val="22"/>
          <w:szCs w:val="22"/>
          <w:lang w:val="cy-GB"/>
        </w:rPr>
        <w:t>‐</w:t>
      </w:r>
      <w:r w:rsidRPr="00FB5BC2">
        <w:rPr>
          <w:rFonts w:ascii="Arial" w:hAnsi="Arial" w:cs="Arial"/>
          <w:sz w:val="22"/>
          <w:szCs w:val="22"/>
          <w:lang w:val="cy-GB"/>
        </w:rPr>
        <w:t>of</w:t>
      </w:r>
      <w:r w:rsidRPr="00FB5BC2">
        <w:rPr>
          <w:rFonts w:ascii="Cambria Math" w:hAnsi="Cambria Math" w:cs="Cambria Math"/>
          <w:sz w:val="22"/>
          <w:szCs w:val="22"/>
          <w:lang w:val="cy-GB"/>
        </w:rPr>
        <w:t>‐</w:t>
      </w:r>
      <w:r w:rsidRPr="00FB5BC2">
        <w:rPr>
          <w:rFonts w:ascii="Arial" w:hAnsi="Arial" w:cs="Arial"/>
          <w:sz w:val="22"/>
          <w:szCs w:val="22"/>
          <w:lang w:val="cy-GB"/>
        </w:rPr>
        <w:t>mind development for children with deafness or autism. Child Development, 76(2), t.502-517.</w:t>
      </w:r>
    </w:p>
    <w:p w14:paraId="164FD251"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Rodgers, J., Riby, D. M., Janes, E., Connolly, B., a McConachie, H. (2012). Anxiety and repetitive behaviours in autism spectrum disorders and Williams syndrome: A cross-syndrome comparison. </w:t>
      </w:r>
      <w:r w:rsidRPr="00FB5BC2">
        <w:rPr>
          <w:rFonts w:ascii="Arial" w:hAnsi="Arial" w:cs="Arial"/>
          <w:i/>
          <w:iCs/>
          <w:sz w:val="22"/>
          <w:szCs w:val="22"/>
          <w:lang w:val="cy-GB"/>
        </w:rPr>
        <w:t>Journal of Autism and Developmental Disorders</w:t>
      </w:r>
      <w:r w:rsidRPr="00FB5BC2">
        <w:rPr>
          <w:rFonts w:ascii="Arial" w:hAnsi="Arial" w:cs="Arial"/>
          <w:sz w:val="22"/>
          <w:szCs w:val="22"/>
          <w:lang w:val="cy-GB"/>
        </w:rPr>
        <w:t xml:space="preserve">, 42(2), t.175-180. Ar gael yn: </w:t>
      </w:r>
      <w:hyperlink r:id="rId15" w:history="1">
        <w:r w:rsidRPr="00FB5BC2">
          <w:rPr>
            <w:rStyle w:val="Hyperlink"/>
            <w:rFonts w:ascii="Arial" w:hAnsi="Arial" w:cs="Arial"/>
            <w:sz w:val="22"/>
            <w:szCs w:val="22"/>
            <w:lang w:val="cy-GB"/>
          </w:rPr>
          <w:t>https://link.springer.com/article/10.1007/s10803-011-1225-x</w:t>
        </w:r>
      </w:hyperlink>
      <w:r w:rsidRPr="00FB5BC2">
        <w:rPr>
          <w:rFonts w:ascii="Arial" w:hAnsi="Arial" w:cs="Arial"/>
          <w:sz w:val="22"/>
          <w:szCs w:val="22"/>
          <w:lang w:val="cy-GB"/>
        </w:rPr>
        <w:t xml:space="preserve"> (Cyrchwyd: 2 Tachwedd 20240)</w:t>
      </w:r>
    </w:p>
    <w:p w14:paraId="0F442E9E"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 xml:space="preserve">SNAP Cymru (dim dyddiad) Cynllun Datblygu Unigol (CDU). Ar gael yn:  </w:t>
      </w:r>
      <w:hyperlink r:id="rId16" w:history="1">
        <w:r w:rsidRPr="00FB5BC2">
          <w:rPr>
            <w:rStyle w:val="Hyperlink"/>
            <w:rFonts w:ascii="Arial" w:hAnsi="Arial" w:cs="Arial"/>
            <w:sz w:val="22"/>
            <w:szCs w:val="22"/>
            <w:lang w:val="cy-GB"/>
          </w:rPr>
          <w:t>https://www.snapcymru.org/chwilio-am-gyngor/cynllun-datblygu-unigol/?lang=cy</w:t>
        </w:r>
      </w:hyperlink>
      <w:r w:rsidRPr="00FB5BC2">
        <w:rPr>
          <w:rFonts w:ascii="Arial" w:hAnsi="Arial" w:cs="Arial"/>
          <w:sz w:val="22"/>
          <w:szCs w:val="22"/>
          <w:lang w:val="cy-GB"/>
        </w:rPr>
        <w:t xml:space="preserve"> (Cyrchwyd: 7 Tachwedd 2024).</w:t>
      </w:r>
    </w:p>
    <w:p w14:paraId="45BD236D" w14:textId="77777777" w:rsidR="000F6DE4" w:rsidRPr="00FB5BC2" w:rsidRDefault="000F6DE4" w:rsidP="00F57335">
      <w:pPr>
        <w:spacing w:line="360" w:lineRule="auto"/>
        <w:rPr>
          <w:rFonts w:ascii="Arial" w:hAnsi="Arial" w:cs="Arial"/>
          <w:b/>
          <w:bCs/>
          <w:sz w:val="22"/>
          <w:szCs w:val="22"/>
          <w:lang w:val="cy-GB"/>
        </w:rPr>
      </w:pPr>
      <w:r w:rsidRPr="00FB5BC2">
        <w:rPr>
          <w:rFonts w:ascii="Arial" w:hAnsi="Arial" w:cs="Arial"/>
          <w:sz w:val="22"/>
          <w:szCs w:val="22"/>
          <w:lang w:val="cy-GB"/>
        </w:rPr>
        <w:lastRenderedPageBreak/>
        <w:t xml:space="preserve">Vogler, P. Crivello, G. a Woodhead, M. (2008) </w:t>
      </w:r>
      <w:r w:rsidRPr="00FB5BC2">
        <w:rPr>
          <w:rFonts w:ascii="Arial" w:hAnsi="Arial" w:cs="Arial"/>
          <w:i/>
          <w:iCs/>
          <w:sz w:val="22"/>
          <w:szCs w:val="22"/>
          <w:lang w:val="cy-GB"/>
        </w:rPr>
        <w:t xml:space="preserve">Early childhood transitions research: A review of concepts, theory, and practice. </w:t>
      </w:r>
      <w:r w:rsidRPr="00FB5BC2">
        <w:rPr>
          <w:rFonts w:ascii="Arial" w:hAnsi="Arial" w:cs="Arial"/>
          <w:sz w:val="22"/>
          <w:szCs w:val="22"/>
          <w:lang w:val="cy-GB"/>
        </w:rPr>
        <w:t>Working Paper No. 48. The Hague, The Netherlands: Bernard van Leer Foundation.</w:t>
      </w:r>
    </w:p>
    <w:p w14:paraId="0404DB64"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 xml:space="preserve">William Bridges Associates (dim dyddiad) </w:t>
      </w:r>
      <w:r w:rsidRPr="00FB5BC2">
        <w:rPr>
          <w:rFonts w:ascii="Arial" w:hAnsi="Arial" w:cs="Arial"/>
          <w:sz w:val="22"/>
          <w:szCs w:val="22"/>
          <w:lang w:val="cy-GB"/>
        </w:rPr>
        <w:t>Bridges Transition Model</w:t>
      </w:r>
      <w:r w:rsidRPr="00FB5BC2">
        <w:rPr>
          <w:rFonts w:ascii="Arial" w:hAnsi="Arial" w:cs="Arial"/>
          <w:sz w:val="22"/>
          <w:szCs w:val="22"/>
          <w:lang w:val="cy-GB"/>
        </w:rPr>
        <w:t xml:space="preserve">. Ar gael yn: </w:t>
      </w:r>
      <w:hyperlink r:id="rId17" w:history="1">
        <w:r w:rsidRPr="00FB5BC2">
          <w:rPr>
            <w:rStyle w:val="Hyperlink"/>
            <w:rFonts w:ascii="Arial" w:hAnsi="Arial" w:cs="Arial"/>
            <w:sz w:val="22"/>
            <w:szCs w:val="22"/>
            <w:lang w:val="cy-GB"/>
          </w:rPr>
          <w:t>https://wmbridges.com/about/what-is-transition/</w:t>
        </w:r>
      </w:hyperlink>
      <w:r w:rsidRPr="00FB5BC2">
        <w:rPr>
          <w:rFonts w:ascii="Arial" w:hAnsi="Arial" w:cs="Arial"/>
          <w:sz w:val="22"/>
          <w:szCs w:val="22"/>
          <w:lang w:val="cy-GB"/>
        </w:rPr>
        <w:t xml:space="preserve"> (Cyrchwyd: 7 Tachwedd 2024).</w:t>
      </w:r>
    </w:p>
    <w:p w14:paraId="49612B66" w14:textId="77777777" w:rsidR="000F6DE4" w:rsidRPr="00FB5BC2" w:rsidRDefault="000F6DE4" w:rsidP="00F57335">
      <w:pPr>
        <w:spacing w:line="360" w:lineRule="auto"/>
        <w:rPr>
          <w:rFonts w:ascii="Arial" w:hAnsi="Arial" w:cs="Arial"/>
          <w:sz w:val="22"/>
          <w:szCs w:val="22"/>
          <w:lang w:val="cy-GB"/>
        </w:rPr>
      </w:pPr>
      <w:r w:rsidRPr="00FB5BC2">
        <w:rPr>
          <w:rFonts w:ascii="Arial" w:hAnsi="Arial" w:cs="Arial"/>
          <w:sz w:val="22"/>
          <w:szCs w:val="22"/>
          <w:lang w:val="cy-GB"/>
        </w:rPr>
        <w:t xml:space="preserve">World Health Organisation (2023) Autism. Ar gael yn: </w:t>
      </w:r>
      <w:hyperlink r:id="rId18" w:history="1">
        <w:r w:rsidRPr="00FB5BC2">
          <w:rPr>
            <w:rStyle w:val="Hyperlink"/>
            <w:rFonts w:ascii="Arial" w:hAnsi="Arial" w:cs="Arial"/>
            <w:sz w:val="22"/>
            <w:szCs w:val="22"/>
            <w:lang w:val="cy-GB"/>
          </w:rPr>
          <w:t>https://www.who.int/news-room/fact-sheets/detail/autism-spectrum-disorders</w:t>
        </w:r>
      </w:hyperlink>
      <w:r w:rsidRPr="00FB5BC2">
        <w:rPr>
          <w:rFonts w:ascii="Arial" w:hAnsi="Arial" w:cs="Arial"/>
          <w:sz w:val="22"/>
          <w:szCs w:val="22"/>
          <w:lang w:val="cy-GB"/>
        </w:rPr>
        <w:t xml:space="preserve"> (Cyrchwyd: 29 Hydref 2024).</w:t>
      </w:r>
    </w:p>
    <w:p w14:paraId="0A9C3C09" w14:textId="77777777" w:rsidR="009F2903" w:rsidRPr="00737CC3" w:rsidRDefault="009F2903" w:rsidP="00CB35BE">
      <w:pPr>
        <w:spacing w:line="276" w:lineRule="auto"/>
        <w:rPr>
          <w:rFonts w:ascii="Arial" w:hAnsi="Arial" w:cs="Arial"/>
          <w:sz w:val="22"/>
          <w:szCs w:val="22"/>
        </w:rPr>
      </w:pPr>
    </w:p>
    <w:sectPr w:rsidR="009F2903" w:rsidRPr="00737CC3" w:rsidSect="002D5359">
      <w:headerReference w:type="default" r:id="rId19"/>
      <w:footerReference w:type="even" r:id="rId20"/>
      <w:foot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1BEF39" w14:textId="77777777" w:rsidR="00475D5B" w:rsidRDefault="00475D5B" w:rsidP="00C81B01">
      <w:r>
        <w:separator/>
      </w:r>
    </w:p>
  </w:endnote>
  <w:endnote w:type="continuationSeparator" w:id="0">
    <w:p w14:paraId="2B98FF92" w14:textId="77777777" w:rsidR="00475D5B" w:rsidRDefault="00475D5B" w:rsidP="00C81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74083123"/>
      <w:docPartObj>
        <w:docPartGallery w:val="Page Numbers (Bottom of Page)"/>
        <w:docPartUnique/>
      </w:docPartObj>
    </w:sdtPr>
    <w:sdtContent>
      <w:p w14:paraId="1BBF0F1E" w14:textId="080CAC55" w:rsidR="008B0227" w:rsidRDefault="008B0227" w:rsidP="00730E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DE85C7" w14:textId="77777777" w:rsidR="008B0227" w:rsidRDefault="008B02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16119588"/>
      <w:docPartObj>
        <w:docPartGallery w:val="Page Numbers (Bottom of Page)"/>
        <w:docPartUnique/>
      </w:docPartObj>
    </w:sdtPr>
    <w:sdtContent>
      <w:p w14:paraId="6C552D4C" w14:textId="3DC0B434" w:rsidR="008B0227" w:rsidRDefault="008B0227" w:rsidP="00730E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3BA477C" w14:textId="77777777" w:rsidR="008B0227" w:rsidRDefault="008B02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8C52FC" w14:textId="77777777" w:rsidR="00475D5B" w:rsidRDefault="00475D5B" w:rsidP="00C81B01">
      <w:r>
        <w:separator/>
      </w:r>
    </w:p>
  </w:footnote>
  <w:footnote w:type="continuationSeparator" w:id="0">
    <w:p w14:paraId="3DE1EE5F" w14:textId="77777777" w:rsidR="00475D5B" w:rsidRDefault="00475D5B" w:rsidP="00C81B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AE1A3D" w14:textId="4C3C7379" w:rsidR="00C81B01" w:rsidRPr="00C81B01" w:rsidRDefault="00C81B01">
    <w:pPr>
      <w:pStyle w:val="Header"/>
      <w:rPr>
        <w:rFonts w:ascii="Arial" w:hAnsi="Arial" w:cs="Arial"/>
        <w:sz w:val="22"/>
        <w:szCs w:val="22"/>
        <w:lang w:val="cy-GB"/>
      </w:rPr>
    </w:pPr>
    <w:r w:rsidRPr="00C81B01">
      <w:rPr>
        <w:rFonts w:ascii="Arial" w:hAnsi="Arial" w:cs="Arial"/>
        <w:sz w:val="22"/>
        <w:szCs w:val="22"/>
        <w:lang w:val="cy-GB"/>
      </w:rPr>
      <w:t>ECAD6014-C</w:t>
    </w:r>
    <w:r w:rsidRPr="00C81B01">
      <w:rPr>
        <w:rFonts w:ascii="Arial" w:hAnsi="Arial" w:cs="Arial"/>
        <w:sz w:val="22"/>
        <w:szCs w:val="22"/>
        <w:lang w:val="cy-GB"/>
      </w:rPr>
      <w:tab/>
    </w:r>
    <w:r w:rsidRPr="00C81B01">
      <w:rPr>
        <w:rFonts w:ascii="Arial" w:hAnsi="Arial" w:cs="Arial"/>
        <w:sz w:val="22"/>
        <w:szCs w:val="22"/>
        <w:lang w:val="cy-GB"/>
      </w:rPr>
      <w:tab/>
      <w:t>Rhif Myfyriwr: 2205136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7B2100"/>
    <w:multiLevelType w:val="multilevel"/>
    <w:tmpl w:val="88DA9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3F4975"/>
    <w:multiLevelType w:val="hybridMultilevel"/>
    <w:tmpl w:val="9070A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D13E50"/>
    <w:multiLevelType w:val="hybridMultilevel"/>
    <w:tmpl w:val="E27075E2"/>
    <w:lvl w:ilvl="0" w:tplc="6F382684">
      <w:start w:val="5"/>
      <w:numFmt w:val="bullet"/>
      <w:lvlText w:val="-"/>
      <w:lvlJc w:val="left"/>
      <w:pPr>
        <w:ind w:left="1080" w:hanging="360"/>
      </w:pPr>
      <w:rPr>
        <w:rFonts w:ascii="Arial" w:eastAsiaTheme="minorHAnsi"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19D068F"/>
    <w:multiLevelType w:val="hybridMultilevel"/>
    <w:tmpl w:val="690ECD58"/>
    <w:lvl w:ilvl="0" w:tplc="B6D6D7A4">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CE3143"/>
    <w:multiLevelType w:val="multilevel"/>
    <w:tmpl w:val="48AA08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E86C50"/>
    <w:multiLevelType w:val="hybridMultilevel"/>
    <w:tmpl w:val="EF2E6C02"/>
    <w:lvl w:ilvl="0" w:tplc="14C2C75E">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5F77FB"/>
    <w:multiLevelType w:val="multilevel"/>
    <w:tmpl w:val="34260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4310902"/>
    <w:multiLevelType w:val="hybridMultilevel"/>
    <w:tmpl w:val="C95699A2"/>
    <w:lvl w:ilvl="0" w:tplc="1A3AA372">
      <w:start w:val="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0461127">
    <w:abstractNumId w:val="7"/>
  </w:num>
  <w:num w:numId="2" w16cid:durableId="1815022951">
    <w:abstractNumId w:val="3"/>
  </w:num>
  <w:num w:numId="3" w16cid:durableId="2143842329">
    <w:abstractNumId w:val="2"/>
  </w:num>
  <w:num w:numId="4" w16cid:durableId="194857550">
    <w:abstractNumId w:val="1"/>
  </w:num>
  <w:num w:numId="5" w16cid:durableId="972636961">
    <w:abstractNumId w:val="5"/>
  </w:num>
  <w:num w:numId="6" w16cid:durableId="1648129229">
    <w:abstractNumId w:val="4"/>
  </w:num>
  <w:num w:numId="7" w16cid:durableId="529687823">
    <w:abstractNumId w:val="6"/>
  </w:num>
  <w:num w:numId="8" w16cid:durableId="1374816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F29"/>
    <w:rsid w:val="0003086D"/>
    <w:rsid w:val="000947B0"/>
    <w:rsid w:val="000A0E87"/>
    <w:rsid w:val="000A62B5"/>
    <w:rsid w:val="000C775C"/>
    <w:rsid w:val="000E186F"/>
    <w:rsid w:val="000F6DE4"/>
    <w:rsid w:val="0010061E"/>
    <w:rsid w:val="00102945"/>
    <w:rsid w:val="00121C4B"/>
    <w:rsid w:val="00180251"/>
    <w:rsid w:val="00187C26"/>
    <w:rsid w:val="0019461A"/>
    <w:rsid w:val="001A307C"/>
    <w:rsid w:val="001A683F"/>
    <w:rsid w:val="001D4709"/>
    <w:rsid w:val="001E0914"/>
    <w:rsid w:val="00200F96"/>
    <w:rsid w:val="0021525E"/>
    <w:rsid w:val="0029258B"/>
    <w:rsid w:val="002A2ED1"/>
    <w:rsid w:val="002C277B"/>
    <w:rsid w:val="002D5359"/>
    <w:rsid w:val="002F3372"/>
    <w:rsid w:val="00330F4D"/>
    <w:rsid w:val="00361D6D"/>
    <w:rsid w:val="00384E5A"/>
    <w:rsid w:val="00394153"/>
    <w:rsid w:val="003A64BE"/>
    <w:rsid w:val="003E2390"/>
    <w:rsid w:val="00402554"/>
    <w:rsid w:val="00414E0E"/>
    <w:rsid w:val="00415329"/>
    <w:rsid w:val="00420FD8"/>
    <w:rsid w:val="004453F1"/>
    <w:rsid w:val="0045576A"/>
    <w:rsid w:val="00465FBB"/>
    <w:rsid w:val="00474464"/>
    <w:rsid w:val="00475D5B"/>
    <w:rsid w:val="00485E4B"/>
    <w:rsid w:val="0049499F"/>
    <w:rsid w:val="004D525B"/>
    <w:rsid w:val="004F31DF"/>
    <w:rsid w:val="004F3FB7"/>
    <w:rsid w:val="004F4928"/>
    <w:rsid w:val="00501673"/>
    <w:rsid w:val="00520FAC"/>
    <w:rsid w:val="00573E69"/>
    <w:rsid w:val="00577100"/>
    <w:rsid w:val="00590EF3"/>
    <w:rsid w:val="005A7DC4"/>
    <w:rsid w:val="005C5929"/>
    <w:rsid w:val="005E440C"/>
    <w:rsid w:val="00616507"/>
    <w:rsid w:val="006210FC"/>
    <w:rsid w:val="00635A11"/>
    <w:rsid w:val="00686E30"/>
    <w:rsid w:val="006A65C1"/>
    <w:rsid w:val="006B2DE9"/>
    <w:rsid w:val="006C71E9"/>
    <w:rsid w:val="006D55D6"/>
    <w:rsid w:val="007047E8"/>
    <w:rsid w:val="00733E04"/>
    <w:rsid w:val="0073656C"/>
    <w:rsid w:val="00737CC3"/>
    <w:rsid w:val="007666E3"/>
    <w:rsid w:val="00784874"/>
    <w:rsid w:val="007C2F86"/>
    <w:rsid w:val="007D3C37"/>
    <w:rsid w:val="007D7CF6"/>
    <w:rsid w:val="007E197F"/>
    <w:rsid w:val="007E4A2A"/>
    <w:rsid w:val="007E7690"/>
    <w:rsid w:val="007F568F"/>
    <w:rsid w:val="0085731C"/>
    <w:rsid w:val="00862762"/>
    <w:rsid w:val="008744D6"/>
    <w:rsid w:val="008764BE"/>
    <w:rsid w:val="00876504"/>
    <w:rsid w:val="008906A2"/>
    <w:rsid w:val="00897D89"/>
    <w:rsid w:val="008B0227"/>
    <w:rsid w:val="008B3B31"/>
    <w:rsid w:val="008B51EE"/>
    <w:rsid w:val="008C0A44"/>
    <w:rsid w:val="008C6618"/>
    <w:rsid w:val="008F0106"/>
    <w:rsid w:val="008F3B03"/>
    <w:rsid w:val="008F3C08"/>
    <w:rsid w:val="00923BB3"/>
    <w:rsid w:val="009716A9"/>
    <w:rsid w:val="0098795C"/>
    <w:rsid w:val="009B6DCB"/>
    <w:rsid w:val="009C26CD"/>
    <w:rsid w:val="009C2DEF"/>
    <w:rsid w:val="009D220B"/>
    <w:rsid w:val="009D6019"/>
    <w:rsid w:val="009D6AE1"/>
    <w:rsid w:val="009E0599"/>
    <w:rsid w:val="009F1578"/>
    <w:rsid w:val="009F2903"/>
    <w:rsid w:val="009F78FD"/>
    <w:rsid w:val="00A55CFD"/>
    <w:rsid w:val="00A7072E"/>
    <w:rsid w:val="00A926E1"/>
    <w:rsid w:val="00AD14A7"/>
    <w:rsid w:val="00AF46CB"/>
    <w:rsid w:val="00AF6C4E"/>
    <w:rsid w:val="00B10651"/>
    <w:rsid w:val="00B15BBE"/>
    <w:rsid w:val="00B51ACC"/>
    <w:rsid w:val="00B643D9"/>
    <w:rsid w:val="00BA29EF"/>
    <w:rsid w:val="00BB21F5"/>
    <w:rsid w:val="00BC1452"/>
    <w:rsid w:val="00BE514A"/>
    <w:rsid w:val="00C0177C"/>
    <w:rsid w:val="00C26420"/>
    <w:rsid w:val="00C3712C"/>
    <w:rsid w:val="00C37CD9"/>
    <w:rsid w:val="00C40EE3"/>
    <w:rsid w:val="00C464C0"/>
    <w:rsid w:val="00C57F29"/>
    <w:rsid w:val="00C77B66"/>
    <w:rsid w:val="00C81013"/>
    <w:rsid w:val="00C81B01"/>
    <w:rsid w:val="00CB35BE"/>
    <w:rsid w:val="00CB455E"/>
    <w:rsid w:val="00CB648D"/>
    <w:rsid w:val="00CD26FE"/>
    <w:rsid w:val="00CF6496"/>
    <w:rsid w:val="00D074D6"/>
    <w:rsid w:val="00D14796"/>
    <w:rsid w:val="00D3475B"/>
    <w:rsid w:val="00D442C5"/>
    <w:rsid w:val="00D72DEA"/>
    <w:rsid w:val="00DE4272"/>
    <w:rsid w:val="00DE461B"/>
    <w:rsid w:val="00DF635B"/>
    <w:rsid w:val="00E13DD2"/>
    <w:rsid w:val="00E166C1"/>
    <w:rsid w:val="00E22393"/>
    <w:rsid w:val="00E50FC4"/>
    <w:rsid w:val="00EB0DC4"/>
    <w:rsid w:val="00EB242D"/>
    <w:rsid w:val="00EB356F"/>
    <w:rsid w:val="00EB42E2"/>
    <w:rsid w:val="00EB5112"/>
    <w:rsid w:val="00F23045"/>
    <w:rsid w:val="00F3400B"/>
    <w:rsid w:val="00F43133"/>
    <w:rsid w:val="00F4690A"/>
    <w:rsid w:val="00F57335"/>
    <w:rsid w:val="00F731AA"/>
    <w:rsid w:val="00F836DE"/>
    <w:rsid w:val="00FB5BC2"/>
    <w:rsid w:val="00FC097E"/>
    <w:rsid w:val="00FE0EE6"/>
    <w:rsid w:val="00FE726D"/>
    <w:rsid w:val="00FF5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B9555"/>
  <w15:chartTrackingRefBased/>
  <w15:docId w15:val="{7320DE4C-AD8F-3346-803D-6280FE772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7F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7F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7F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57F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7F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7F2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7F2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7F2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7F2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7F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7F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7F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57F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7F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7F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7F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7F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7F29"/>
    <w:rPr>
      <w:rFonts w:eastAsiaTheme="majorEastAsia" w:cstheme="majorBidi"/>
      <w:color w:val="272727" w:themeColor="text1" w:themeTint="D8"/>
    </w:rPr>
  </w:style>
  <w:style w:type="paragraph" w:styleId="Title">
    <w:name w:val="Title"/>
    <w:basedOn w:val="Normal"/>
    <w:next w:val="Normal"/>
    <w:link w:val="TitleChar"/>
    <w:uiPriority w:val="10"/>
    <w:qFormat/>
    <w:rsid w:val="00C57F2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7F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7F2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7F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7F2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57F29"/>
    <w:rPr>
      <w:i/>
      <w:iCs/>
      <w:color w:val="404040" w:themeColor="text1" w:themeTint="BF"/>
    </w:rPr>
  </w:style>
  <w:style w:type="paragraph" w:styleId="ListParagraph">
    <w:name w:val="List Paragraph"/>
    <w:basedOn w:val="Normal"/>
    <w:uiPriority w:val="34"/>
    <w:qFormat/>
    <w:rsid w:val="00C57F29"/>
    <w:pPr>
      <w:ind w:left="720"/>
      <w:contextualSpacing/>
    </w:pPr>
  </w:style>
  <w:style w:type="character" w:styleId="IntenseEmphasis">
    <w:name w:val="Intense Emphasis"/>
    <w:basedOn w:val="DefaultParagraphFont"/>
    <w:uiPriority w:val="21"/>
    <w:qFormat/>
    <w:rsid w:val="00C57F29"/>
    <w:rPr>
      <w:i/>
      <w:iCs/>
      <w:color w:val="0F4761" w:themeColor="accent1" w:themeShade="BF"/>
    </w:rPr>
  </w:style>
  <w:style w:type="paragraph" w:styleId="IntenseQuote">
    <w:name w:val="Intense Quote"/>
    <w:basedOn w:val="Normal"/>
    <w:next w:val="Normal"/>
    <w:link w:val="IntenseQuoteChar"/>
    <w:uiPriority w:val="30"/>
    <w:qFormat/>
    <w:rsid w:val="00C57F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7F29"/>
    <w:rPr>
      <w:i/>
      <w:iCs/>
      <w:color w:val="0F4761" w:themeColor="accent1" w:themeShade="BF"/>
    </w:rPr>
  </w:style>
  <w:style w:type="character" w:styleId="IntenseReference">
    <w:name w:val="Intense Reference"/>
    <w:basedOn w:val="DefaultParagraphFont"/>
    <w:uiPriority w:val="32"/>
    <w:qFormat/>
    <w:rsid w:val="00C57F29"/>
    <w:rPr>
      <w:b/>
      <w:bCs/>
      <w:smallCaps/>
      <w:color w:val="0F4761" w:themeColor="accent1" w:themeShade="BF"/>
      <w:spacing w:val="5"/>
    </w:rPr>
  </w:style>
  <w:style w:type="character" w:styleId="Hyperlink">
    <w:name w:val="Hyperlink"/>
    <w:basedOn w:val="DefaultParagraphFont"/>
    <w:uiPriority w:val="99"/>
    <w:unhideWhenUsed/>
    <w:rsid w:val="00C57F29"/>
    <w:rPr>
      <w:color w:val="467886" w:themeColor="hyperlink"/>
      <w:u w:val="single"/>
    </w:rPr>
  </w:style>
  <w:style w:type="character" w:styleId="UnresolvedMention">
    <w:name w:val="Unresolved Mention"/>
    <w:basedOn w:val="DefaultParagraphFont"/>
    <w:uiPriority w:val="99"/>
    <w:semiHidden/>
    <w:unhideWhenUsed/>
    <w:rsid w:val="00C57F29"/>
    <w:rPr>
      <w:color w:val="605E5C"/>
      <w:shd w:val="clear" w:color="auto" w:fill="E1DFDD"/>
    </w:rPr>
  </w:style>
  <w:style w:type="paragraph" w:styleId="Header">
    <w:name w:val="header"/>
    <w:basedOn w:val="Normal"/>
    <w:link w:val="HeaderChar"/>
    <w:uiPriority w:val="99"/>
    <w:unhideWhenUsed/>
    <w:rsid w:val="00C81B01"/>
    <w:pPr>
      <w:tabs>
        <w:tab w:val="center" w:pos="4513"/>
        <w:tab w:val="right" w:pos="9026"/>
      </w:tabs>
    </w:pPr>
  </w:style>
  <w:style w:type="character" w:customStyle="1" w:styleId="HeaderChar">
    <w:name w:val="Header Char"/>
    <w:basedOn w:val="DefaultParagraphFont"/>
    <w:link w:val="Header"/>
    <w:uiPriority w:val="99"/>
    <w:rsid w:val="00C81B01"/>
  </w:style>
  <w:style w:type="paragraph" w:styleId="Footer">
    <w:name w:val="footer"/>
    <w:basedOn w:val="Normal"/>
    <w:link w:val="FooterChar"/>
    <w:uiPriority w:val="99"/>
    <w:unhideWhenUsed/>
    <w:rsid w:val="00C81B01"/>
    <w:pPr>
      <w:tabs>
        <w:tab w:val="center" w:pos="4513"/>
        <w:tab w:val="right" w:pos="9026"/>
      </w:tabs>
    </w:pPr>
  </w:style>
  <w:style w:type="character" w:customStyle="1" w:styleId="FooterChar">
    <w:name w:val="Footer Char"/>
    <w:basedOn w:val="DefaultParagraphFont"/>
    <w:link w:val="Footer"/>
    <w:uiPriority w:val="99"/>
    <w:rsid w:val="00C81B01"/>
  </w:style>
  <w:style w:type="table" w:styleId="TableGrid">
    <w:name w:val="Table Grid"/>
    <w:basedOn w:val="TableNormal"/>
    <w:uiPriority w:val="39"/>
    <w:rsid w:val="00C81B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65FBB"/>
    <w:rPr>
      <w:color w:val="96607D" w:themeColor="followedHyperlink"/>
      <w:u w:val="single"/>
    </w:rPr>
  </w:style>
  <w:style w:type="paragraph" w:styleId="NormalWeb">
    <w:name w:val="Normal (Web)"/>
    <w:basedOn w:val="Normal"/>
    <w:uiPriority w:val="99"/>
    <w:semiHidden/>
    <w:unhideWhenUsed/>
    <w:rsid w:val="00737CC3"/>
    <w:rPr>
      <w:rFonts w:ascii="Times New Roman" w:hAnsi="Times New Roman" w:cs="Times New Roman"/>
    </w:rPr>
  </w:style>
  <w:style w:type="character" w:styleId="PageNumber">
    <w:name w:val="page number"/>
    <w:basedOn w:val="DefaultParagraphFont"/>
    <w:uiPriority w:val="99"/>
    <w:semiHidden/>
    <w:unhideWhenUsed/>
    <w:rsid w:val="008B0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42020">
      <w:bodyDiv w:val="1"/>
      <w:marLeft w:val="0"/>
      <w:marRight w:val="0"/>
      <w:marTop w:val="0"/>
      <w:marBottom w:val="0"/>
      <w:divBdr>
        <w:top w:val="none" w:sz="0" w:space="0" w:color="auto"/>
        <w:left w:val="none" w:sz="0" w:space="0" w:color="auto"/>
        <w:bottom w:val="none" w:sz="0" w:space="0" w:color="auto"/>
        <w:right w:val="none" w:sz="0" w:space="0" w:color="auto"/>
      </w:divBdr>
      <w:divsChild>
        <w:div w:id="306476927">
          <w:marLeft w:val="0"/>
          <w:marRight w:val="0"/>
          <w:marTop w:val="0"/>
          <w:marBottom w:val="0"/>
          <w:divBdr>
            <w:top w:val="none" w:sz="0" w:space="0" w:color="auto"/>
            <w:left w:val="none" w:sz="0" w:space="0" w:color="auto"/>
            <w:bottom w:val="none" w:sz="0" w:space="0" w:color="auto"/>
            <w:right w:val="none" w:sz="0" w:space="0" w:color="auto"/>
          </w:divBdr>
          <w:divsChild>
            <w:div w:id="234777408">
              <w:marLeft w:val="0"/>
              <w:marRight w:val="0"/>
              <w:marTop w:val="0"/>
              <w:marBottom w:val="0"/>
              <w:divBdr>
                <w:top w:val="none" w:sz="0" w:space="0" w:color="auto"/>
                <w:left w:val="none" w:sz="0" w:space="0" w:color="auto"/>
                <w:bottom w:val="none" w:sz="0" w:space="0" w:color="auto"/>
                <w:right w:val="none" w:sz="0" w:space="0" w:color="auto"/>
              </w:divBdr>
              <w:divsChild>
                <w:div w:id="981692387">
                  <w:marLeft w:val="0"/>
                  <w:marRight w:val="0"/>
                  <w:marTop w:val="0"/>
                  <w:marBottom w:val="0"/>
                  <w:divBdr>
                    <w:top w:val="none" w:sz="0" w:space="0" w:color="auto"/>
                    <w:left w:val="none" w:sz="0" w:space="0" w:color="auto"/>
                    <w:bottom w:val="none" w:sz="0" w:space="0" w:color="auto"/>
                    <w:right w:val="none" w:sz="0" w:space="0" w:color="auto"/>
                  </w:divBdr>
                  <w:divsChild>
                    <w:div w:id="87477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45419">
      <w:bodyDiv w:val="1"/>
      <w:marLeft w:val="0"/>
      <w:marRight w:val="0"/>
      <w:marTop w:val="0"/>
      <w:marBottom w:val="0"/>
      <w:divBdr>
        <w:top w:val="none" w:sz="0" w:space="0" w:color="auto"/>
        <w:left w:val="none" w:sz="0" w:space="0" w:color="auto"/>
        <w:bottom w:val="none" w:sz="0" w:space="0" w:color="auto"/>
        <w:right w:val="none" w:sz="0" w:space="0" w:color="auto"/>
      </w:divBdr>
      <w:divsChild>
        <w:div w:id="805197570">
          <w:marLeft w:val="0"/>
          <w:marRight w:val="0"/>
          <w:marTop w:val="0"/>
          <w:marBottom w:val="0"/>
          <w:divBdr>
            <w:top w:val="none" w:sz="0" w:space="0" w:color="auto"/>
            <w:left w:val="none" w:sz="0" w:space="0" w:color="auto"/>
            <w:bottom w:val="none" w:sz="0" w:space="0" w:color="auto"/>
            <w:right w:val="none" w:sz="0" w:space="0" w:color="auto"/>
          </w:divBdr>
          <w:divsChild>
            <w:div w:id="1383747744">
              <w:marLeft w:val="0"/>
              <w:marRight w:val="0"/>
              <w:marTop w:val="0"/>
              <w:marBottom w:val="0"/>
              <w:divBdr>
                <w:top w:val="none" w:sz="0" w:space="0" w:color="auto"/>
                <w:left w:val="none" w:sz="0" w:space="0" w:color="auto"/>
                <w:bottom w:val="none" w:sz="0" w:space="0" w:color="auto"/>
                <w:right w:val="none" w:sz="0" w:space="0" w:color="auto"/>
              </w:divBdr>
              <w:divsChild>
                <w:div w:id="46262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65022">
      <w:bodyDiv w:val="1"/>
      <w:marLeft w:val="0"/>
      <w:marRight w:val="0"/>
      <w:marTop w:val="0"/>
      <w:marBottom w:val="0"/>
      <w:divBdr>
        <w:top w:val="none" w:sz="0" w:space="0" w:color="auto"/>
        <w:left w:val="none" w:sz="0" w:space="0" w:color="auto"/>
        <w:bottom w:val="none" w:sz="0" w:space="0" w:color="auto"/>
        <w:right w:val="none" w:sz="0" w:space="0" w:color="auto"/>
      </w:divBdr>
      <w:divsChild>
        <w:div w:id="252516123">
          <w:marLeft w:val="0"/>
          <w:marRight w:val="0"/>
          <w:marTop w:val="0"/>
          <w:marBottom w:val="0"/>
          <w:divBdr>
            <w:top w:val="none" w:sz="0" w:space="0" w:color="auto"/>
            <w:left w:val="none" w:sz="0" w:space="0" w:color="auto"/>
            <w:bottom w:val="none" w:sz="0" w:space="0" w:color="auto"/>
            <w:right w:val="none" w:sz="0" w:space="0" w:color="auto"/>
          </w:divBdr>
          <w:divsChild>
            <w:div w:id="146093143">
              <w:marLeft w:val="0"/>
              <w:marRight w:val="0"/>
              <w:marTop w:val="0"/>
              <w:marBottom w:val="0"/>
              <w:divBdr>
                <w:top w:val="none" w:sz="0" w:space="0" w:color="auto"/>
                <w:left w:val="none" w:sz="0" w:space="0" w:color="auto"/>
                <w:bottom w:val="none" w:sz="0" w:space="0" w:color="auto"/>
                <w:right w:val="none" w:sz="0" w:space="0" w:color="auto"/>
              </w:divBdr>
              <w:divsChild>
                <w:div w:id="1619995564">
                  <w:marLeft w:val="0"/>
                  <w:marRight w:val="0"/>
                  <w:marTop w:val="0"/>
                  <w:marBottom w:val="0"/>
                  <w:divBdr>
                    <w:top w:val="none" w:sz="0" w:space="0" w:color="auto"/>
                    <w:left w:val="none" w:sz="0" w:space="0" w:color="auto"/>
                    <w:bottom w:val="none" w:sz="0" w:space="0" w:color="auto"/>
                    <w:right w:val="none" w:sz="0" w:space="0" w:color="auto"/>
                  </w:divBdr>
                  <w:divsChild>
                    <w:div w:id="41890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40527">
      <w:bodyDiv w:val="1"/>
      <w:marLeft w:val="0"/>
      <w:marRight w:val="0"/>
      <w:marTop w:val="0"/>
      <w:marBottom w:val="0"/>
      <w:divBdr>
        <w:top w:val="none" w:sz="0" w:space="0" w:color="auto"/>
        <w:left w:val="none" w:sz="0" w:space="0" w:color="auto"/>
        <w:bottom w:val="none" w:sz="0" w:space="0" w:color="auto"/>
        <w:right w:val="none" w:sz="0" w:space="0" w:color="auto"/>
      </w:divBdr>
      <w:divsChild>
        <w:div w:id="26103467">
          <w:marLeft w:val="0"/>
          <w:marRight w:val="0"/>
          <w:marTop w:val="0"/>
          <w:marBottom w:val="0"/>
          <w:divBdr>
            <w:top w:val="none" w:sz="0" w:space="0" w:color="auto"/>
            <w:left w:val="none" w:sz="0" w:space="0" w:color="auto"/>
            <w:bottom w:val="none" w:sz="0" w:space="0" w:color="auto"/>
            <w:right w:val="none" w:sz="0" w:space="0" w:color="auto"/>
          </w:divBdr>
          <w:divsChild>
            <w:div w:id="1463378834">
              <w:marLeft w:val="0"/>
              <w:marRight w:val="0"/>
              <w:marTop w:val="0"/>
              <w:marBottom w:val="0"/>
              <w:divBdr>
                <w:top w:val="none" w:sz="0" w:space="0" w:color="auto"/>
                <w:left w:val="none" w:sz="0" w:space="0" w:color="auto"/>
                <w:bottom w:val="none" w:sz="0" w:space="0" w:color="auto"/>
                <w:right w:val="none" w:sz="0" w:space="0" w:color="auto"/>
              </w:divBdr>
              <w:divsChild>
                <w:div w:id="729889878">
                  <w:marLeft w:val="0"/>
                  <w:marRight w:val="0"/>
                  <w:marTop w:val="0"/>
                  <w:marBottom w:val="0"/>
                  <w:divBdr>
                    <w:top w:val="none" w:sz="0" w:space="0" w:color="auto"/>
                    <w:left w:val="none" w:sz="0" w:space="0" w:color="auto"/>
                    <w:bottom w:val="none" w:sz="0" w:space="0" w:color="auto"/>
                    <w:right w:val="none" w:sz="0" w:space="0" w:color="auto"/>
                  </w:divBdr>
                  <w:divsChild>
                    <w:div w:id="110704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42291">
      <w:bodyDiv w:val="1"/>
      <w:marLeft w:val="0"/>
      <w:marRight w:val="0"/>
      <w:marTop w:val="0"/>
      <w:marBottom w:val="0"/>
      <w:divBdr>
        <w:top w:val="none" w:sz="0" w:space="0" w:color="auto"/>
        <w:left w:val="none" w:sz="0" w:space="0" w:color="auto"/>
        <w:bottom w:val="none" w:sz="0" w:space="0" w:color="auto"/>
        <w:right w:val="none" w:sz="0" w:space="0" w:color="auto"/>
      </w:divBdr>
    </w:div>
    <w:div w:id="201938274">
      <w:bodyDiv w:val="1"/>
      <w:marLeft w:val="0"/>
      <w:marRight w:val="0"/>
      <w:marTop w:val="0"/>
      <w:marBottom w:val="0"/>
      <w:divBdr>
        <w:top w:val="none" w:sz="0" w:space="0" w:color="auto"/>
        <w:left w:val="none" w:sz="0" w:space="0" w:color="auto"/>
        <w:bottom w:val="none" w:sz="0" w:space="0" w:color="auto"/>
        <w:right w:val="none" w:sz="0" w:space="0" w:color="auto"/>
      </w:divBdr>
      <w:divsChild>
        <w:div w:id="1329333649">
          <w:marLeft w:val="0"/>
          <w:marRight w:val="0"/>
          <w:marTop w:val="0"/>
          <w:marBottom w:val="0"/>
          <w:divBdr>
            <w:top w:val="none" w:sz="0" w:space="0" w:color="auto"/>
            <w:left w:val="none" w:sz="0" w:space="0" w:color="auto"/>
            <w:bottom w:val="none" w:sz="0" w:space="0" w:color="auto"/>
            <w:right w:val="none" w:sz="0" w:space="0" w:color="auto"/>
          </w:divBdr>
          <w:divsChild>
            <w:div w:id="509217741">
              <w:marLeft w:val="0"/>
              <w:marRight w:val="0"/>
              <w:marTop w:val="0"/>
              <w:marBottom w:val="0"/>
              <w:divBdr>
                <w:top w:val="none" w:sz="0" w:space="0" w:color="auto"/>
                <w:left w:val="none" w:sz="0" w:space="0" w:color="auto"/>
                <w:bottom w:val="none" w:sz="0" w:space="0" w:color="auto"/>
                <w:right w:val="none" w:sz="0" w:space="0" w:color="auto"/>
              </w:divBdr>
              <w:divsChild>
                <w:div w:id="1738161567">
                  <w:marLeft w:val="0"/>
                  <w:marRight w:val="0"/>
                  <w:marTop w:val="0"/>
                  <w:marBottom w:val="0"/>
                  <w:divBdr>
                    <w:top w:val="none" w:sz="0" w:space="0" w:color="auto"/>
                    <w:left w:val="none" w:sz="0" w:space="0" w:color="auto"/>
                    <w:bottom w:val="none" w:sz="0" w:space="0" w:color="auto"/>
                    <w:right w:val="none" w:sz="0" w:space="0" w:color="auto"/>
                  </w:divBdr>
                  <w:divsChild>
                    <w:div w:id="13356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371955">
      <w:bodyDiv w:val="1"/>
      <w:marLeft w:val="0"/>
      <w:marRight w:val="0"/>
      <w:marTop w:val="0"/>
      <w:marBottom w:val="0"/>
      <w:divBdr>
        <w:top w:val="none" w:sz="0" w:space="0" w:color="auto"/>
        <w:left w:val="none" w:sz="0" w:space="0" w:color="auto"/>
        <w:bottom w:val="none" w:sz="0" w:space="0" w:color="auto"/>
        <w:right w:val="none" w:sz="0" w:space="0" w:color="auto"/>
      </w:divBdr>
    </w:div>
    <w:div w:id="407383442">
      <w:bodyDiv w:val="1"/>
      <w:marLeft w:val="0"/>
      <w:marRight w:val="0"/>
      <w:marTop w:val="0"/>
      <w:marBottom w:val="0"/>
      <w:divBdr>
        <w:top w:val="none" w:sz="0" w:space="0" w:color="auto"/>
        <w:left w:val="none" w:sz="0" w:space="0" w:color="auto"/>
        <w:bottom w:val="none" w:sz="0" w:space="0" w:color="auto"/>
        <w:right w:val="none" w:sz="0" w:space="0" w:color="auto"/>
      </w:divBdr>
    </w:div>
    <w:div w:id="462818929">
      <w:bodyDiv w:val="1"/>
      <w:marLeft w:val="0"/>
      <w:marRight w:val="0"/>
      <w:marTop w:val="0"/>
      <w:marBottom w:val="0"/>
      <w:divBdr>
        <w:top w:val="none" w:sz="0" w:space="0" w:color="auto"/>
        <w:left w:val="none" w:sz="0" w:space="0" w:color="auto"/>
        <w:bottom w:val="none" w:sz="0" w:space="0" w:color="auto"/>
        <w:right w:val="none" w:sz="0" w:space="0" w:color="auto"/>
      </w:divBdr>
    </w:div>
    <w:div w:id="519049366">
      <w:bodyDiv w:val="1"/>
      <w:marLeft w:val="0"/>
      <w:marRight w:val="0"/>
      <w:marTop w:val="0"/>
      <w:marBottom w:val="0"/>
      <w:divBdr>
        <w:top w:val="none" w:sz="0" w:space="0" w:color="auto"/>
        <w:left w:val="none" w:sz="0" w:space="0" w:color="auto"/>
        <w:bottom w:val="none" w:sz="0" w:space="0" w:color="auto"/>
        <w:right w:val="none" w:sz="0" w:space="0" w:color="auto"/>
      </w:divBdr>
    </w:div>
    <w:div w:id="540217077">
      <w:bodyDiv w:val="1"/>
      <w:marLeft w:val="0"/>
      <w:marRight w:val="0"/>
      <w:marTop w:val="0"/>
      <w:marBottom w:val="0"/>
      <w:divBdr>
        <w:top w:val="none" w:sz="0" w:space="0" w:color="auto"/>
        <w:left w:val="none" w:sz="0" w:space="0" w:color="auto"/>
        <w:bottom w:val="none" w:sz="0" w:space="0" w:color="auto"/>
        <w:right w:val="none" w:sz="0" w:space="0" w:color="auto"/>
      </w:divBdr>
    </w:div>
    <w:div w:id="700934437">
      <w:bodyDiv w:val="1"/>
      <w:marLeft w:val="0"/>
      <w:marRight w:val="0"/>
      <w:marTop w:val="0"/>
      <w:marBottom w:val="0"/>
      <w:divBdr>
        <w:top w:val="none" w:sz="0" w:space="0" w:color="auto"/>
        <w:left w:val="none" w:sz="0" w:space="0" w:color="auto"/>
        <w:bottom w:val="none" w:sz="0" w:space="0" w:color="auto"/>
        <w:right w:val="none" w:sz="0" w:space="0" w:color="auto"/>
      </w:divBdr>
      <w:divsChild>
        <w:div w:id="355355297">
          <w:marLeft w:val="0"/>
          <w:marRight w:val="0"/>
          <w:marTop w:val="0"/>
          <w:marBottom w:val="0"/>
          <w:divBdr>
            <w:top w:val="none" w:sz="0" w:space="0" w:color="auto"/>
            <w:left w:val="none" w:sz="0" w:space="0" w:color="auto"/>
            <w:bottom w:val="none" w:sz="0" w:space="0" w:color="auto"/>
            <w:right w:val="none" w:sz="0" w:space="0" w:color="auto"/>
          </w:divBdr>
          <w:divsChild>
            <w:div w:id="871454666">
              <w:marLeft w:val="0"/>
              <w:marRight w:val="0"/>
              <w:marTop w:val="0"/>
              <w:marBottom w:val="0"/>
              <w:divBdr>
                <w:top w:val="none" w:sz="0" w:space="0" w:color="auto"/>
                <w:left w:val="none" w:sz="0" w:space="0" w:color="auto"/>
                <w:bottom w:val="none" w:sz="0" w:space="0" w:color="auto"/>
                <w:right w:val="none" w:sz="0" w:space="0" w:color="auto"/>
              </w:divBdr>
              <w:divsChild>
                <w:div w:id="128171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940801">
      <w:bodyDiv w:val="1"/>
      <w:marLeft w:val="0"/>
      <w:marRight w:val="0"/>
      <w:marTop w:val="0"/>
      <w:marBottom w:val="0"/>
      <w:divBdr>
        <w:top w:val="none" w:sz="0" w:space="0" w:color="auto"/>
        <w:left w:val="none" w:sz="0" w:space="0" w:color="auto"/>
        <w:bottom w:val="none" w:sz="0" w:space="0" w:color="auto"/>
        <w:right w:val="none" w:sz="0" w:space="0" w:color="auto"/>
      </w:divBdr>
    </w:div>
    <w:div w:id="735707330">
      <w:bodyDiv w:val="1"/>
      <w:marLeft w:val="0"/>
      <w:marRight w:val="0"/>
      <w:marTop w:val="0"/>
      <w:marBottom w:val="0"/>
      <w:divBdr>
        <w:top w:val="none" w:sz="0" w:space="0" w:color="auto"/>
        <w:left w:val="none" w:sz="0" w:space="0" w:color="auto"/>
        <w:bottom w:val="none" w:sz="0" w:space="0" w:color="auto"/>
        <w:right w:val="none" w:sz="0" w:space="0" w:color="auto"/>
      </w:divBdr>
    </w:div>
    <w:div w:id="821582746">
      <w:bodyDiv w:val="1"/>
      <w:marLeft w:val="0"/>
      <w:marRight w:val="0"/>
      <w:marTop w:val="0"/>
      <w:marBottom w:val="0"/>
      <w:divBdr>
        <w:top w:val="none" w:sz="0" w:space="0" w:color="auto"/>
        <w:left w:val="none" w:sz="0" w:space="0" w:color="auto"/>
        <w:bottom w:val="none" w:sz="0" w:space="0" w:color="auto"/>
        <w:right w:val="none" w:sz="0" w:space="0" w:color="auto"/>
      </w:divBdr>
    </w:div>
    <w:div w:id="1053849502">
      <w:bodyDiv w:val="1"/>
      <w:marLeft w:val="0"/>
      <w:marRight w:val="0"/>
      <w:marTop w:val="0"/>
      <w:marBottom w:val="0"/>
      <w:divBdr>
        <w:top w:val="none" w:sz="0" w:space="0" w:color="auto"/>
        <w:left w:val="none" w:sz="0" w:space="0" w:color="auto"/>
        <w:bottom w:val="none" w:sz="0" w:space="0" w:color="auto"/>
        <w:right w:val="none" w:sz="0" w:space="0" w:color="auto"/>
      </w:divBdr>
      <w:divsChild>
        <w:div w:id="1501849435">
          <w:marLeft w:val="0"/>
          <w:marRight w:val="0"/>
          <w:marTop w:val="0"/>
          <w:marBottom w:val="0"/>
          <w:divBdr>
            <w:top w:val="none" w:sz="0" w:space="0" w:color="auto"/>
            <w:left w:val="none" w:sz="0" w:space="0" w:color="auto"/>
            <w:bottom w:val="none" w:sz="0" w:space="0" w:color="auto"/>
            <w:right w:val="none" w:sz="0" w:space="0" w:color="auto"/>
          </w:divBdr>
          <w:divsChild>
            <w:div w:id="1620527608">
              <w:marLeft w:val="0"/>
              <w:marRight w:val="0"/>
              <w:marTop w:val="0"/>
              <w:marBottom w:val="0"/>
              <w:divBdr>
                <w:top w:val="none" w:sz="0" w:space="0" w:color="auto"/>
                <w:left w:val="none" w:sz="0" w:space="0" w:color="auto"/>
                <w:bottom w:val="none" w:sz="0" w:space="0" w:color="auto"/>
                <w:right w:val="none" w:sz="0" w:space="0" w:color="auto"/>
              </w:divBdr>
              <w:divsChild>
                <w:div w:id="105126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098383">
      <w:bodyDiv w:val="1"/>
      <w:marLeft w:val="0"/>
      <w:marRight w:val="0"/>
      <w:marTop w:val="0"/>
      <w:marBottom w:val="0"/>
      <w:divBdr>
        <w:top w:val="none" w:sz="0" w:space="0" w:color="auto"/>
        <w:left w:val="none" w:sz="0" w:space="0" w:color="auto"/>
        <w:bottom w:val="none" w:sz="0" w:space="0" w:color="auto"/>
        <w:right w:val="none" w:sz="0" w:space="0" w:color="auto"/>
      </w:divBdr>
      <w:divsChild>
        <w:div w:id="897128174">
          <w:marLeft w:val="0"/>
          <w:marRight w:val="0"/>
          <w:marTop w:val="0"/>
          <w:marBottom w:val="0"/>
          <w:divBdr>
            <w:top w:val="none" w:sz="0" w:space="0" w:color="auto"/>
            <w:left w:val="none" w:sz="0" w:space="0" w:color="auto"/>
            <w:bottom w:val="none" w:sz="0" w:space="0" w:color="auto"/>
            <w:right w:val="none" w:sz="0" w:space="0" w:color="auto"/>
          </w:divBdr>
          <w:divsChild>
            <w:div w:id="1057511932">
              <w:marLeft w:val="0"/>
              <w:marRight w:val="0"/>
              <w:marTop w:val="0"/>
              <w:marBottom w:val="0"/>
              <w:divBdr>
                <w:top w:val="none" w:sz="0" w:space="0" w:color="auto"/>
                <w:left w:val="none" w:sz="0" w:space="0" w:color="auto"/>
                <w:bottom w:val="none" w:sz="0" w:space="0" w:color="auto"/>
                <w:right w:val="none" w:sz="0" w:space="0" w:color="auto"/>
              </w:divBdr>
              <w:divsChild>
                <w:div w:id="140668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529962">
      <w:bodyDiv w:val="1"/>
      <w:marLeft w:val="0"/>
      <w:marRight w:val="0"/>
      <w:marTop w:val="0"/>
      <w:marBottom w:val="0"/>
      <w:divBdr>
        <w:top w:val="none" w:sz="0" w:space="0" w:color="auto"/>
        <w:left w:val="none" w:sz="0" w:space="0" w:color="auto"/>
        <w:bottom w:val="none" w:sz="0" w:space="0" w:color="auto"/>
        <w:right w:val="none" w:sz="0" w:space="0" w:color="auto"/>
      </w:divBdr>
    </w:div>
    <w:div w:id="1227765560">
      <w:bodyDiv w:val="1"/>
      <w:marLeft w:val="0"/>
      <w:marRight w:val="0"/>
      <w:marTop w:val="0"/>
      <w:marBottom w:val="0"/>
      <w:divBdr>
        <w:top w:val="none" w:sz="0" w:space="0" w:color="auto"/>
        <w:left w:val="none" w:sz="0" w:space="0" w:color="auto"/>
        <w:bottom w:val="none" w:sz="0" w:space="0" w:color="auto"/>
        <w:right w:val="none" w:sz="0" w:space="0" w:color="auto"/>
      </w:divBdr>
    </w:div>
    <w:div w:id="1231503096">
      <w:bodyDiv w:val="1"/>
      <w:marLeft w:val="0"/>
      <w:marRight w:val="0"/>
      <w:marTop w:val="0"/>
      <w:marBottom w:val="0"/>
      <w:divBdr>
        <w:top w:val="none" w:sz="0" w:space="0" w:color="auto"/>
        <w:left w:val="none" w:sz="0" w:space="0" w:color="auto"/>
        <w:bottom w:val="none" w:sz="0" w:space="0" w:color="auto"/>
        <w:right w:val="none" w:sz="0" w:space="0" w:color="auto"/>
      </w:divBdr>
    </w:div>
    <w:div w:id="1244683673">
      <w:bodyDiv w:val="1"/>
      <w:marLeft w:val="0"/>
      <w:marRight w:val="0"/>
      <w:marTop w:val="0"/>
      <w:marBottom w:val="0"/>
      <w:divBdr>
        <w:top w:val="none" w:sz="0" w:space="0" w:color="auto"/>
        <w:left w:val="none" w:sz="0" w:space="0" w:color="auto"/>
        <w:bottom w:val="none" w:sz="0" w:space="0" w:color="auto"/>
        <w:right w:val="none" w:sz="0" w:space="0" w:color="auto"/>
      </w:divBdr>
      <w:divsChild>
        <w:div w:id="510989505">
          <w:marLeft w:val="0"/>
          <w:marRight w:val="0"/>
          <w:marTop w:val="0"/>
          <w:marBottom w:val="0"/>
          <w:divBdr>
            <w:top w:val="none" w:sz="0" w:space="0" w:color="auto"/>
            <w:left w:val="none" w:sz="0" w:space="0" w:color="auto"/>
            <w:bottom w:val="none" w:sz="0" w:space="0" w:color="auto"/>
            <w:right w:val="none" w:sz="0" w:space="0" w:color="auto"/>
          </w:divBdr>
          <w:divsChild>
            <w:div w:id="769080205">
              <w:marLeft w:val="0"/>
              <w:marRight w:val="0"/>
              <w:marTop w:val="0"/>
              <w:marBottom w:val="0"/>
              <w:divBdr>
                <w:top w:val="none" w:sz="0" w:space="0" w:color="auto"/>
                <w:left w:val="none" w:sz="0" w:space="0" w:color="auto"/>
                <w:bottom w:val="none" w:sz="0" w:space="0" w:color="auto"/>
                <w:right w:val="none" w:sz="0" w:space="0" w:color="auto"/>
              </w:divBdr>
              <w:divsChild>
                <w:div w:id="131676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393009">
      <w:bodyDiv w:val="1"/>
      <w:marLeft w:val="0"/>
      <w:marRight w:val="0"/>
      <w:marTop w:val="0"/>
      <w:marBottom w:val="0"/>
      <w:divBdr>
        <w:top w:val="none" w:sz="0" w:space="0" w:color="auto"/>
        <w:left w:val="none" w:sz="0" w:space="0" w:color="auto"/>
        <w:bottom w:val="none" w:sz="0" w:space="0" w:color="auto"/>
        <w:right w:val="none" w:sz="0" w:space="0" w:color="auto"/>
      </w:divBdr>
    </w:div>
    <w:div w:id="1420906494">
      <w:bodyDiv w:val="1"/>
      <w:marLeft w:val="0"/>
      <w:marRight w:val="0"/>
      <w:marTop w:val="0"/>
      <w:marBottom w:val="0"/>
      <w:divBdr>
        <w:top w:val="none" w:sz="0" w:space="0" w:color="auto"/>
        <w:left w:val="none" w:sz="0" w:space="0" w:color="auto"/>
        <w:bottom w:val="none" w:sz="0" w:space="0" w:color="auto"/>
        <w:right w:val="none" w:sz="0" w:space="0" w:color="auto"/>
      </w:divBdr>
    </w:div>
    <w:div w:id="1422408261">
      <w:bodyDiv w:val="1"/>
      <w:marLeft w:val="0"/>
      <w:marRight w:val="0"/>
      <w:marTop w:val="0"/>
      <w:marBottom w:val="0"/>
      <w:divBdr>
        <w:top w:val="none" w:sz="0" w:space="0" w:color="auto"/>
        <w:left w:val="none" w:sz="0" w:space="0" w:color="auto"/>
        <w:bottom w:val="none" w:sz="0" w:space="0" w:color="auto"/>
        <w:right w:val="none" w:sz="0" w:space="0" w:color="auto"/>
      </w:divBdr>
      <w:divsChild>
        <w:div w:id="1064378212">
          <w:marLeft w:val="0"/>
          <w:marRight w:val="0"/>
          <w:marTop w:val="0"/>
          <w:marBottom w:val="0"/>
          <w:divBdr>
            <w:top w:val="none" w:sz="0" w:space="0" w:color="auto"/>
            <w:left w:val="none" w:sz="0" w:space="0" w:color="auto"/>
            <w:bottom w:val="none" w:sz="0" w:space="0" w:color="auto"/>
            <w:right w:val="none" w:sz="0" w:space="0" w:color="auto"/>
          </w:divBdr>
          <w:divsChild>
            <w:div w:id="403534037">
              <w:marLeft w:val="0"/>
              <w:marRight w:val="0"/>
              <w:marTop w:val="0"/>
              <w:marBottom w:val="0"/>
              <w:divBdr>
                <w:top w:val="none" w:sz="0" w:space="0" w:color="auto"/>
                <w:left w:val="none" w:sz="0" w:space="0" w:color="auto"/>
                <w:bottom w:val="none" w:sz="0" w:space="0" w:color="auto"/>
                <w:right w:val="none" w:sz="0" w:space="0" w:color="auto"/>
              </w:divBdr>
              <w:divsChild>
                <w:div w:id="179204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773164">
      <w:bodyDiv w:val="1"/>
      <w:marLeft w:val="0"/>
      <w:marRight w:val="0"/>
      <w:marTop w:val="0"/>
      <w:marBottom w:val="0"/>
      <w:divBdr>
        <w:top w:val="none" w:sz="0" w:space="0" w:color="auto"/>
        <w:left w:val="none" w:sz="0" w:space="0" w:color="auto"/>
        <w:bottom w:val="none" w:sz="0" w:space="0" w:color="auto"/>
        <w:right w:val="none" w:sz="0" w:space="0" w:color="auto"/>
      </w:divBdr>
    </w:div>
    <w:div w:id="1435132726">
      <w:bodyDiv w:val="1"/>
      <w:marLeft w:val="0"/>
      <w:marRight w:val="0"/>
      <w:marTop w:val="0"/>
      <w:marBottom w:val="0"/>
      <w:divBdr>
        <w:top w:val="none" w:sz="0" w:space="0" w:color="auto"/>
        <w:left w:val="none" w:sz="0" w:space="0" w:color="auto"/>
        <w:bottom w:val="none" w:sz="0" w:space="0" w:color="auto"/>
        <w:right w:val="none" w:sz="0" w:space="0" w:color="auto"/>
      </w:divBdr>
    </w:div>
    <w:div w:id="1482425093">
      <w:bodyDiv w:val="1"/>
      <w:marLeft w:val="0"/>
      <w:marRight w:val="0"/>
      <w:marTop w:val="0"/>
      <w:marBottom w:val="0"/>
      <w:divBdr>
        <w:top w:val="none" w:sz="0" w:space="0" w:color="auto"/>
        <w:left w:val="none" w:sz="0" w:space="0" w:color="auto"/>
        <w:bottom w:val="none" w:sz="0" w:space="0" w:color="auto"/>
        <w:right w:val="none" w:sz="0" w:space="0" w:color="auto"/>
      </w:divBdr>
    </w:div>
    <w:div w:id="1628465870">
      <w:bodyDiv w:val="1"/>
      <w:marLeft w:val="0"/>
      <w:marRight w:val="0"/>
      <w:marTop w:val="0"/>
      <w:marBottom w:val="0"/>
      <w:divBdr>
        <w:top w:val="none" w:sz="0" w:space="0" w:color="auto"/>
        <w:left w:val="none" w:sz="0" w:space="0" w:color="auto"/>
        <w:bottom w:val="none" w:sz="0" w:space="0" w:color="auto"/>
        <w:right w:val="none" w:sz="0" w:space="0" w:color="auto"/>
      </w:divBdr>
      <w:divsChild>
        <w:div w:id="537082173">
          <w:marLeft w:val="0"/>
          <w:marRight w:val="0"/>
          <w:marTop w:val="0"/>
          <w:marBottom w:val="0"/>
          <w:divBdr>
            <w:top w:val="none" w:sz="0" w:space="0" w:color="auto"/>
            <w:left w:val="none" w:sz="0" w:space="0" w:color="auto"/>
            <w:bottom w:val="none" w:sz="0" w:space="0" w:color="auto"/>
            <w:right w:val="none" w:sz="0" w:space="0" w:color="auto"/>
          </w:divBdr>
          <w:divsChild>
            <w:div w:id="1006712266">
              <w:marLeft w:val="0"/>
              <w:marRight w:val="0"/>
              <w:marTop w:val="0"/>
              <w:marBottom w:val="0"/>
              <w:divBdr>
                <w:top w:val="none" w:sz="0" w:space="0" w:color="auto"/>
                <w:left w:val="none" w:sz="0" w:space="0" w:color="auto"/>
                <w:bottom w:val="none" w:sz="0" w:space="0" w:color="auto"/>
                <w:right w:val="none" w:sz="0" w:space="0" w:color="auto"/>
              </w:divBdr>
              <w:divsChild>
                <w:div w:id="1392774245">
                  <w:marLeft w:val="0"/>
                  <w:marRight w:val="0"/>
                  <w:marTop w:val="0"/>
                  <w:marBottom w:val="0"/>
                  <w:divBdr>
                    <w:top w:val="none" w:sz="0" w:space="0" w:color="auto"/>
                    <w:left w:val="none" w:sz="0" w:space="0" w:color="auto"/>
                    <w:bottom w:val="none" w:sz="0" w:space="0" w:color="auto"/>
                    <w:right w:val="none" w:sz="0" w:space="0" w:color="auto"/>
                  </w:divBdr>
                </w:div>
                <w:div w:id="34763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037463">
      <w:bodyDiv w:val="1"/>
      <w:marLeft w:val="0"/>
      <w:marRight w:val="0"/>
      <w:marTop w:val="0"/>
      <w:marBottom w:val="0"/>
      <w:divBdr>
        <w:top w:val="none" w:sz="0" w:space="0" w:color="auto"/>
        <w:left w:val="none" w:sz="0" w:space="0" w:color="auto"/>
        <w:bottom w:val="none" w:sz="0" w:space="0" w:color="auto"/>
        <w:right w:val="none" w:sz="0" w:space="0" w:color="auto"/>
      </w:divBdr>
    </w:div>
    <w:div w:id="1652902917">
      <w:bodyDiv w:val="1"/>
      <w:marLeft w:val="0"/>
      <w:marRight w:val="0"/>
      <w:marTop w:val="0"/>
      <w:marBottom w:val="0"/>
      <w:divBdr>
        <w:top w:val="none" w:sz="0" w:space="0" w:color="auto"/>
        <w:left w:val="none" w:sz="0" w:space="0" w:color="auto"/>
        <w:bottom w:val="none" w:sz="0" w:space="0" w:color="auto"/>
        <w:right w:val="none" w:sz="0" w:space="0" w:color="auto"/>
      </w:divBdr>
    </w:div>
    <w:div w:id="1761215120">
      <w:bodyDiv w:val="1"/>
      <w:marLeft w:val="0"/>
      <w:marRight w:val="0"/>
      <w:marTop w:val="0"/>
      <w:marBottom w:val="0"/>
      <w:divBdr>
        <w:top w:val="none" w:sz="0" w:space="0" w:color="auto"/>
        <w:left w:val="none" w:sz="0" w:space="0" w:color="auto"/>
        <w:bottom w:val="none" w:sz="0" w:space="0" w:color="auto"/>
        <w:right w:val="none" w:sz="0" w:space="0" w:color="auto"/>
      </w:divBdr>
      <w:divsChild>
        <w:div w:id="1717045788">
          <w:marLeft w:val="0"/>
          <w:marRight w:val="0"/>
          <w:marTop w:val="0"/>
          <w:marBottom w:val="0"/>
          <w:divBdr>
            <w:top w:val="none" w:sz="0" w:space="0" w:color="auto"/>
            <w:left w:val="none" w:sz="0" w:space="0" w:color="auto"/>
            <w:bottom w:val="none" w:sz="0" w:space="0" w:color="auto"/>
            <w:right w:val="none" w:sz="0" w:space="0" w:color="auto"/>
          </w:divBdr>
          <w:divsChild>
            <w:div w:id="349838347">
              <w:marLeft w:val="0"/>
              <w:marRight w:val="0"/>
              <w:marTop w:val="0"/>
              <w:marBottom w:val="0"/>
              <w:divBdr>
                <w:top w:val="none" w:sz="0" w:space="0" w:color="auto"/>
                <w:left w:val="none" w:sz="0" w:space="0" w:color="auto"/>
                <w:bottom w:val="none" w:sz="0" w:space="0" w:color="auto"/>
                <w:right w:val="none" w:sz="0" w:space="0" w:color="auto"/>
              </w:divBdr>
              <w:divsChild>
                <w:div w:id="2096511932">
                  <w:marLeft w:val="0"/>
                  <w:marRight w:val="0"/>
                  <w:marTop w:val="0"/>
                  <w:marBottom w:val="0"/>
                  <w:divBdr>
                    <w:top w:val="none" w:sz="0" w:space="0" w:color="auto"/>
                    <w:left w:val="none" w:sz="0" w:space="0" w:color="auto"/>
                    <w:bottom w:val="none" w:sz="0" w:space="0" w:color="auto"/>
                    <w:right w:val="none" w:sz="0" w:space="0" w:color="auto"/>
                  </w:divBdr>
                </w:div>
                <w:div w:id="118964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275885">
      <w:bodyDiv w:val="1"/>
      <w:marLeft w:val="0"/>
      <w:marRight w:val="0"/>
      <w:marTop w:val="0"/>
      <w:marBottom w:val="0"/>
      <w:divBdr>
        <w:top w:val="none" w:sz="0" w:space="0" w:color="auto"/>
        <w:left w:val="none" w:sz="0" w:space="0" w:color="auto"/>
        <w:bottom w:val="none" w:sz="0" w:space="0" w:color="auto"/>
        <w:right w:val="none" w:sz="0" w:space="0" w:color="auto"/>
      </w:divBdr>
    </w:div>
    <w:div w:id="1954939271">
      <w:bodyDiv w:val="1"/>
      <w:marLeft w:val="0"/>
      <w:marRight w:val="0"/>
      <w:marTop w:val="0"/>
      <w:marBottom w:val="0"/>
      <w:divBdr>
        <w:top w:val="none" w:sz="0" w:space="0" w:color="auto"/>
        <w:left w:val="none" w:sz="0" w:space="0" w:color="auto"/>
        <w:bottom w:val="none" w:sz="0" w:space="0" w:color="auto"/>
        <w:right w:val="none" w:sz="0" w:space="0" w:color="auto"/>
      </w:divBdr>
    </w:div>
    <w:div w:id="2064332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1wqtxts1xzle7.cloudfront.net/87165807/00011363-200410000-0000620220607-1-13sexor-libre.pdf?1654645864=&amp;response-content-disposition=inline%3B+filename%3DChallenges_in_Emotional_Regulation_in_As.pdf&amp;Expires=1731252489&amp;Signature=GDDERT8uwRpwafITGafYx9zbGsb-iO8JpKGEDyVl~XjwgVP08Fp-U-9pgskyrxNH6sM5xf5xu8QRIKySU-5Z1RWfSvGMRnRa4eMVIs74rQ6gFQpg4vu7LCrMZEdYRy~~77THwepKg6QAYhGGXbOWKdSJ4hoXETsijcglS-KKsMQtY6twHHlN0sBf3c6OEk~F76pbobcE~GzmEYJ8M1QSQtYh9nVrnDDSZDAebXx8TREvrcrut0nR4Qek~X8F52gfS-qqWSc7TQZJ8nXct~8eI5GxECxosq~rgXc3w89Y8a5U8qI~QkssXoMLnZ4UnjOeow5ZLhnre5tfrTmliNi9Xg__&amp;Key-Pair-Id=APKAJLOHF5GGSLRBV4ZA" TargetMode="External"/><Relationship Id="rId13" Type="http://schemas.openxmlformats.org/officeDocument/2006/relationships/hyperlink" Target="https://www.mentallyhealthyschools.org.uk/factors-that-impact-mental-health/school-based-risk-factors/transitions/" TargetMode="External"/><Relationship Id="rId18" Type="http://schemas.openxmlformats.org/officeDocument/2006/relationships/hyperlink" Target="https://www.who.int/news-room/fact-sheets/detail/autism-spectrum-disorders"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link.springer.com/content/pdf/10.1007/s10803-010-1007-x.pdf" TargetMode="External"/><Relationship Id="rId12" Type="http://schemas.openxmlformats.org/officeDocument/2006/relationships/hyperlink" Target="https://hwb.gov.wales/cwricwlwm-i-gymru/trefniadau-asesu/canllawiau-ar-gyfer-pontio-o-r-ysgol-gynradd-i-r-ysgol-uwchradd/#anghydfodau" TargetMode="External"/><Relationship Id="rId17" Type="http://schemas.openxmlformats.org/officeDocument/2006/relationships/hyperlink" Target="https://wmbridges.com/about/what-is-transition/" TargetMode="External"/><Relationship Id="rId2" Type="http://schemas.openxmlformats.org/officeDocument/2006/relationships/styles" Target="styles.xml"/><Relationship Id="rId16" Type="http://schemas.openxmlformats.org/officeDocument/2006/relationships/hyperlink" Target="https://www.snapcymru.org/chwilio-am-gyngor/cynllun-datblygu-unigol/?lang=cy"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lyw.cymru/sites/default/files/publications/2024-04/220622-cod-anghenion-dysgu-ychwanegol-cymru-2021%20%282%29.pdf" TargetMode="External"/><Relationship Id="rId5" Type="http://schemas.openxmlformats.org/officeDocument/2006/relationships/footnotes" Target="footnotes.xml"/><Relationship Id="rId15" Type="http://schemas.openxmlformats.org/officeDocument/2006/relationships/hyperlink" Target="https://link.springer.com/article/10.1007/s10803-011-1225-x" TargetMode="External"/><Relationship Id="rId23" Type="http://schemas.openxmlformats.org/officeDocument/2006/relationships/theme" Target="theme/theme1.xml"/><Relationship Id="rId10" Type="http://schemas.openxmlformats.org/officeDocument/2006/relationships/hyperlink" Target="https://www.llyw.cymru/sites/default/files/publications/2021-11/cwricwlwm-i-gymru-y-cod-cynnydd.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llyw.cymru/sites/default/files/publications/2021-07/cod-ymarfer-ar-gyflenwi-gwasanaethau-awtistiaeth.pdf" TargetMode="External"/><Relationship Id="rId14" Type="http://schemas.openxmlformats.org/officeDocument/2006/relationships/hyperlink" Target="https://www.nimh.nih.gov/health/topics/autism-spectrum-disorders-asd#:~:text=Autism%20is%20known%20as%20a,can%20be%20diagnosed%20with%20AS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5602</TotalTime>
  <Pages>11</Pages>
  <Words>4465</Words>
  <Characters>25454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 Jones (2205136)</dc:creator>
  <cp:keywords/>
  <dc:description/>
  <cp:lastModifiedBy>Siôn Jones</cp:lastModifiedBy>
  <cp:revision>125</cp:revision>
  <cp:lastPrinted>2024-11-07T18:23:00Z</cp:lastPrinted>
  <dcterms:created xsi:type="dcterms:W3CDTF">2024-10-11T09:35:00Z</dcterms:created>
  <dcterms:modified xsi:type="dcterms:W3CDTF">2024-11-10T16:07:00Z</dcterms:modified>
</cp:coreProperties>
</file>