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Override ContentType="application/vnd.openxmlformats-officedocument.wordprocessingml.header+xml" PartName="/word/header1.xml"/>
  <Override ContentType="application/vnd.openxmlformats-officedocument.wordprocessingml.footer+xml" PartName="/word/footer1.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60"/>
      </w:pPr>
      <w:r>
        <w:rPr>
          <w:rFonts w:ascii="Calibri" w:cs="Calibri" w:eastAsia="Calibri" w:hAnsi="Calibri"/>
          <w:b/>
          <w:bCs/>
          <w:color w:val="1F3864"/>
          <w:sz w:val="40"/>
          <w:szCs w:val="40"/>
        </w:rPr>
        <w:t xml:space="preserve">PERSONAL &amp; PROFESSIONAL DEVELOPMENT</w:t>
      </w:r>
    </w:p>
    <w:p>
      <w:pPr>
        <w:spacing w:after="60"/>
      </w:pPr>
      <w:r>
        <w:rPr>
          <w:rFonts w:ascii="Calibri" w:cs="Calibri" w:eastAsia="Calibri" w:hAnsi="Calibri"/>
          <w:i/>
          <w:iCs/>
          <w:color w:val="2E74B5"/>
          <w:sz w:val="24"/>
          <w:szCs w:val="24"/>
        </w:rPr>
        <w:t xml:space="preserve">Career Skills, Self-Assessment and Development Plan</w:t>
      </w:r>
    </w:p>
    <w:p>
      <w:pPr>
        <w:pBdr>
          <w:bottom w:val="single" w:color="1F3864" w:sz="10" w:space="6"/>
        </w:pBdr>
        <w:spacing w:after="320"/>
      </w:pPr>
      <w:r>
        <w:rPr>
          <w:rFonts w:ascii="Calibri" w:cs="Calibri" w:eastAsia="Calibri" w:hAnsi="Calibri"/>
          <w:color w:val="5A5A5A"/>
          <w:sz w:val="20"/>
          <w:szCs w:val="20"/>
        </w:rPr>
        <w:t xml:space="preserve">Raymond Yeboah   |   Student ID: 2516795</w:t>
      </w:r>
    </w:p>
    <w:p>
      <w:pPr>
        <w:pStyle w:val="Heading1"/>
        <w:pBdr>
          <w:bottom w:val="single" w:color="2E74B5" w:sz="6" w:space="4"/>
        </w:pBdr>
        <w:spacing w:after="160" w:before="320"/>
      </w:pPr>
      <w:r>
        <w:rPr>
          <w:rFonts w:ascii="Calibri" w:cs="Calibri" w:eastAsia="Calibri" w:hAnsi="Calibri"/>
          <w:b/>
          <w:bCs/>
          <w:color w:val="1F3864"/>
          <w:sz w:val="30"/>
          <w:szCs w:val="30"/>
        </w:rPr>
        <w:t xml:space="preserve">Task 1: Comparing Two Job Adverts</w:t>
      </w:r>
    </w:p>
    <w:p>
      <w:pPr>
        <w:pStyle w:val="Heading2"/>
        <w:spacing w:after="120" w:before="240"/>
      </w:pPr>
      <w:r>
        <w:rPr>
          <w:rFonts w:ascii="Calibri" w:cs="Calibri" w:eastAsia="Calibri" w:hAnsi="Calibri"/>
          <w:b/>
          <w:bCs/>
          <w:color w:val="2E74B5"/>
          <w:sz w:val="24"/>
          <w:szCs w:val="24"/>
        </w:rPr>
        <w:t xml:space="preserve">Advert 1 – Marketing Executive, Reed Specialist Recruitment</w:t>
      </w:r>
    </w:p>
    <w:p>
      <w:pPr>
        <w:spacing w:after="160" w:line="276"/>
      </w:pPr>
      <w:r>
        <w:rPr>
          <w:rFonts w:ascii="Calibri" w:cs="Calibri" w:eastAsia="Calibri" w:hAnsi="Calibri"/>
          <w:sz w:val="22"/>
          <w:szCs w:val="22"/>
        </w:rPr>
        <w:t xml:space="preserve">Recruiting on behalf of a multi-site consumer business (Bletchley, Buckinghamshire, 2026). A mid-senior, £30,000–£35,000 role focused on traditional and offline marketing channels — print, direct mail, outdoor advertising, events and local promotions — across multiple venues.</w:t>
      </w:r>
    </w:p>
    <w:p>
      <w:pPr>
        <w:pStyle w:val="Heading2"/>
        <w:spacing w:after="120" w:before="240"/>
      </w:pPr>
      <w:r>
        <w:rPr>
          <w:rFonts w:ascii="Calibri" w:cs="Calibri" w:eastAsia="Calibri" w:hAnsi="Calibri"/>
          <w:b/>
          <w:bCs/>
          <w:color w:val="2E74B5"/>
          <w:sz w:val="24"/>
          <w:szCs w:val="24"/>
        </w:rPr>
        <w:t xml:space="preserve">Advert 2 – Digital Marketing Executive, Adecco</w:t>
      </w:r>
    </w:p>
    <w:p>
      <w:pPr>
        <w:spacing w:after="160" w:line="276"/>
      </w:pPr>
      <w:r>
        <w:rPr>
          <w:rFonts w:ascii="Calibri" w:cs="Calibri" w:eastAsia="Calibri" w:hAnsi="Calibri"/>
          <w:sz w:val="22"/>
          <w:szCs w:val="22"/>
        </w:rPr>
        <w:t xml:space="preserve">Recruiting on behalf of a B2B marketing agency (Chester, 2026). A £25,000–£28,000 role focused on digital channels — SEO, PPC, email, social media and content marketing — delivered for multiple client accounts.</w:t>
      </w:r>
    </w:p>
    <w:p>
      <w:pPr>
        <w:pStyle w:val="Heading2"/>
        <w:spacing w:after="120" w:before="240"/>
      </w:pPr>
      <w:r>
        <w:rPr>
          <w:rFonts w:ascii="Calibri" w:cs="Calibri" w:eastAsia="Calibri" w:hAnsi="Calibri"/>
          <w:b/>
          <w:bCs/>
          <w:color w:val="2E74B5"/>
          <w:sz w:val="24"/>
          <w:szCs w:val="24"/>
        </w:rPr>
        <w:t xml:space="preserve">Common Skills and Knowledge Required</w:t>
      </w:r>
    </w:p>
    <w:p>
      <w:pPr>
        <w:pStyle w:val="ListParagraph"/>
        <w:numPr>
          <w:ilvl w:val="0"/>
          <w:numId w:val="1"/>
        </w:numPr>
        <w:spacing w:after="80" w:line="276"/>
      </w:pPr>
      <w:r>
        <w:rPr>
          <w:rFonts w:ascii="Calibri" w:cs="Calibri" w:eastAsia="Calibri" w:hAnsi="Calibri"/>
          <w:sz w:val="22"/>
          <w:szCs w:val="22"/>
        </w:rPr>
        <w:t xml:space="preserve">Campaign planning and delivery, from concept through to evaluation, across multiple simultaneous projects</w:t>
      </w:r>
    </w:p>
    <w:p>
      <w:pPr>
        <w:pStyle w:val="ListParagraph"/>
        <w:numPr>
          <w:ilvl w:val="0"/>
          <w:numId w:val="1"/>
        </w:numPr>
        <w:spacing w:after="80" w:line="276"/>
      </w:pPr>
      <w:r>
        <w:rPr>
          <w:rFonts w:ascii="Calibri" w:cs="Calibri" w:eastAsia="Calibri" w:hAnsi="Calibri"/>
          <w:sz w:val="22"/>
          <w:szCs w:val="22"/>
        </w:rPr>
        <w:t xml:space="preserve">Stakeholder or client relationship management — building trust with regional leadership teams in Advert 1, and with agency clients in Advert 2</w:t>
      </w:r>
    </w:p>
    <w:p>
      <w:pPr>
        <w:pStyle w:val="ListParagraph"/>
        <w:numPr>
          <w:ilvl w:val="0"/>
          <w:numId w:val="1"/>
        </w:numPr>
        <w:spacing w:after="80" w:line="276"/>
      </w:pPr>
      <w:r>
        <w:rPr>
          <w:rFonts w:ascii="Calibri" w:cs="Calibri" w:eastAsia="Calibri" w:hAnsi="Calibri"/>
          <w:sz w:val="22"/>
          <w:szCs w:val="22"/>
        </w:rPr>
        <w:t xml:space="preserve">Content creation and copywriting, whether producing print collateral or digital/social content</w:t>
      </w:r>
    </w:p>
    <w:p>
      <w:pPr>
        <w:pStyle w:val="ListParagraph"/>
        <w:numPr>
          <w:ilvl w:val="0"/>
          <w:numId w:val="1"/>
        </w:numPr>
        <w:spacing w:after="80" w:line="276"/>
      </w:pPr>
      <w:r>
        <w:rPr>
          <w:rFonts w:ascii="Calibri" w:cs="Calibri" w:eastAsia="Calibri" w:hAnsi="Calibri"/>
          <w:sz w:val="22"/>
          <w:szCs w:val="22"/>
        </w:rPr>
        <w:t xml:space="preserve">Analysing and reporting on campaign performance, using data to recommend improvements</w:t>
      </w:r>
    </w:p>
    <w:p>
      <w:pPr>
        <w:pStyle w:val="ListParagraph"/>
        <w:numPr>
          <w:ilvl w:val="0"/>
          <w:numId w:val="1"/>
        </w:numPr>
        <w:spacing w:after="80" w:line="276"/>
      </w:pPr>
      <w:r>
        <w:rPr>
          <w:rFonts w:ascii="Calibri" w:cs="Calibri" w:eastAsia="Calibri" w:hAnsi="Calibri"/>
          <w:sz w:val="22"/>
          <w:szCs w:val="22"/>
        </w:rPr>
        <w:t xml:space="preserve">Organisation and time management across several accounts, budgets or locations at once</w:t>
      </w:r>
    </w:p>
    <w:p>
      <w:pPr>
        <w:pStyle w:val="ListParagraph"/>
        <w:numPr>
          <w:ilvl w:val="0"/>
          <w:numId w:val="1"/>
        </w:numPr>
        <w:spacing w:after="80" w:line="276"/>
      </w:pPr>
      <w:r>
        <w:rPr>
          <w:rFonts w:ascii="Calibri" w:cs="Calibri" w:eastAsia="Calibri" w:hAnsi="Calibri"/>
          <w:sz w:val="22"/>
          <w:szCs w:val="22"/>
        </w:rPr>
        <w:t xml:space="preserve">Collaboration with external partners, including agencies, designers and operational teams</w:t>
      </w:r>
    </w:p>
    <w:p>
      <w:pPr>
        <w:pStyle w:val="Heading2"/>
        <w:spacing w:after="120" w:before="240"/>
      </w:pPr>
      <w:r>
        <w:rPr>
          <w:rFonts w:ascii="Calibri" w:cs="Calibri" w:eastAsia="Calibri" w:hAnsi="Calibri"/>
          <w:b/>
          <w:bCs/>
          <w:color w:val="2E74B5"/>
          <w:sz w:val="24"/>
          <w:szCs w:val="24"/>
        </w:rPr>
        <w:t xml:space="preserve">Why Stakeholder/Client Relationship Management Matters</w:t>
      </w:r>
    </w:p>
    <w:p>
      <w:pPr>
        <w:spacing w:after="160" w:line="276"/>
      </w:pPr>
      <w:r>
        <w:rPr>
          <w:rFonts w:ascii="Calibri" w:cs="Calibri" w:eastAsia="Calibri" w:hAnsi="Calibri"/>
          <w:sz w:val="22"/>
          <w:szCs w:val="22"/>
        </w:rPr>
        <w:t xml:space="preserve">Of these shared requirements, stakeholder/client relationship management stands out as particularly important. Both employers frame it as a core, not peripheral, expectation: Advert 1 asks for excellent stakeholder management skills and the confidence to build effective relationships across all levels of a business, while Advert 2 requires the ability to work collaboratively across internal teams and external client accounts.</w:t>
      </w:r>
    </w:p>
    <w:p>
      <w:pPr>
        <w:spacing w:after="160" w:line="276"/>
      </w:pPr>
      <w:r>
        <w:rPr>
          <w:rFonts w:ascii="Calibri" w:cs="Calibri" w:eastAsia="Calibri" w:hAnsi="Calibri"/>
          <w:sz w:val="22"/>
          <w:szCs w:val="22"/>
        </w:rPr>
        <w:t xml:space="preserve">This reflects a broader shift in marketing roles, where success is judged less by creative output alone and more by the ability to translate stakeholder needs into deliverable campaigns, secure buy-in for marketing spend, and maintain trust when results fall short of expectations. For a marketing professional, this skill directly affects career progression: those who can manage relationships credibly are more likely to be trusted with larger budgets, cross-functional projects, and eventually people-management responsibility. Without it, even strong technical or creative skills can be undermined by poor internal alignment or client dissatisfaction.</w:t>
      </w:r>
    </w:p>
    <w:p>
      <w:pPr>
        <w:pStyle w:val="Heading2"/>
        <w:spacing w:after="120" w:before="240"/>
      </w:pPr>
      <w:r>
        <w:rPr>
          <w:rFonts w:ascii="Calibri" w:cs="Calibri" w:eastAsia="Calibri" w:hAnsi="Calibri"/>
          <w:b/>
          <w:bCs/>
          <w:color w:val="2E74B5"/>
          <w:sz w:val="24"/>
          <w:szCs w:val="24"/>
        </w:rPr>
        <w:t xml:space="preserve">References</w:t>
      </w:r>
    </w:p>
    <w:p>
      <w:pPr>
        <w:spacing w:after="160" w:line="276"/>
        <w:ind w:left="720" w:hanging="720"/>
      </w:pPr>
      <w:r>
        <w:rPr>
          <w:rFonts w:ascii="Calibri" w:cs="Calibri" w:eastAsia="Calibri" w:hAnsi="Calibri"/>
          <w:i w:val="false"/>
          <w:iCs w:val="false"/>
          <w:sz w:val="21"/>
          <w:szCs w:val="21"/>
        </w:rPr>
        <w:t xml:space="preserve">Reed Specialist Recruitment (2026) Marketing Executive, Reed.co.uk. Available at: https://haystackapp.io/jobs/c359e35e-05fc-4bde-b172-773bd9c24bd2 (Accessed: 18 August 2026).</w:t>
      </w:r>
    </w:p>
    <w:p>
      <w:pPr>
        <w:spacing w:after="160" w:line="276"/>
        <w:ind w:left="720" w:hanging="720"/>
      </w:pPr>
      <w:r>
        <w:rPr>
          <w:rFonts w:ascii="Calibri" w:cs="Calibri" w:eastAsia="Calibri" w:hAnsi="Calibri"/>
          <w:i w:val="false"/>
          <w:iCs w:val="false"/>
          <w:sz w:val="21"/>
          <w:szCs w:val="21"/>
        </w:rPr>
        <w:t xml:space="preserve">Adecco (2026) Digital Marketing Executive, BeBee. Available at: https://bebee.com/gb/jobs/digital-marketing-executive-adecco-chester--techmap_gb_4448890503 (Accessed: 18 August 2026).</w:t>
      </w:r>
    </w:p>
    <w:p>
      <w:pPr>
        <w:pStyle w:val="Heading1"/>
        <w:pBdr>
          <w:bottom w:val="single" w:color="2E74B5" w:sz="6" w:space="4"/>
        </w:pBdr>
        <w:spacing w:after="160" w:before="320"/>
      </w:pPr>
      <w:r>
        <w:rPr>
          <w:rFonts w:ascii="Calibri" w:cs="Calibri" w:eastAsia="Calibri" w:hAnsi="Calibri"/>
          <w:b/>
          <w:bCs/>
          <w:color w:val="1F3864"/>
          <w:sz w:val="30"/>
          <w:szCs w:val="30"/>
        </w:rPr>
        <w:t xml:space="preserve">Task 2: Reflective Self-Assessment – SWOT Analysis</w:t>
      </w:r>
    </w:p>
    <w:tbl>
      <w:tblPr>
        <w:tblW w:type="dxa" w:w="9360"/>
        <w:tblBorders>
          <w:top w:val="single" w:color="auto" w:sz="4"/>
          <w:left w:val="single" w:color="auto" w:sz="4"/>
          <w:bottom w:val="single" w:color="auto" w:sz="4"/>
          <w:right w:val="single" w:color="auto" w:sz="4"/>
          <w:insideH w:val="single" w:color="auto" w:sz="4"/>
          <w:insideV w:val="single" w:color="auto" w:sz="4"/>
        </w:tblBorders>
      </w:tblPr>
      <w:tblGrid>
        <w:gridCol w:w="4680"/>
        <w:gridCol w:w="4680"/>
      </w:tblGrid>
      <w:tr>
        <w:tc>
          <w:tcPr>
            <w:tcW w:type="dxa" w:w="4680"/>
            <w:shd w:fill="1F3864" w:val="clear"/>
            <w:tcMar>
              <w:top w:type="dxa" w:w="100"/>
              <w:left w:type="dxa" w:w="120"/>
              <w:bottom w:type="dxa" w:w="100"/>
              <w:right w:type="dxa" w:w="120"/>
            </w:tcMar>
          </w:tcPr>
          <w:p>
            <w:pPr>
              <w:spacing w:after="60"/>
            </w:pPr>
            <w:r>
              <w:rPr>
                <w:rFonts w:ascii="Calibri" w:cs="Calibri" w:eastAsia="Calibri" w:hAnsi="Calibri"/>
                <w:b/>
                <w:bCs/>
                <w:color w:val="FFFFFF"/>
                <w:sz w:val="20"/>
                <w:szCs w:val="20"/>
              </w:rPr>
              <w:t xml:space="preserve">Strengths</w:t>
            </w:r>
          </w:p>
        </w:tc>
        <w:tc>
          <w:tcPr>
            <w:tcW w:type="dxa" w:w="4680"/>
            <w:shd w:fill="1F3864" w:val="clear"/>
            <w:tcMar>
              <w:top w:type="dxa" w:w="100"/>
              <w:left w:type="dxa" w:w="120"/>
              <w:bottom w:type="dxa" w:w="100"/>
              <w:right w:type="dxa" w:w="120"/>
            </w:tcMar>
          </w:tcPr>
          <w:p>
            <w:pPr>
              <w:spacing w:after="60"/>
            </w:pPr>
            <w:r>
              <w:rPr>
                <w:rFonts w:ascii="Calibri" w:cs="Calibri" w:eastAsia="Calibri" w:hAnsi="Calibri"/>
                <w:b/>
                <w:bCs/>
                <w:color w:val="FFFFFF"/>
                <w:sz w:val="20"/>
                <w:szCs w:val="20"/>
              </w:rPr>
              <w:t xml:space="preserve">Weaknesses</w:t>
            </w:r>
          </w:p>
        </w:tc>
      </w:tr>
      <w:tr>
        <w:tc>
          <w:tcPr>
            <w:tcW w:type="dxa" w:w="4680"/>
            <w:tcMar>
              <w:top w:type="dxa" w:w="100"/>
              <w:left w:type="dxa" w:w="120"/>
              <w:bottom w:type="dxa" w:w="100"/>
              <w:right w:type="dxa" w:w="120"/>
            </w:tcMar>
          </w:tcPr>
          <w:p>
            <w:pPr>
              <w:spacing w:after="60"/>
            </w:pPr>
            <w:r>
              <w:rPr>
                <w:rFonts w:ascii="Calibri" w:cs="Calibri" w:eastAsia="Calibri" w:hAnsi="Calibri"/>
                <w:sz w:val="20"/>
                <w:szCs w:val="20"/>
              </w:rPr>
              <w:t xml:space="preserve">• Strong verbal communication and customer relationship skills</w:t>
            </w:r>
          </w:p>
          <w:p>
            <w:pPr>
              <w:spacing w:after="60"/>
            </w:pPr>
            <w:r>
              <w:rPr>
                <w:rFonts w:ascii="Calibri" w:cs="Calibri" w:eastAsia="Calibri" w:hAnsi="Calibri"/>
                <w:sz w:val="20"/>
                <w:szCs w:val="20"/>
              </w:rPr>
              <w:t xml:space="preserve">• Reliability, punctuality and time management</w:t>
            </w:r>
          </w:p>
          <w:p>
            <w:pPr>
              <w:spacing w:after="60"/>
            </w:pPr>
            <w:r>
              <w:rPr>
                <w:rFonts w:ascii="Calibri" w:cs="Calibri" w:eastAsia="Calibri" w:hAnsi="Calibri"/>
                <w:sz w:val="20"/>
                <w:szCs w:val="20"/>
              </w:rPr>
              <w:t xml:space="preserve">• Teamwork and collaboration under pressure</w:t>
            </w:r>
          </w:p>
          <w:p>
            <w:pPr>
              <w:spacing w:after="60"/>
            </w:pPr>
            <w:r>
              <w:rPr>
                <w:rFonts w:ascii="Calibri" w:cs="Calibri" w:eastAsia="Calibri" w:hAnsi="Calibri"/>
                <w:sz w:val="20"/>
                <w:szCs w:val="20"/>
              </w:rPr>
              <w:t xml:space="preserve">• Adaptability across different environments and cultures</w:t>
            </w:r>
          </w:p>
        </w:tc>
        <w:tc>
          <w:tcPr>
            <w:tcW w:type="dxa" w:w="4680"/>
            <w:tcMar>
              <w:top w:type="dxa" w:w="100"/>
              <w:left w:type="dxa" w:w="120"/>
              <w:bottom w:type="dxa" w:w="100"/>
              <w:right w:type="dxa" w:w="120"/>
            </w:tcMar>
          </w:tcPr>
          <w:p>
            <w:pPr>
              <w:spacing w:after="60"/>
            </w:pPr>
            <w:r>
              <w:rPr>
                <w:rFonts w:ascii="Calibri" w:cs="Calibri" w:eastAsia="Calibri" w:hAnsi="Calibri"/>
                <w:sz w:val="20"/>
                <w:szCs w:val="20"/>
              </w:rPr>
              <w:t xml:space="preserve">• Limited experience in formal written communication and report writing</w:t>
            </w:r>
          </w:p>
          <w:p>
            <w:pPr>
              <w:spacing w:after="60"/>
            </w:pPr>
            <w:r>
              <w:rPr>
                <w:rFonts w:ascii="Calibri" w:cs="Calibri" w:eastAsia="Calibri" w:hAnsi="Calibri"/>
                <w:sz w:val="20"/>
                <w:szCs w:val="20"/>
              </w:rPr>
              <w:t xml:space="preserve">• No direct marketing or digital marketing experience</w:t>
            </w:r>
          </w:p>
          <w:p>
            <w:pPr>
              <w:spacing w:after="60"/>
            </w:pPr>
            <w:r>
              <w:rPr>
                <w:rFonts w:ascii="Calibri" w:cs="Calibri" w:eastAsia="Calibri" w:hAnsi="Calibri"/>
                <w:sz w:val="20"/>
                <w:szCs w:val="20"/>
              </w:rPr>
              <w:t xml:space="preserve">• Early-stage formal business qualification (Foundation Degree, started Nov 2025)</w:t>
            </w:r>
          </w:p>
          <w:p>
            <w:pPr>
              <w:spacing w:after="60"/>
            </w:pPr>
            <w:r>
              <w:rPr>
                <w:rFonts w:ascii="Calibri" w:cs="Calibri" w:eastAsia="Calibri" w:hAnsi="Calibri"/>
                <w:sz w:val="20"/>
                <w:szCs w:val="20"/>
              </w:rPr>
              <w:t xml:space="preserve">• Limited exposure to data analysis and campaign reporting tools</w:t>
            </w:r>
          </w:p>
        </w:tc>
      </w:tr>
      <w:tr>
        <w:tc>
          <w:tcPr>
            <w:tcW w:type="dxa" w:w="4680"/>
            <w:shd w:fill="1F3864" w:val="clear"/>
            <w:tcMar>
              <w:top w:type="dxa" w:w="100"/>
              <w:left w:type="dxa" w:w="120"/>
              <w:bottom w:type="dxa" w:w="100"/>
              <w:right w:type="dxa" w:w="120"/>
            </w:tcMar>
          </w:tcPr>
          <w:p>
            <w:pPr>
              <w:spacing w:after="60"/>
            </w:pPr>
            <w:r>
              <w:rPr>
                <w:rFonts w:ascii="Calibri" w:cs="Calibri" w:eastAsia="Calibri" w:hAnsi="Calibri"/>
                <w:b/>
                <w:bCs/>
                <w:color w:val="FFFFFF"/>
                <w:sz w:val="20"/>
                <w:szCs w:val="20"/>
              </w:rPr>
              <w:t xml:space="preserve">Opportunities</w:t>
            </w:r>
          </w:p>
        </w:tc>
        <w:tc>
          <w:tcPr>
            <w:tcW w:type="dxa" w:w="4680"/>
            <w:shd w:fill="1F3864" w:val="clear"/>
            <w:tcMar>
              <w:top w:type="dxa" w:w="100"/>
              <w:left w:type="dxa" w:w="120"/>
              <w:bottom w:type="dxa" w:w="100"/>
              <w:right w:type="dxa" w:w="120"/>
            </w:tcMar>
          </w:tcPr>
          <w:p>
            <w:pPr>
              <w:spacing w:after="60"/>
            </w:pPr>
            <w:r>
              <w:rPr>
                <w:rFonts w:ascii="Calibri" w:cs="Calibri" w:eastAsia="Calibri" w:hAnsi="Calibri"/>
                <w:b/>
                <w:bCs/>
                <w:color w:val="FFFFFF"/>
                <w:sz w:val="20"/>
                <w:szCs w:val="20"/>
              </w:rPr>
              <w:t xml:space="preserve">Threats</w:t>
            </w:r>
          </w:p>
        </w:tc>
      </w:tr>
      <w:tr>
        <w:tc>
          <w:tcPr>
            <w:tcW w:type="dxa" w:w="4680"/>
            <w:tcMar>
              <w:top w:type="dxa" w:w="100"/>
              <w:left w:type="dxa" w:w="120"/>
              <w:bottom w:type="dxa" w:w="100"/>
              <w:right w:type="dxa" w:w="120"/>
            </w:tcMar>
          </w:tcPr>
          <w:p>
            <w:pPr>
              <w:spacing w:after="60"/>
            </w:pPr>
            <w:r>
              <w:rPr>
                <w:rFonts w:ascii="Calibri" w:cs="Calibri" w:eastAsia="Calibri" w:hAnsi="Calibri"/>
                <w:sz w:val="20"/>
                <w:szCs w:val="20"/>
              </w:rPr>
              <w:t xml:space="preserve">• Foundation Degree in Business developing transferable planning and communication skills</w:t>
            </w:r>
          </w:p>
          <w:p>
            <w:pPr>
              <w:spacing w:after="60"/>
            </w:pPr>
            <w:r>
              <w:rPr>
                <w:rFonts w:ascii="Calibri" w:cs="Calibri" w:eastAsia="Calibri" w:hAnsi="Calibri"/>
                <w:sz w:val="20"/>
                <w:szCs w:val="20"/>
              </w:rPr>
              <w:t xml:space="preserve">• Transferable customer-facing skills valued in client- and stakeholder-facing marketing roles</w:t>
            </w:r>
          </w:p>
          <w:p>
            <w:pPr>
              <w:spacing w:after="60"/>
            </w:pPr>
            <w:r>
              <w:rPr>
                <w:rFonts w:ascii="Calibri" w:cs="Calibri" w:eastAsia="Calibri" w:hAnsi="Calibri"/>
                <w:sz w:val="20"/>
                <w:szCs w:val="20"/>
              </w:rPr>
              <w:t xml:space="preserve">• Growing demand for professionals who combine interpersonal skill with digital literacy</w:t>
            </w:r>
          </w:p>
        </w:tc>
        <w:tc>
          <w:tcPr>
            <w:tcW w:type="dxa" w:w="4680"/>
            <w:tcMar>
              <w:top w:type="dxa" w:w="100"/>
              <w:left w:type="dxa" w:w="120"/>
              <w:bottom w:type="dxa" w:w="100"/>
              <w:right w:type="dxa" w:w="120"/>
            </w:tcMar>
          </w:tcPr>
          <w:p>
            <w:pPr>
              <w:spacing w:after="60"/>
            </w:pPr>
            <w:r>
              <w:rPr>
                <w:rFonts w:ascii="Calibri" w:cs="Calibri" w:eastAsia="Calibri" w:hAnsi="Calibri"/>
                <w:sz w:val="20"/>
                <w:szCs w:val="20"/>
              </w:rPr>
              <w:t xml:space="preserve">• Competitive entry-level marketing job market, often requiring digital skills</w:t>
            </w:r>
          </w:p>
          <w:p>
            <w:pPr>
              <w:spacing w:after="60"/>
            </w:pPr>
            <w:r>
              <w:rPr>
                <w:rFonts w:ascii="Calibri" w:cs="Calibri" w:eastAsia="Calibri" w:hAnsi="Calibri"/>
                <w:sz w:val="20"/>
                <w:szCs w:val="20"/>
              </w:rPr>
              <w:t xml:space="preserve">• Limited formal business/marketing experience relative to other candidates</w:t>
            </w:r>
          </w:p>
          <w:p>
            <w:pPr>
              <w:spacing w:after="60"/>
            </w:pPr>
            <w:r>
              <w:rPr>
                <w:rFonts w:ascii="Calibri" w:cs="Calibri" w:eastAsia="Calibri" w:hAnsi="Calibri"/>
                <w:sz w:val="20"/>
                <w:szCs w:val="20"/>
              </w:rPr>
              <w:t xml:space="preserve">• Rapid pace of change in digital marketing tools and platforms</w:t>
            </w:r>
          </w:p>
        </w:tc>
      </w:tr>
    </w:tbl>
    <w:p>
      <w:pPr>
        <w:spacing w:after="240"/>
      </w:pPr>
    </w:p>
    <w:p>
      <w:pPr>
        <w:pStyle w:val="Heading2"/>
        <w:spacing w:after="120" w:before="240"/>
      </w:pPr>
      <w:r>
        <w:rPr>
          <w:rFonts w:ascii="Calibri" w:cs="Calibri" w:eastAsia="Calibri" w:hAnsi="Calibri"/>
          <w:b/>
          <w:bCs/>
          <w:color w:val="2E74B5"/>
          <w:sz w:val="24"/>
          <w:szCs w:val="24"/>
        </w:rPr>
        <w:t xml:space="preserve">Reflection</w:t>
      </w:r>
    </w:p>
    <w:p>
      <w:pPr>
        <w:spacing w:after="160" w:line="276"/>
      </w:pPr>
      <w:r>
        <w:rPr>
          <w:rFonts w:ascii="Calibri" w:cs="Calibri" w:eastAsia="Calibri" w:hAnsi="Calibri"/>
          <w:sz w:val="22"/>
          <w:szCs w:val="22"/>
        </w:rPr>
        <w:t xml:space="preserve">Reviewing my SWOT analysis alongside the job adverts explored in Task 1, I can see clear alignment between my existing strengths and the core requirements of entry-level marketing roles, as well as specific gaps I need to close.</w:t>
      </w:r>
    </w:p>
    <w:p>
      <w:pPr>
        <w:spacing w:after="160" w:line="276"/>
      </w:pPr>
      <w:r>
        <w:rPr>
          <w:rFonts w:ascii="Calibri" w:cs="Calibri" w:eastAsia="Calibri" w:hAnsi="Calibri"/>
          <w:sz w:val="22"/>
          <w:szCs w:val="22"/>
        </w:rPr>
        <w:t xml:space="preserve">My strongest asset is communication built through direct, high-pressure customer service. Across roles as a Barback/Bartender at The Ned Hotel and as a Runner in two Italian restaurants, I have consistently worked in fast-paced, customer-facing environments, building positive relationships with regular guests, resolving concerns in real time, and coordinating closely with colleagues and kitchen staff to maintain smooth service. These experiences demonstrate the confident, adaptable communication and stakeholder management skills identified as essential in both marketing adverts reviewed in Task 1 — even though they were developed outside a marketing context.</w:t>
      </w:r>
    </w:p>
    <w:p>
      <w:pPr>
        <w:spacing w:after="160" w:line="276"/>
      </w:pPr>
      <w:r>
        <w:rPr>
          <w:rFonts w:ascii="Calibri" w:cs="Calibri" w:eastAsia="Calibri" w:hAnsi="Calibri"/>
          <w:sz w:val="22"/>
          <w:szCs w:val="22"/>
        </w:rPr>
        <w:t xml:space="preserve">Reliability and time management are similarly evidenced throughout my work history: consistent punctuality, handling multiple responsibilities simultaneously (drink preparation, stock control, transactions), and maintaining standards under pressure across three separate roles over four years. My hobbies reinforce this — playing football regularly has developed teamwork and resilience under pressure, while writing and producing music has built discipline and attention to detail through consistent practice over time.</w:t>
      </w:r>
    </w:p>
    <w:p>
      <w:pPr>
        <w:spacing w:after="160" w:line="276"/>
      </w:pPr>
      <w:r>
        <w:rPr>
          <w:rFonts w:ascii="Calibri" w:cs="Calibri" w:eastAsia="Calibri" w:hAnsi="Calibri"/>
          <w:sz w:val="22"/>
          <w:szCs w:val="22"/>
        </w:rPr>
        <w:t xml:space="preserve">However, my weaknesses are equally clear when measured against marketing-specific requirements, as set out below.</w:t>
      </w:r>
    </w:p>
    <w:p>
      <w:pPr>
        <w:pStyle w:val="Heading2"/>
        <w:spacing w:after="120" w:before="240"/>
      </w:pPr>
      <w:r>
        <w:rPr>
          <w:rFonts w:ascii="Calibri" w:cs="Calibri" w:eastAsia="Calibri" w:hAnsi="Calibri"/>
          <w:b/>
          <w:bCs/>
          <w:color w:val="2E74B5"/>
          <w:sz w:val="24"/>
          <w:szCs w:val="24"/>
        </w:rPr>
        <w:t xml:space="preserve">Limited Written Communication and Report Writing</w:t>
      </w:r>
    </w:p>
    <w:p>
      <w:pPr>
        <w:spacing w:after="160" w:line="276"/>
      </w:pPr>
      <w:r>
        <w:rPr>
          <w:rFonts w:ascii="Calibri" w:cs="Calibri" w:eastAsia="Calibri" w:hAnsi="Calibri"/>
          <w:sz w:val="22"/>
          <w:szCs w:val="22"/>
        </w:rPr>
        <w:t xml:space="preserve">My work history has been built almost entirely on verbal, real-time communication — taking orders, relaying allergen information to kitchens, resolving guest complaints face-to-face. None of these roles required me to produce structured written output. For example, at The Ned Hotel, I communicated stock issues or service problems directly to my supervisor in person or via a quick message, rather than through a written incident report or handover note. This matters because marketing roles like the ones in Task 1 depend on written deliverables — campaign briefs, performance summaries, client-facing copy — where tone, structure and clarity carry real weight and cannot be corrected on the spot the way a spoken misunderstanding can.</w:t>
      </w:r>
    </w:p>
    <w:p>
      <w:pPr>
        <w:pStyle w:val="Heading2"/>
        <w:spacing w:after="120" w:before="240"/>
      </w:pPr>
      <w:r>
        <w:rPr>
          <w:rFonts w:ascii="Calibri" w:cs="Calibri" w:eastAsia="Calibri" w:hAnsi="Calibri"/>
          <w:b/>
          <w:bCs/>
          <w:color w:val="2E74B5"/>
          <w:sz w:val="24"/>
          <w:szCs w:val="24"/>
        </w:rPr>
        <w:t xml:space="preserve">No Direct Marketing or Digital Marketing Experience</w:t>
      </w:r>
    </w:p>
    <w:p>
      <w:pPr>
        <w:spacing w:after="160" w:line="276"/>
      </w:pPr>
      <w:r>
        <w:rPr>
          <w:rFonts w:ascii="Calibri" w:cs="Calibri" w:eastAsia="Calibri" w:hAnsi="Calibri"/>
          <w:sz w:val="22"/>
          <w:szCs w:val="22"/>
        </w:rPr>
        <w:t xml:space="preserve">I have never worked inside a marketing function, so I lack hands-on familiarity with the tools and terminology both adverts assume as a baseline — for example, I have no practical experience with SEO, PPC platforms, email marketing software, or campaign reporting dashboards. My closest equivalent is informally “selling” the guest experience at The Ned Hotel — building rapport to encourage repeat visits — but this was never measured, planned, or reported on as a campaign would be. This gap means that even where my instincts are sound, I would need time to translate them into recognised marketing practice.</w:t>
      </w:r>
    </w:p>
    <w:p>
      <w:pPr>
        <w:pStyle w:val="Heading2"/>
        <w:spacing w:after="120" w:before="240"/>
      </w:pPr>
      <w:r>
        <w:rPr>
          <w:rFonts w:ascii="Calibri" w:cs="Calibri" w:eastAsia="Calibri" w:hAnsi="Calibri"/>
          <w:b/>
          <w:bCs/>
          <w:color w:val="2E74B5"/>
          <w:sz w:val="24"/>
          <w:szCs w:val="24"/>
        </w:rPr>
        <w:t xml:space="preserve">Early-Stage Formal Business Qualification</w:t>
      </w:r>
    </w:p>
    <w:p>
      <w:pPr>
        <w:spacing w:after="160" w:line="276"/>
      </w:pPr>
      <w:r>
        <w:rPr>
          <w:rFonts w:ascii="Calibri" w:cs="Calibri" w:eastAsia="Calibri" w:hAnsi="Calibri"/>
          <w:sz w:val="22"/>
          <w:szCs w:val="22"/>
        </w:rPr>
        <w:t xml:space="preserve">My Foundation Degree only began in November 2025, so I have limited academic grounding in core business or marketing theory compared to a candidate further along in, or having completed, a related degree. For example, I have not yet studied modules covering marketing principles, consumer behaviour, or campaign planning frameworks — the kind of theoretical grounding that would let me speak confidently in an interview about why a campaign approach works, not just describe past customer-service experience. This is a timing issue rather than a capability gap, but it is still a real disadvantage against more qualified applicants at this stage.</w:t>
      </w:r>
    </w:p>
    <w:p>
      <w:pPr>
        <w:pStyle w:val="Heading2"/>
        <w:spacing w:after="120" w:before="240"/>
      </w:pPr>
      <w:r>
        <w:rPr>
          <w:rFonts w:ascii="Calibri" w:cs="Calibri" w:eastAsia="Calibri" w:hAnsi="Calibri"/>
          <w:b/>
          <w:bCs/>
          <w:color w:val="2E74B5"/>
          <w:sz w:val="24"/>
          <w:szCs w:val="24"/>
        </w:rPr>
        <w:t xml:space="preserve">Limited Exposure to Data Analysis and Campaign Reporting</w:t>
      </w:r>
    </w:p>
    <w:p>
      <w:pPr>
        <w:spacing w:after="160" w:line="276"/>
      </w:pPr>
      <w:r>
        <w:rPr>
          <w:rFonts w:ascii="Calibri" w:cs="Calibri" w:eastAsia="Calibri" w:hAnsi="Calibri"/>
          <w:sz w:val="22"/>
          <w:szCs w:val="22"/>
        </w:rPr>
        <w:t xml:space="preserve">Both adverts in Task 1 expect candidates to analyse performance and report on it — Advert 2 explicitly around digital campaign data. My work experience has involved basic transactional tasks (cash/card handling, stock counts) but nothing resembling structured data analysis, spreadsheet-based reporting, or drawing insights from a dataset to recommend next steps. For example, I have never had to compile a weekly or monthly performance summary for a manager — my accountability has always been immediate and verbal, not documented and analytical.</w:t>
      </w:r>
    </w:p>
    <w:p>
      <w:pPr>
        <w:spacing w:after="160" w:line="276"/>
      </w:pPr>
      <w:r>
        <w:rPr>
          <w:rFonts w:ascii="Calibri" w:cs="Calibri" w:eastAsia="Calibri" w:hAnsi="Calibri"/>
          <w:sz w:val="22"/>
          <w:szCs w:val="22"/>
        </w:rPr>
        <w:t xml:space="preserve">According to the CIPD (2024), Continuing Professional Development (CPD) is an investment in oneself that secures relevance in the present and readiness for the future — a principle directly applicable to my situation, where hospitality experience must be actively translated and supplemented to become marketing-relevant. Cottrell (2019) similarly notes that structured self-study with clear milestones significantly supports the development of professional-level skills, which reinforces the value of a deliberate, time-bound plan rather than passive skill-building.</w:t>
      </w:r>
    </w:p>
    <w:p>
      <w:pPr>
        <w:spacing w:after="160" w:line="276"/>
      </w:pPr>
      <w:r>
        <w:rPr>
          <w:rFonts w:ascii="Calibri" w:cs="Calibri" w:eastAsia="Calibri" w:hAnsi="Calibri"/>
          <w:sz w:val="22"/>
          <w:szCs w:val="22"/>
        </w:rPr>
        <w:t xml:space="preserve">Taken together, this SWOT analysis suggests my readiness for a marketing career rests less on acquiring entirely new personal qualities, and more on translating existing strengths — communication, reliability, teamwork, adaptability — into a professional and written register, while beginning to build direct exposure to marketing tools and practices through my ongoing degree and independent development.</w:t>
      </w:r>
    </w:p>
    <w:p>
      <w:pPr>
        <w:pStyle w:val="Heading2"/>
        <w:spacing w:after="120" w:before="240"/>
      </w:pPr>
      <w:r>
        <w:rPr>
          <w:rFonts w:ascii="Calibri" w:cs="Calibri" w:eastAsia="Calibri" w:hAnsi="Calibri"/>
          <w:b/>
          <w:bCs/>
          <w:color w:val="2E74B5"/>
          <w:sz w:val="24"/>
          <w:szCs w:val="24"/>
        </w:rPr>
        <w:t xml:space="preserve">References</w:t>
      </w:r>
    </w:p>
    <w:p>
      <w:pPr>
        <w:spacing w:after="160" w:line="276"/>
        <w:ind w:left="720" w:hanging="720"/>
      </w:pPr>
      <w:r>
        <w:rPr>
          <w:rFonts w:ascii="Calibri" w:cs="Calibri" w:eastAsia="Calibri" w:hAnsi="Calibri"/>
          <w:i w:val="false"/>
          <w:iCs w:val="false"/>
          <w:sz w:val="21"/>
          <w:szCs w:val="21"/>
        </w:rPr>
        <w:t xml:space="preserve">CIPD (2024) Continuing Professional Development (CPD). Available at: https://www.cipd.org (Accessed: 18 August 2026).</w:t>
      </w:r>
    </w:p>
    <w:p>
      <w:pPr>
        <w:spacing w:after="160" w:line="276"/>
        <w:ind w:left="720" w:hanging="720"/>
      </w:pPr>
      <w:r>
        <w:rPr>
          <w:rFonts w:ascii="Calibri" w:cs="Calibri" w:eastAsia="Calibri" w:hAnsi="Calibri"/>
          <w:i w:val="false"/>
          <w:iCs w:val="false"/>
          <w:sz w:val="21"/>
          <w:szCs w:val="21"/>
        </w:rPr>
        <w:t xml:space="preserve">Cottrell, S. (2019) The Study Skills Handbook. 5th edn. London: Bloomsbury.</w:t>
      </w:r>
    </w:p>
    <w:p>
      <w:pPr>
        <w:pStyle w:val="Heading1"/>
        <w:pBdr>
          <w:bottom w:val="single" w:color="2E74B5" w:sz="6" w:space="4"/>
        </w:pBdr>
        <w:spacing w:after="160" w:before="320"/>
      </w:pPr>
      <w:r>
        <w:rPr>
          <w:rFonts w:ascii="Calibri" w:cs="Calibri" w:eastAsia="Calibri" w:hAnsi="Calibri"/>
          <w:b/>
          <w:bCs/>
          <w:color w:val="1F3864"/>
          <w:sz w:val="30"/>
          <w:szCs w:val="30"/>
        </w:rPr>
        <w:t xml:space="preserve">Task 3: Employment Goals &amp; Personal Development Plan</w:t>
      </w:r>
    </w:p>
    <w:p>
      <w:pPr>
        <w:pStyle w:val="Heading2"/>
        <w:spacing w:after="120" w:before="240"/>
      </w:pPr>
      <w:r>
        <w:rPr>
          <w:rFonts w:ascii="Calibri" w:cs="Calibri" w:eastAsia="Calibri" w:hAnsi="Calibri"/>
          <w:b/>
          <w:bCs/>
          <w:color w:val="2E74B5"/>
          <w:sz w:val="24"/>
          <w:szCs w:val="24"/>
        </w:rPr>
        <w:t xml:space="preserve">Short-term Goal (0–6 months)</w:t>
      </w:r>
    </w:p>
    <w:p>
      <w:pPr>
        <w:spacing w:after="160" w:line="276"/>
      </w:pPr>
      <w:r>
        <w:rPr>
          <w:rFonts w:ascii="Calibri" w:cs="Calibri" w:eastAsia="Calibri" w:hAnsi="Calibri"/>
          <w:sz w:val="22"/>
          <w:szCs w:val="22"/>
        </w:rPr>
        <w:t xml:space="preserve">Improve my written communication and report-writing skills to a professional standard suitable for marketing-related work. This is important because both job adverts reviewed in Task 1 require strong written copy and clear campaign reporting — an area not yet evidenced in my current experience, which is predominantly verbal and customer-facing.</w:t>
      </w:r>
    </w:p>
    <w:p>
      <w:pPr>
        <w:pStyle w:val="Heading2"/>
        <w:spacing w:after="120" w:before="240"/>
      </w:pPr>
      <w:r>
        <w:rPr>
          <w:rFonts w:ascii="Calibri" w:cs="Calibri" w:eastAsia="Calibri" w:hAnsi="Calibri"/>
          <w:b/>
          <w:bCs/>
          <w:color w:val="2E74B5"/>
          <w:sz w:val="24"/>
          <w:szCs w:val="24"/>
        </w:rPr>
        <w:t xml:space="preserve">Long-term Goal (1–2 years)</w:t>
      </w:r>
    </w:p>
    <w:p>
      <w:pPr>
        <w:spacing w:after="160" w:line="276"/>
      </w:pPr>
      <w:r>
        <w:rPr>
          <w:rFonts w:ascii="Calibri" w:cs="Calibri" w:eastAsia="Calibri" w:hAnsi="Calibri"/>
          <w:sz w:val="22"/>
          <w:szCs w:val="22"/>
        </w:rPr>
        <w:t xml:space="preserve">Secure an entry-level marketing role (e.g. Marketing Assistant or Executive) that draws on my existing customer relationship and stakeholder management strengths, once supported by stronger written skills and a completed Foundation Degree.</w:t>
      </w:r>
    </w:p>
    <w:p>
      <w:pPr>
        <w:pStyle w:val="Heading2"/>
        <w:spacing w:after="120" w:before="240"/>
      </w:pPr>
      <w:r>
        <w:rPr>
          <w:rFonts w:ascii="Calibri" w:cs="Calibri" w:eastAsia="Calibri" w:hAnsi="Calibri"/>
          <w:b/>
          <w:bCs/>
          <w:color w:val="2E74B5"/>
          <w:sz w:val="24"/>
          <w:szCs w:val="24"/>
        </w:rPr>
        <w:t xml:space="preserve">Personal Development Plan</w:t>
      </w:r>
    </w:p>
    <w:tbl>
      <w:tblPr>
        <w:tblW w:type="dxa" w:w="9360"/>
        <w:tblBorders>
          <w:top w:val="single" w:color="auto" w:sz="4"/>
          <w:left w:val="single" w:color="auto" w:sz="4"/>
          <w:bottom w:val="single" w:color="auto" w:sz="4"/>
          <w:right w:val="single" w:color="auto" w:sz="4"/>
          <w:insideH w:val="single" w:color="auto" w:sz="4"/>
          <w:insideV w:val="single" w:color="auto" w:sz="4"/>
        </w:tblBorders>
      </w:tblPr>
      <w:tblGrid>
        <w:gridCol w:w="1800"/>
        <w:gridCol w:w="2800"/>
        <w:gridCol w:w="1400"/>
        <w:gridCol w:w="1700"/>
        <w:gridCol w:w="1660"/>
      </w:tblGrid>
      <w:tr>
        <w:tc>
          <w:tcPr>
            <w:tcW w:type="dxa" w:w="1800"/>
            <w:shd w:fill="1F3864" w:val="clear"/>
            <w:tcMar>
              <w:top w:type="dxa" w:w="100"/>
              <w:left w:type="dxa" w:w="120"/>
              <w:bottom w:type="dxa" w:w="100"/>
              <w:right w:type="dxa" w:w="120"/>
            </w:tcMar>
          </w:tcPr>
          <w:p>
            <w:pPr>
              <w:spacing w:after="60"/>
            </w:pPr>
            <w:r>
              <w:rPr>
                <w:rFonts w:ascii="Calibri" w:cs="Calibri" w:eastAsia="Calibri" w:hAnsi="Calibri"/>
                <w:b/>
                <w:bCs/>
                <w:color w:val="FFFFFF"/>
                <w:sz w:val="20"/>
                <w:szCs w:val="20"/>
              </w:rPr>
              <w:t xml:space="preserve">Weakness</w:t>
            </w:r>
          </w:p>
        </w:tc>
        <w:tc>
          <w:tcPr>
            <w:tcW w:type="dxa" w:w="2800"/>
            <w:shd w:fill="1F3864" w:val="clear"/>
            <w:tcMar>
              <w:top w:type="dxa" w:w="100"/>
              <w:left w:type="dxa" w:w="120"/>
              <w:bottom w:type="dxa" w:w="100"/>
              <w:right w:type="dxa" w:w="120"/>
            </w:tcMar>
          </w:tcPr>
          <w:p>
            <w:pPr>
              <w:spacing w:after="60"/>
            </w:pPr>
            <w:r>
              <w:rPr>
                <w:rFonts w:ascii="Calibri" w:cs="Calibri" w:eastAsia="Calibri" w:hAnsi="Calibri"/>
                <w:b/>
                <w:bCs/>
                <w:color w:val="FFFFFF"/>
                <w:sz w:val="20"/>
                <w:szCs w:val="20"/>
              </w:rPr>
              <w:t xml:space="preserve">Action</w:t>
            </w:r>
          </w:p>
        </w:tc>
        <w:tc>
          <w:tcPr>
            <w:tcW w:type="dxa" w:w="1400"/>
            <w:shd w:fill="1F3864" w:val="clear"/>
            <w:tcMar>
              <w:top w:type="dxa" w:w="100"/>
              <w:left w:type="dxa" w:w="120"/>
              <w:bottom w:type="dxa" w:w="100"/>
              <w:right w:type="dxa" w:w="120"/>
            </w:tcMar>
          </w:tcPr>
          <w:p>
            <w:pPr>
              <w:spacing w:after="60"/>
            </w:pPr>
            <w:r>
              <w:rPr>
                <w:rFonts w:ascii="Calibri" w:cs="Calibri" w:eastAsia="Calibri" w:hAnsi="Calibri"/>
                <w:b/>
                <w:bCs/>
                <w:color w:val="FFFFFF"/>
                <w:sz w:val="20"/>
                <w:szCs w:val="20"/>
              </w:rPr>
              <w:t xml:space="preserve">Timeline</w:t>
            </w:r>
          </w:p>
        </w:tc>
        <w:tc>
          <w:tcPr>
            <w:tcW w:type="dxa" w:w="1700"/>
            <w:shd w:fill="1F3864" w:val="clear"/>
            <w:tcMar>
              <w:top w:type="dxa" w:w="100"/>
              <w:left w:type="dxa" w:w="120"/>
              <w:bottom w:type="dxa" w:w="100"/>
              <w:right w:type="dxa" w:w="120"/>
            </w:tcMar>
          </w:tcPr>
          <w:p>
            <w:pPr>
              <w:spacing w:after="60"/>
            </w:pPr>
            <w:r>
              <w:rPr>
                <w:rFonts w:ascii="Calibri" w:cs="Calibri" w:eastAsia="Calibri" w:hAnsi="Calibri"/>
                <w:b/>
                <w:bCs/>
                <w:color w:val="FFFFFF"/>
                <w:sz w:val="20"/>
                <w:szCs w:val="20"/>
              </w:rPr>
              <w:t xml:space="preserve">Resources</w:t>
            </w:r>
          </w:p>
        </w:tc>
        <w:tc>
          <w:tcPr>
            <w:tcW w:type="dxa" w:w="1660"/>
            <w:shd w:fill="1F3864" w:val="clear"/>
            <w:tcMar>
              <w:top w:type="dxa" w:w="100"/>
              <w:left w:type="dxa" w:w="120"/>
              <w:bottom w:type="dxa" w:w="100"/>
              <w:right w:type="dxa" w:w="120"/>
            </w:tcMar>
          </w:tcPr>
          <w:p>
            <w:pPr>
              <w:spacing w:after="60"/>
            </w:pPr>
            <w:r>
              <w:rPr>
                <w:rFonts w:ascii="Calibri" w:cs="Calibri" w:eastAsia="Calibri" w:hAnsi="Calibri"/>
                <w:b/>
                <w:bCs/>
                <w:color w:val="FFFFFF"/>
                <w:sz w:val="20"/>
                <w:szCs w:val="20"/>
              </w:rPr>
              <w:t xml:space="preserve">Measuring Progress</w:t>
            </w:r>
          </w:p>
        </w:tc>
      </w:tr>
      <w:tr>
        <w:tc>
          <w:tcPr>
            <w:tcW w:type="dxa" w:w="1800"/>
            <w:tcMar>
              <w:top w:type="dxa" w:w="100"/>
              <w:left w:type="dxa" w:w="120"/>
              <w:bottom w:type="dxa" w:w="100"/>
              <w:right w:type="dxa" w:w="120"/>
            </w:tcMar>
          </w:tcPr>
          <w:p>
            <w:pPr>
              <w:spacing w:after="60"/>
            </w:pPr>
            <w:r>
              <w:rPr>
                <w:rFonts w:ascii="Calibri" w:cs="Calibri" w:eastAsia="Calibri" w:hAnsi="Calibri"/>
                <w:sz w:val="20"/>
                <w:szCs w:val="20"/>
              </w:rPr>
              <w:t xml:space="preserve">Written communication</w:t>
            </w:r>
          </w:p>
        </w:tc>
        <w:tc>
          <w:tcPr>
            <w:tcW w:type="dxa" w:w="2800"/>
            <w:tcMar>
              <w:top w:type="dxa" w:w="100"/>
              <w:left w:type="dxa" w:w="120"/>
              <w:bottom w:type="dxa" w:w="100"/>
              <w:right w:type="dxa" w:w="120"/>
            </w:tcMar>
          </w:tcPr>
          <w:p>
            <w:pPr>
              <w:spacing w:after="60"/>
            </w:pPr>
            <w:r>
              <w:rPr>
                <w:rFonts w:ascii="Calibri" w:cs="Calibri" w:eastAsia="Calibri" w:hAnsi="Calibri"/>
                <w:sz w:val="20"/>
                <w:szCs w:val="20"/>
              </w:rPr>
              <w:t xml:space="preserve">Complete a structured writing course (e.g. British Council's 'Professional Writing in English')</w:t>
            </w:r>
          </w:p>
        </w:tc>
        <w:tc>
          <w:tcPr>
            <w:tcW w:type="dxa" w:w="1400"/>
            <w:tcMar>
              <w:top w:type="dxa" w:w="100"/>
              <w:left w:type="dxa" w:w="120"/>
              <w:bottom w:type="dxa" w:w="100"/>
              <w:right w:type="dxa" w:w="120"/>
            </w:tcMar>
          </w:tcPr>
          <w:p>
            <w:pPr>
              <w:spacing w:after="60"/>
            </w:pPr>
            <w:r>
              <w:rPr>
                <w:rFonts w:ascii="Calibri" w:cs="Calibri" w:eastAsia="Calibri" w:hAnsi="Calibri"/>
                <w:sz w:val="20"/>
                <w:szCs w:val="20"/>
              </w:rPr>
              <w:t xml:space="preserve">May–Jun 2026</w:t>
            </w:r>
          </w:p>
        </w:tc>
        <w:tc>
          <w:tcPr>
            <w:tcW w:type="dxa" w:w="1700"/>
            <w:tcMar>
              <w:top w:type="dxa" w:w="100"/>
              <w:left w:type="dxa" w:w="120"/>
              <w:bottom w:type="dxa" w:w="100"/>
              <w:right w:type="dxa" w:w="120"/>
            </w:tcMar>
          </w:tcPr>
          <w:p>
            <w:pPr>
              <w:spacing w:after="60"/>
            </w:pPr>
            <w:r>
              <w:rPr>
                <w:rFonts w:ascii="Calibri" w:cs="Calibri" w:eastAsia="Calibri" w:hAnsi="Calibri"/>
                <w:sz w:val="20"/>
                <w:szCs w:val="20"/>
              </w:rPr>
              <w:t xml:space="preserve">Course materials, tutor feedback</w:t>
            </w:r>
          </w:p>
        </w:tc>
        <w:tc>
          <w:tcPr>
            <w:tcW w:type="dxa" w:w="1660"/>
            <w:tcMar>
              <w:top w:type="dxa" w:w="100"/>
              <w:left w:type="dxa" w:w="120"/>
              <w:bottom w:type="dxa" w:w="100"/>
              <w:right w:type="dxa" w:w="120"/>
            </w:tcMar>
          </w:tcPr>
          <w:p>
            <w:pPr>
              <w:spacing w:after="60"/>
            </w:pPr>
            <w:r>
              <w:rPr>
                <w:rFonts w:ascii="Calibri" w:cs="Calibri" w:eastAsia="Calibri" w:hAnsi="Calibri"/>
                <w:sz w:val="20"/>
                <w:szCs w:val="20"/>
              </w:rPr>
              <w:t xml:space="preserve">Compare written work before/after; lecturer feedback</w:t>
            </w:r>
          </w:p>
        </w:tc>
      </w:tr>
      <w:tr>
        <w:tc>
          <w:tcPr>
            <w:tcW w:type="dxa" w:w="1800"/>
            <w:shd w:fill="F2F2F2" w:val="clear"/>
            <w:tcMar>
              <w:top w:type="dxa" w:w="100"/>
              <w:left w:type="dxa" w:w="120"/>
              <w:bottom w:type="dxa" w:w="100"/>
              <w:right w:type="dxa" w:w="120"/>
            </w:tcMar>
          </w:tcPr>
          <w:p>
            <w:pPr>
              <w:spacing w:after="60"/>
            </w:pPr>
            <w:r>
              <w:rPr>
                <w:rFonts w:ascii="Calibri" w:cs="Calibri" w:eastAsia="Calibri" w:hAnsi="Calibri"/>
                <w:sz w:val="20"/>
                <w:szCs w:val="20"/>
              </w:rPr>
              <w:t xml:space="preserve">Limited marketing experience</w:t>
            </w:r>
          </w:p>
        </w:tc>
        <w:tc>
          <w:tcPr>
            <w:tcW w:type="dxa" w:w="2800"/>
            <w:shd w:fill="F2F2F2" w:val="clear"/>
            <w:tcMar>
              <w:top w:type="dxa" w:w="100"/>
              <w:left w:type="dxa" w:w="120"/>
              <w:bottom w:type="dxa" w:w="100"/>
              <w:right w:type="dxa" w:w="120"/>
            </w:tcMar>
          </w:tcPr>
          <w:p>
            <w:pPr>
              <w:spacing w:after="60"/>
            </w:pPr>
            <w:r>
              <w:rPr>
                <w:rFonts w:ascii="Calibri" w:cs="Calibri" w:eastAsia="Calibri" w:hAnsi="Calibri"/>
                <w:sz w:val="20"/>
                <w:szCs w:val="20"/>
              </w:rPr>
              <w:t xml:space="preserve">Seek a part-time or voluntary marketing/social media task (e.g. supporting a small business or society)</w:t>
            </w:r>
          </w:p>
        </w:tc>
        <w:tc>
          <w:tcPr>
            <w:tcW w:type="dxa" w:w="1400"/>
            <w:shd w:fill="F2F2F2" w:val="clear"/>
            <w:tcMar>
              <w:top w:type="dxa" w:w="100"/>
              <w:left w:type="dxa" w:w="120"/>
              <w:bottom w:type="dxa" w:w="100"/>
              <w:right w:type="dxa" w:w="120"/>
            </w:tcMar>
          </w:tcPr>
          <w:p>
            <w:pPr>
              <w:spacing w:after="60"/>
            </w:pPr>
            <w:r>
              <w:rPr>
                <w:rFonts w:ascii="Calibri" w:cs="Calibri" w:eastAsia="Calibri" w:hAnsi="Calibri"/>
                <w:sz w:val="20"/>
                <w:szCs w:val="20"/>
              </w:rPr>
              <w:t xml:space="preserve">Sep–Dec 2026</w:t>
            </w:r>
          </w:p>
        </w:tc>
        <w:tc>
          <w:tcPr>
            <w:tcW w:type="dxa" w:w="1700"/>
            <w:shd w:fill="F2F2F2" w:val="clear"/>
            <w:tcMar>
              <w:top w:type="dxa" w:w="100"/>
              <w:left w:type="dxa" w:w="120"/>
              <w:bottom w:type="dxa" w:w="100"/>
              <w:right w:type="dxa" w:w="120"/>
            </w:tcMar>
          </w:tcPr>
          <w:p>
            <w:pPr>
              <w:spacing w:after="60"/>
            </w:pPr>
            <w:r>
              <w:rPr>
                <w:rFonts w:ascii="Calibri" w:cs="Calibri" w:eastAsia="Calibri" w:hAnsi="Calibri"/>
                <w:sz w:val="20"/>
                <w:szCs w:val="20"/>
              </w:rPr>
              <w:t xml:space="preserve">Local business contacts, university careers service</w:t>
            </w:r>
          </w:p>
        </w:tc>
        <w:tc>
          <w:tcPr>
            <w:tcW w:type="dxa" w:w="1660"/>
            <w:shd w:fill="F2F2F2" w:val="clear"/>
            <w:tcMar>
              <w:top w:type="dxa" w:w="100"/>
              <w:left w:type="dxa" w:w="120"/>
              <w:bottom w:type="dxa" w:w="100"/>
              <w:right w:type="dxa" w:w="120"/>
            </w:tcMar>
          </w:tcPr>
          <w:p>
            <w:pPr>
              <w:spacing w:after="60"/>
            </w:pPr>
            <w:r>
              <w:rPr>
                <w:rFonts w:ascii="Calibri" w:cs="Calibri" w:eastAsia="Calibri" w:hAnsi="Calibri"/>
                <w:sz w:val="20"/>
                <w:szCs w:val="20"/>
              </w:rPr>
              <w:t xml:space="preserve">Completion of at least one real campaign or content piece</w:t>
            </w:r>
          </w:p>
        </w:tc>
      </w:tr>
      <w:tr>
        <w:tc>
          <w:tcPr>
            <w:tcW w:type="dxa" w:w="1800"/>
            <w:tcMar>
              <w:top w:type="dxa" w:w="100"/>
              <w:left w:type="dxa" w:w="120"/>
              <w:bottom w:type="dxa" w:w="100"/>
              <w:right w:type="dxa" w:w="120"/>
            </w:tcMar>
          </w:tcPr>
          <w:p>
            <w:pPr>
              <w:spacing w:after="60"/>
            </w:pPr>
            <w:r>
              <w:rPr>
                <w:rFonts w:ascii="Calibri" w:cs="Calibri" w:eastAsia="Calibri" w:hAnsi="Calibri"/>
                <w:sz w:val="20"/>
                <w:szCs w:val="20"/>
              </w:rPr>
              <w:t xml:space="preserve">Early-stage qualification</w:t>
            </w:r>
          </w:p>
        </w:tc>
        <w:tc>
          <w:tcPr>
            <w:tcW w:type="dxa" w:w="2800"/>
            <w:tcMar>
              <w:top w:type="dxa" w:w="100"/>
              <w:left w:type="dxa" w:w="120"/>
              <w:bottom w:type="dxa" w:w="100"/>
              <w:right w:type="dxa" w:w="120"/>
            </w:tcMar>
          </w:tcPr>
          <w:p>
            <w:pPr>
              <w:spacing w:after="60"/>
            </w:pPr>
            <w:r>
              <w:rPr>
                <w:rFonts w:ascii="Calibri" w:cs="Calibri" w:eastAsia="Calibri" w:hAnsi="Calibri"/>
                <w:sz w:val="20"/>
                <w:szCs w:val="20"/>
              </w:rPr>
              <w:t xml:space="preserve">Continue Foundation Degree modules, prioritising communication and management units</w:t>
            </w:r>
          </w:p>
        </w:tc>
        <w:tc>
          <w:tcPr>
            <w:tcW w:type="dxa" w:w="1400"/>
            <w:tcMar>
              <w:top w:type="dxa" w:w="100"/>
              <w:left w:type="dxa" w:w="120"/>
              <w:bottom w:type="dxa" w:w="100"/>
              <w:right w:type="dxa" w:w="120"/>
            </w:tcMar>
          </w:tcPr>
          <w:p>
            <w:pPr>
              <w:spacing w:after="60"/>
            </w:pPr>
            <w:r>
              <w:rPr>
                <w:rFonts w:ascii="Calibri" w:cs="Calibri" w:eastAsia="Calibri" w:hAnsi="Calibri"/>
                <w:sz w:val="20"/>
                <w:szCs w:val="20"/>
              </w:rPr>
              <w:t xml:space="preserve">Ongoing 2025–2027</w:t>
            </w:r>
          </w:p>
        </w:tc>
        <w:tc>
          <w:tcPr>
            <w:tcW w:type="dxa" w:w="1700"/>
            <w:tcMar>
              <w:top w:type="dxa" w:w="100"/>
              <w:left w:type="dxa" w:w="120"/>
              <w:bottom w:type="dxa" w:w="100"/>
              <w:right w:type="dxa" w:w="120"/>
            </w:tcMar>
          </w:tcPr>
          <w:p>
            <w:pPr>
              <w:spacing w:after="60"/>
            </w:pPr>
            <w:r>
              <w:rPr>
                <w:rFonts w:ascii="Calibri" w:cs="Calibri" w:eastAsia="Calibri" w:hAnsi="Calibri"/>
                <w:sz w:val="20"/>
                <w:szCs w:val="20"/>
              </w:rPr>
              <w:t xml:space="preserve">Course materials, module assessments</w:t>
            </w:r>
          </w:p>
        </w:tc>
        <w:tc>
          <w:tcPr>
            <w:tcW w:type="dxa" w:w="1660"/>
            <w:tcMar>
              <w:top w:type="dxa" w:w="100"/>
              <w:left w:type="dxa" w:w="120"/>
              <w:bottom w:type="dxa" w:w="100"/>
              <w:right w:type="dxa" w:w="120"/>
            </w:tcMar>
          </w:tcPr>
          <w:p>
            <w:pPr>
              <w:spacing w:after="60"/>
            </w:pPr>
            <w:r>
              <w:rPr>
                <w:rFonts w:ascii="Calibri" w:cs="Calibri" w:eastAsia="Calibri" w:hAnsi="Calibri"/>
                <w:sz w:val="20"/>
                <w:szCs w:val="20"/>
              </w:rPr>
              <w:t xml:space="preserve">Module grades, tutor feedback</w:t>
            </w:r>
          </w:p>
        </w:tc>
      </w:tr>
    </w:tbl>
    <w:p>
      <w:pPr>
        <w:spacing w:after="240"/>
      </w:pPr>
    </w:p>
    <w:p>
      <w:pPr>
        <w:spacing w:after="160" w:line="276"/>
      </w:pPr>
      <w:r>
        <w:rPr>
          <w:rFonts w:ascii="Calibri" w:cs="Calibri" w:eastAsia="Calibri" w:hAnsi="Calibri"/>
          <w:sz w:val="22"/>
          <w:szCs w:val="22"/>
        </w:rPr>
        <w:t xml:space="preserve">Neugebauer and Evans-Brain (2016) highlight that workplace learning most effectively occurs through on-the-job training, coaching and shadowing — forms of learning I intend to prioritise by seeking practical marketing exposure alongside my formal study, rather than relying on academic learning alone.</w:t>
      </w:r>
    </w:p>
    <w:p>
      <w:pPr>
        <w:pStyle w:val="Heading2"/>
        <w:spacing w:after="120" w:before="240"/>
      </w:pPr>
      <w:r>
        <w:rPr>
          <w:rFonts w:ascii="Calibri" w:cs="Calibri" w:eastAsia="Calibri" w:hAnsi="Calibri"/>
          <w:b/>
          <w:bCs/>
          <w:color w:val="2E74B5"/>
          <w:sz w:val="24"/>
          <w:szCs w:val="24"/>
        </w:rPr>
        <w:t xml:space="preserve">References</w:t>
      </w:r>
    </w:p>
    <w:p>
      <w:pPr>
        <w:spacing w:after="160" w:line="276"/>
        <w:ind w:left="720" w:hanging="720"/>
      </w:pPr>
      <w:r>
        <w:rPr>
          <w:rFonts w:ascii="Calibri" w:cs="Calibri" w:eastAsia="Calibri" w:hAnsi="Calibri"/>
          <w:i w:val="false"/>
          <w:iCs w:val="false"/>
          <w:sz w:val="21"/>
          <w:szCs w:val="21"/>
        </w:rPr>
        <w:t xml:space="preserve">Neugebauer, J. and Evans-Brain, J. (2016) Personal and Professional Development for Nursing Students. London: SAGE.</w:t>
      </w:r>
    </w:p>
    <w:sectPr>
      <w:headerReference w:type="default" r:id="rId7"/>
      <w:footerReference w:type="default" r:id="rId8"/>
      <w:pgSz w:w="11906" w:h="16838" w:orient="portrait"/>
      <w:pgMar w:top="1080" w:right="1080" w:bottom="1080" w:left="108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pPr>
      <w:jc w:val="center"/>
    </w:pPr>
    <w:r>
      <w:rPr>
        <w:rFonts w:ascii="Calibri" w:cs="Calibri" w:eastAsia="Calibri" w:hAnsi="Calibri"/>
        <w:color w:val="5A5A5A"/>
        <w:sz w:val="16"/>
        <w:szCs w:val="16"/>
      </w:rPr>
      <w:t xml:space="preserve">Page </w:t>
    </w:r>
    <w:r>
      <w:rPr>
        <w:rFonts w:ascii="Calibri" w:cs="Calibri" w:eastAsia="Calibri" w:hAnsi="Calibri"/>
        <w:color w:val="5A5A5A"/>
        <w:sz w:val="16"/>
        <w:szCs w:val="16"/>
      </w:rPr>
      <w:fldChar w:fldCharType="begin"/>
      <w:instrText xml:space="preserve">PAGE</w:instrText>
      <w:fldChar w:fldCharType="separate"/>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w16cid="http://schemas.microsoft.com/office/word/2016/wordml/cid" xmlns:w16se="http://schemas.microsoft.com/office/word/2015/wordml/symex">
  <w:p>
    <w:pPr>
      <w:jc w:val="right"/>
    </w:pPr>
    <w:r>
      <w:rPr>
        <w:rFonts w:ascii="Calibri" w:cs="Calibri" w:eastAsia="Calibri" w:hAnsi="Calibri"/>
        <w:color w:val="5A5A5A"/>
        <w:sz w:val="16"/>
        <w:szCs w:val="16"/>
      </w:rPr>
      <w:t xml:space="preserve">Raymond Yeboah  |  ID: 2516795</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cs="Calibri" w:eastAsia="Calibri" w:hAnsi="Calibri"/>
        <w:sz w:val="22"/>
        <w:szCs w:val="22"/>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er1.xml.rels><?xml version="1.0" encoding="UTF-8"?><Relationships xmlns="http://schemas.openxmlformats.org/package/2006/relationships"/>
</file>

<file path=word/_rels/footnotes.xml.rels><?xml version="1.0" encoding="UTF-8"?><Relationships xmlns="http://schemas.openxmlformats.org/package/2006/relationships"/>
</file>

<file path=word/_rels/header1.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2026-08-18T08:23:28.860Z</dcterms:created>
  <dcterms:modified xsi:type="dcterms:W3CDTF">2026-08-18T08:23:28.903Z</dcterms:modified>
</cp:coreProperties>
</file>

<file path=docProps/custom.xml><?xml version="1.0" encoding="utf-8"?>
<Properties xmlns="http://schemas.openxmlformats.org/officeDocument/2006/custom-properties" xmlns:vt="http://schemas.openxmlformats.org/officeDocument/2006/docPropsVTypes"/>
</file>