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1 (AC 1.1)</w:t>
      </w:r>
    </w:p>
    <w:p w:rsidR="00000000" w:rsidDel="00000000" w:rsidP="00000000" w:rsidRDefault="00000000" w:rsidRPr="00000000" w14:paraId="00000002">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rsidR="00000000" w:rsidDel="00000000" w:rsidP="00000000" w:rsidRDefault="00000000" w:rsidRPr="00000000" w14:paraId="0000000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4">
      <w:pPr>
        <w:spacing w:line="240" w:lineRule="auto"/>
        <w:rPr/>
      </w:pPr>
      <w:r w:rsidDel="00000000" w:rsidR="00000000" w:rsidRPr="00000000">
        <w:rPr>
          <w:rtl w:val="0"/>
        </w:rPr>
        <w:t xml:space="preserve">The importance of spending time keeping up to date with employment law regulations is that policies are always being updated and changing and the reason employers have to comply with employment law policies is to ensure employers aren’t breaking any laws and helps to build a good relationship between employee and employer. With employees knowing they will be protected under the Equality act 2010, treated fairly and also the employee knowing they have a voice within the organisation. </w:t>
      </w:r>
    </w:p>
    <w:p w:rsidR="00000000" w:rsidDel="00000000" w:rsidP="00000000" w:rsidRDefault="00000000" w:rsidRPr="00000000" w14:paraId="00000005">
      <w:pPr>
        <w:spacing w:line="240" w:lineRule="auto"/>
        <w:rPr/>
      </w:pPr>
      <w:r w:rsidDel="00000000" w:rsidR="00000000" w:rsidRPr="00000000">
        <w:rPr>
          <w:rtl w:val="0"/>
        </w:rPr>
      </w:r>
    </w:p>
    <w:p w:rsidR="00000000" w:rsidDel="00000000" w:rsidP="00000000" w:rsidRDefault="00000000" w:rsidRPr="00000000" w14:paraId="00000006">
      <w:pPr>
        <w:spacing w:line="240" w:lineRule="auto"/>
        <w:rPr/>
      </w:pPr>
      <w:r w:rsidDel="00000000" w:rsidR="00000000" w:rsidRPr="00000000">
        <w:rPr>
          <w:rtl w:val="0"/>
        </w:rPr>
        <w:t xml:space="preserve">The objective of having employment law is to ensure all employers comply with regulations and ensure that all employees are providing a good place to work and that the employees are being treated fairly (Daniels, 2025). If an organisation were to be seen as not complying with employment law and employees were being unfairly treated then this could tarnish the organisation's reputation. Also by not complying with employment laws this could see the organisation going through employment tribunals which could have an effect on the business both in terms of its reputation and if any payouts were to occur(CIPD, 2024). </w:t>
      </w:r>
    </w:p>
    <w:p w:rsidR="00000000" w:rsidDel="00000000" w:rsidP="00000000" w:rsidRDefault="00000000" w:rsidRPr="00000000" w14:paraId="0000000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9">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2 (AC 1.2)</w:t>
      </w:r>
    </w:p>
    <w:p w:rsidR="00000000" w:rsidDel="00000000" w:rsidP="00000000" w:rsidRDefault="00000000" w:rsidRPr="00000000" w14:paraId="0000000A">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rsidR="00000000" w:rsidDel="00000000" w:rsidP="00000000" w:rsidRDefault="00000000" w:rsidRPr="00000000" w14:paraId="0000000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C">
      <w:pPr>
        <w:spacing w:line="240" w:lineRule="auto"/>
        <w:rPr/>
      </w:pPr>
      <w:r w:rsidDel="00000000" w:rsidR="00000000" w:rsidRPr="00000000">
        <w:rPr>
          <w:rtl w:val="0"/>
        </w:rPr>
        <w:t xml:space="preserve">With the UK voting to leave the European Union in 2016 and then Brexit happening in 2020, the laws passed by the European Court of Justice (ECJ) are still relevant to UK law and remain good law. The laws that were passed will still remain binding in UK courts until a new bill is passed by the UK supreme court and this will override any previous law set out by the ECJ. </w:t>
      </w:r>
    </w:p>
    <w:p w:rsidR="00000000" w:rsidDel="00000000" w:rsidP="00000000" w:rsidRDefault="00000000" w:rsidRPr="00000000" w14:paraId="0000000D">
      <w:pPr>
        <w:spacing w:line="240" w:lineRule="auto"/>
        <w:rPr/>
      </w:pPr>
      <w:r w:rsidDel="00000000" w:rsidR="00000000" w:rsidRPr="00000000">
        <w:rPr>
          <w:rtl w:val="0"/>
        </w:rPr>
      </w:r>
    </w:p>
    <w:p w:rsidR="00000000" w:rsidDel="00000000" w:rsidP="00000000" w:rsidRDefault="00000000" w:rsidRPr="00000000" w14:paraId="0000000E">
      <w:pPr>
        <w:spacing w:line="240" w:lineRule="auto"/>
        <w:rPr/>
      </w:pPr>
      <w:r w:rsidDel="00000000" w:rsidR="00000000" w:rsidRPr="00000000">
        <w:rPr>
          <w:rtl w:val="0"/>
        </w:rPr>
        <w:t xml:space="preserve">The term good law is just a phrase used to explain that a law is effective, fair and clear to understand and implement. So the laws that were passed by the ECJ are still classed as good law and are still fully binding in the UK courts since the UK has voted to leave the EU, although any Laws passed after 1st January 2023 by the ECJ will not be followed in UK courts(CIPD, 2024).  An example of where laws have tried to be changed since the UK left the EU is the Retained EU law. In September 2024 the UK law stopped the commencement of the Retained EU law and that the UK Courts should continue to use the EU Law as this was seen as good law(Daniels, 2025). </w:t>
      </w:r>
    </w:p>
    <w:p w:rsidR="00000000" w:rsidDel="00000000" w:rsidP="00000000" w:rsidRDefault="00000000" w:rsidRPr="00000000" w14:paraId="0000000F">
      <w:pPr>
        <w:spacing w:line="240" w:lineRule="auto"/>
        <w:rPr/>
      </w:pPr>
      <w:r w:rsidDel="00000000" w:rsidR="00000000" w:rsidRPr="00000000">
        <w:rPr>
          <w:rtl w:val="0"/>
        </w:rPr>
      </w:r>
    </w:p>
    <w:p w:rsidR="00000000" w:rsidDel="00000000" w:rsidP="00000000" w:rsidRDefault="00000000" w:rsidRPr="00000000" w14:paraId="00000010">
      <w:pPr>
        <w:spacing w:line="240" w:lineRule="auto"/>
        <w:rPr/>
      </w:pPr>
      <w:r w:rsidDel="00000000" w:rsidR="00000000" w:rsidRPr="00000000">
        <w:rPr>
          <w:rtl w:val="0"/>
        </w:rPr>
      </w:r>
    </w:p>
    <w:p w:rsidR="00000000" w:rsidDel="00000000" w:rsidP="00000000" w:rsidRDefault="00000000" w:rsidRPr="00000000" w14:paraId="00000011">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3 (AC 2.1) </w:t>
      </w:r>
    </w:p>
    <w:p w:rsidR="00000000" w:rsidDel="00000000" w:rsidP="00000000" w:rsidRDefault="00000000" w:rsidRPr="00000000" w14:paraId="00000012">
      <w:pPr>
        <w:spacing w:line="240" w:lineRule="auto"/>
        <w:rPr>
          <w:rFonts w:ascii="Trebuchet MS" w:cs="Trebuchet MS" w:eastAsia="Trebuchet MS" w:hAnsi="Trebuchet MS"/>
          <w:color w:val="4a86e8"/>
        </w:rPr>
      </w:pPr>
      <w:r w:rsidDel="00000000" w:rsidR="00000000" w:rsidRPr="00000000">
        <w:rPr>
          <w:rFonts w:ascii="Trebuchet MS" w:cs="Trebuchet MS" w:eastAsia="Trebuchet MS" w:hAnsi="Trebuchet MS"/>
          <w:b w:val="1"/>
          <w:rtl w:val="0"/>
        </w:rPr>
        <w:t xml:space="preserve">A colleague asks for advice about 'occupational requirements'. She wants to know when she may and may not seek to stipulate that a job in her directorate must be carried out either by a man or a woman. Explain this to her, considering the main principles of discrimination law in recruitment and selection in your email with reference to specific examples.  </w:t>
      </w:r>
      <w:r w:rsidDel="00000000" w:rsidR="00000000" w:rsidRPr="00000000">
        <w:rPr>
          <w:rFonts w:ascii="Trebuchet MS" w:cs="Trebuchet MS" w:eastAsia="Trebuchet MS" w:hAnsi="Trebuchet MS"/>
          <w:color w:val="4a86e8"/>
          <w:rtl w:val="0"/>
        </w:rPr>
        <w:t xml:space="preserve"> </w:t>
      </w:r>
    </w:p>
    <w:p w:rsidR="00000000" w:rsidDel="00000000" w:rsidP="00000000" w:rsidRDefault="00000000" w:rsidRPr="00000000" w14:paraId="00000013">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14">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15">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4 (AC 2.2)</w:t>
      </w:r>
    </w:p>
    <w:p w:rsidR="00000000" w:rsidDel="00000000" w:rsidP="00000000" w:rsidRDefault="00000000" w:rsidRPr="00000000" w14:paraId="00000016">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rsidR="00000000" w:rsidDel="00000000" w:rsidP="00000000" w:rsidRDefault="00000000" w:rsidRPr="00000000" w14:paraId="0000001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18">
      <w:pPr>
        <w:spacing w:line="240" w:lineRule="auto"/>
        <w:rPr/>
      </w:pPr>
      <w:r w:rsidDel="00000000" w:rsidR="00000000" w:rsidRPr="00000000">
        <w:rPr>
          <w:rtl w:val="0"/>
        </w:rPr>
        <w:t xml:space="preserve">Unfortunately</w:t>
      </w:r>
      <w:r w:rsidDel="00000000" w:rsidR="00000000" w:rsidRPr="00000000">
        <w:rPr>
          <w:rFonts w:ascii="Trebuchet MS" w:cs="Trebuchet MS" w:eastAsia="Trebuchet MS" w:hAnsi="Trebuchet MS"/>
          <w:rtl w:val="0"/>
        </w:rPr>
        <w:t xml:space="preserve"> </w:t>
      </w:r>
      <w:r w:rsidDel="00000000" w:rsidR="00000000" w:rsidRPr="00000000">
        <w:rPr>
          <w:rtl w:val="0"/>
        </w:rPr>
        <w:t xml:space="preserve">we would be unable to process a pay upgrade for the two chosen people with a formal process of interviews taking place and a role being advertised to all employees. By giving the two chosen male employees a change in banding just because there is some surplus money would be a breach in the Equality Act 2010 and would be a case of potential discrimination and equal pay. </w:t>
      </w:r>
    </w:p>
    <w:p w:rsidR="00000000" w:rsidDel="00000000" w:rsidP="00000000" w:rsidRDefault="00000000" w:rsidRPr="00000000" w14:paraId="00000019">
      <w:pPr>
        <w:spacing w:line="240" w:lineRule="auto"/>
        <w:rPr/>
      </w:pPr>
      <w:r w:rsidDel="00000000" w:rsidR="00000000" w:rsidRPr="00000000">
        <w:rPr>
          <w:rtl w:val="0"/>
        </w:rPr>
      </w:r>
    </w:p>
    <w:p w:rsidR="00000000" w:rsidDel="00000000" w:rsidP="00000000" w:rsidRDefault="00000000" w:rsidRPr="00000000" w14:paraId="0000001A">
      <w:pPr>
        <w:spacing w:line="240" w:lineRule="auto"/>
        <w:rPr/>
      </w:pPr>
      <w:r w:rsidDel="00000000" w:rsidR="00000000" w:rsidRPr="00000000">
        <w:rPr>
          <w:rtl w:val="0"/>
        </w:rPr>
        <w:t xml:space="preserve">Under the Equality Act 2010, the term equal pay not only but looks at all comparisons between men and women in the workplace. So by law we wouldn’t be able to increase the two male employees' pay without having to go through a fair and unbiased recruitment process. This would ensure we are complying with the Law and that we wouldn’t have a tribunal case brought against us for breach of the Equality Act 2010 (ACAS, 2024). </w:t>
      </w:r>
    </w:p>
    <w:p w:rsidR="00000000" w:rsidDel="00000000" w:rsidP="00000000" w:rsidRDefault="00000000" w:rsidRPr="00000000" w14:paraId="0000001B">
      <w:pPr>
        <w:spacing w:line="240" w:lineRule="auto"/>
        <w:rPr/>
      </w:pPr>
      <w:r w:rsidDel="00000000" w:rsidR="00000000" w:rsidRPr="00000000">
        <w:rPr>
          <w:rtl w:val="0"/>
        </w:rPr>
      </w:r>
    </w:p>
    <w:p w:rsidR="00000000" w:rsidDel="00000000" w:rsidP="00000000" w:rsidRDefault="00000000" w:rsidRPr="00000000" w14:paraId="0000001C">
      <w:pPr>
        <w:spacing w:line="240" w:lineRule="auto"/>
        <w:rPr/>
      </w:pPr>
      <w:r w:rsidDel="00000000" w:rsidR="00000000" w:rsidRPr="00000000">
        <w:rPr>
          <w:rtl w:val="0"/>
        </w:rPr>
        <w:t xml:space="preserve">The case of </w:t>
      </w:r>
      <w:r w:rsidDel="00000000" w:rsidR="00000000" w:rsidRPr="00000000">
        <w:rPr>
          <w:i w:val="1"/>
          <w:rtl w:val="0"/>
        </w:rPr>
        <w:t xml:space="preserve">Asda stores ltd v Brierley and others (2021) </w:t>
      </w:r>
      <w:r w:rsidDel="00000000" w:rsidR="00000000" w:rsidRPr="00000000">
        <w:rPr>
          <w:rtl w:val="0"/>
        </w:rPr>
        <w:t xml:space="preserve">was a case that the respondents had taken to The Supreme Court on the case of equal pay that if a male employee were to undertake the same job role as a female then they should receive the same pay, this case was met by the Supreme court and a claim of equal value can proceed. To ensure this discrimination isn’t to arise, all employees completing the same role will need to have the same basic pay to ensure there is no breach of the Equality Act 2010 (Daniels, 2025). </w:t>
      </w:r>
    </w:p>
    <w:p w:rsidR="00000000" w:rsidDel="00000000" w:rsidP="00000000" w:rsidRDefault="00000000" w:rsidRPr="00000000" w14:paraId="0000001D">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1E">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1F">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5 (AC 3.1)    </w:t>
      </w:r>
    </w:p>
    <w:p w:rsidR="00000000" w:rsidDel="00000000" w:rsidP="00000000" w:rsidRDefault="00000000" w:rsidRPr="00000000" w14:paraId="00000020">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rsidR="00000000" w:rsidDel="00000000" w:rsidP="00000000" w:rsidRDefault="00000000" w:rsidRPr="00000000" w14:paraId="00000021">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22">
      <w:pPr>
        <w:spacing w:line="240" w:lineRule="auto"/>
        <w:rPr/>
      </w:pPr>
      <w:r w:rsidDel="00000000" w:rsidR="00000000" w:rsidRPr="00000000">
        <w:rPr>
          <w:rtl w:val="0"/>
        </w:rPr>
        <w:t xml:space="preserve">The organisation has the right to make changes to an employee's contract, with elements regarding change such as working days, hours or job role. Sometimes these changes need to happen to support changes to the organisation and for the organisation to operate in a financially sound manner. But to make any changes to an employee's contract the employee needs to be informed of the changes that are going to take place and to be given a time scale for when these new changes will take place. If the employer were to change an employee's contract without notice this could potentially lead to a claim of constructive dismissal (Daniels,2025).  </w:t>
      </w:r>
    </w:p>
    <w:p w:rsidR="00000000" w:rsidDel="00000000" w:rsidP="00000000" w:rsidRDefault="00000000" w:rsidRPr="00000000" w14:paraId="00000023">
      <w:pPr>
        <w:spacing w:line="240" w:lineRule="auto"/>
        <w:rPr/>
      </w:pPr>
      <w:r w:rsidDel="00000000" w:rsidR="00000000" w:rsidRPr="00000000">
        <w:rPr>
          <w:rtl w:val="0"/>
        </w:rPr>
      </w:r>
    </w:p>
    <w:p w:rsidR="00000000" w:rsidDel="00000000" w:rsidP="00000000" w:rsidRDefault="00000000" w:rsidRPr="00000000" w14:paraId="00000024">
      <w:pPr>
        <w:spacing w:line="240" w:lineRule="auto"/>
        <w:rPr/>
      </w:pPr>
      <w:r w:rsidDel="00000000" w:rsidR="00000000" w:rsidRPr="00000000">
        <w:rPr>
          <w:rtl w:val="0"/>
        </w:rPr>
        <w:t xml:space="preserve">If the changes were to affect over 20 employees then this should be done in a collective consultation and this consultation would then be with representatives. The employer does have the right to force contract changes whether the employees agree to the changes, the other option could be termination of employment or the employer reconsiders the changes proposed. </w:t>
      </w:r>
    </w:p>
    <w:p w:rsidR="00000000" w:rsidDel="00000000" w:rsidP="00000000" w:rsidRDefault="00000000" w:rsidRPr="00000000" w14:paraId="00000025">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26">
      <w:pPr>
        <w:spacing w:line="240" w:lineRule="auto"/>
        <w:rPr/>
      </w:pPr>
      <w:r w:rsidDel="00000000" w:rsidR="00000000" w:rsidRPr="00000000">
        <w:rPr>
          <w:rtl w:val="0"/>
        </w:rPr>
        <w:t xml:space="preserve">If the employee were to take their employer to an employment tribunal for unfair dismissal the employee needs to have a minimum of two years service and to make a claim this needs to be within 3 months minus 1 day from either their notice period or the day of resignation if no notice was given. The employee can still make claims to the employment tribunal if the time limit has passed but it is then for the Judge to decide whether to accept the claim or not. Another situation where the time limit may pass is where the employee has contacted ACAS and early conciliation is taking place and the time limit can be paused up to 6 weeks in this phase (ACAS,2024)</w:t>
      </w:r>
    </w:p>
    <w:p w:rsidR="00000000" w:rsidDel="00000000" w:rsidP="00000000" w:rsidRDefault="00000000" w:rsidRPr="00000000" w14:paraId="00000027">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28">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29">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6 (AC 3.2)</w:t>
      </w:r>
    </w:p>
    <w:p w:rsidR="00000000" w:rsidDel="00000000" w:rsidP="00000000" w:rsidRDefault="00000000" w:rsidRPr="00000000" w14:paraId="0000002A">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rsidR="00000000" w:rsidDel="00000000" w:rsidP="00000000" w:rsidRDefault="00000000" w:rsidRPr="00000000" w14:paraId="0000002B">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2C">
      <w:pPr>
        <w:spacing w:line="240" w:lineRule="auto"/>
        <w:rPr/>
      </w:pPr>
      <w:r w:rsidDel="00000000" w:rsidR="00000000" w:rsidRPr="00000000">
        <w:rPr>
          <w:rtl w:val="0"/>
        </w:rPr>
        <w:t xml:space="preserve">Where compulsory redundancies are involved the employer has to ensure the role that the employee is undertaking no longer exists for this to be a case of redundancy. If the role continues to stay the same there is no redundancy such as the case of </w:t>
      </w:r>
      <w:r w:rsidDel="00000000" w:rsidR="00000000" w:rsidRPr="00000000">
        <w:rPr>
          <w:i w:val="1"/>
          <w:rtl w:val="0"/>
        </w:rPr>
        <w:t xml:space="preserve">Hindle v Percival Boats (1969) </w:t>
      </w:r>
      <w:r w:rsidDel="00000000" w:rsidR="00000000" w:rsidRPr="00000000">
        <w:rPr>
          <w:rtl w:val="0"/>
        </w:rPr>
        <w:t xml:space="preserve">with this case the boat making company changed the materials it used to make a boat not changing the role so this means the employees cannot be made redundant. But to support this redundancy role the case of </w:t>
      </w:r>
      <w:r w:rsidDel="00000000" w:rsidR="00000000" w:rsidRPr="00000000">
        <w:rPr>
          <w:i w:val="1"/>
          <w:rtl w:val="0"/>
        </w:rPr>
        <w:t xml:space="preserve">Safeways Stores PLC v Burrell (1997) </w:t>
      </w:r>
      <w:r w:rsidDel="00000000" w:rsidR="00000000" w:rsidRPr="00000000">
        <w:rPr>
          <w:rtl w:val="0"/>
        </w:rPr>
        <w:t xml:space="preserve">the change in role and responsibilities ment the employees were made redundant and the EAT found the redundancy as fair (Daniels, 2025)</w:t>
      </w:r>
    </w:p>
    <w:p w:rsidR="00000000" w:rsidDel="00000000" w:rsidP="00000000" w:rsidRDefault="00000000" w:rsidRPr="00000000" w14:paraId="0000002D">
      <w:pPr>
        <w:spacing w:line="240" w:lineRule="auto"/>
        <w:rPr/>
      </w:pPr>
      <w:r w:rsidDel="00000000" w:rsidR="00000000" w:rsidRPr="00000000">
        <w:rPr>
          <w:rtl w:val="0"/>
        </w:rPr>
      </w:r>
    </w:p>
    <w:p w:rsidR="00000000" w:rsidDel="00000000" w:rsidP="00000000" w:rsidRDefault="00000000" w:rsidRPr="00000000" w14:paraId="0000002E">
      <w:pPr>
        <w:spacing w:line="240" w:lineRule="auto"/>
        <w:rPr/>
      </w:pPr>
      <w:r w:rsidDel="00000000" w:rsidR="00000000" w:rsidRPr="00000000">
        <w:rPr>
          <w:rtl w:val="0"/>
        </w:rPr>
        <w:t xml:space="preserve">As there will be fifty jobs involved in the redundancy there will need to be a 30 day consultation period as long as no other jobs will be affected within 90 days of consultation period starting this is to comply with the Trade union and Labour relations Act 1992 and a breach in this may be seen as unfair dismissal. Once consultation has started under the Trade union and Labour relations Act the employer has to give in writing to each employee, the reason for proposed redundancies, total number of employees affected, proposed method of selection and other methods such as working of redundancy pay. The employer has to consult with employees and ensure Trade unions are aware of the redundancy process and work with both employer and employee during the process (ACAS, 2014).</w:t>
      </w:r>
    </w:p>
    <w:p w:rsidR="00000000" w:rsidDel="00000000" w:rsidP="00000000" w:rsidRDefault="00000000" w:rsidRPr="00000000" w14:paraId="0000002F">
      <w:pPr>
        <w:spacing w:line="240" w:lineRule="auto"/>
        <w:rPr/>
      </w:pPr>
      <w:r w:rsidDel="00000000" w:rsidR="00000000" w:rsidRPr="00000000">
        <w:rPr>
          <w:rtl w:val="0"/>
        </w:rPr>
      </w:r>
    </w:p>
    <w:p w:rsidR="00000000" w:rsidDel="00000000" w:rsidP="00000000" w:rsidRDefault="00000000" w:rsidRPr="00000000" w14:paraId="00000030">
      <w:pPr>
        <w:spacing w:line="240" w:lineRule="auto"/>
        <w:rPr/>
      </w:pPr>
      <w:r w:rsidDel="00000000" w:rsidR="00000000" w:rsidRPr="00000000">
        <w:rPr>
          <w:rtl w:val="0"/>
        </w:rPr>
        <w:t xml:space="preserve">Selection for redundancy must be put together using multiple criteria, such as performance, qualifications, attendance or conduct records, length of service but ensuring elements such as service aren’t solely used as this could be seen as indirect age discrimination. So although the employer is looking to make the underperformers redundant they simply cannot just dismiss the full consultancy process that has to take place fairly and following the Trade union and Labour relations Act. Once the consultation process has run its course and all consultation has finished only then can the employee be given notice of redundancy and it should state the scoring in selection, reason for redundancy, length of notice, pay and also how they can appeal the redundancy(ACAS, 2025). </w:t>
      </w:r>
    </w:p>
    <w:p w:rsidR="00000000" w:rsidDel="00000000" w:rsidP="00000000" w:rsidRDefault="00000000" w:rsidRPr="00000000" w14:paraId="00000031">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32">
      <w:pPr>
        <w:spacing w:line="240" w:lineRule="auto"/>
        <w:rPr>
          <w:rFonts w:ascii="Trebuchet MS" w:cs="Trebuchet MS" w:eastAsia="Trebuchet MS" w:hAnsi="Trebuchet MS"/>
          <w:color w:val="4a86e8"/>
        </w:rPr>
      </w:pPr>
      <w:r w:rsidDel="00000000" w:rsidR="00000000" w:rsidRPr="00000000">
        <w:rPr>
          <w:rtl w:val="0"/>
        </w:rPr>
      </w:r>
    </w:p>
    <w:p w:rsidR="00000000" w:rsidDel="00000000" w:rsidP="00000000" w:rsidRDefault="00000000" w:rsidRPr="00000000" w14:paraId="00000033">
      <w:pPr>
        <w:spacing w:line="240" w:lineRule="auto"/>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color w:val="004147"/>
          <w:sz w:val="24"/>
          <w:szCs w:val="24"/>
          <w:rtl w:val="0"/>
        </w:rPr>
        <w:t xml:space="preserve">Email 7 (AC 3.3) </w:t>
      </w:r>
      <w:r w:rsidDel="00000000" w:rsidR="00000000" w:rsidRPr="00000000">
        <w:rPr>
          <w:rFonts w:ascii="Trebuchet MS" w:cs="Trebuchet MS" w:eastAsia="Trebuchet MS" w:hAnsi="Trebuchet MS"/>
          <w:b w:val="1"/>
          <w:sz w:val="24"/>
          <w:szCs w:val="24"/>
          <w:rtl w:val="0"/>
        </w:rPr>
        <w:t xml:space="preserve">  </w:t>
      </w:r>
    </w:p>
    <w:p w:rsidR="00000000" w:rsidDel="00000000" w:rsidP="00000000" w:rsidRDefault="00000000" w:rsidRPr="00000000" w14:paraId="00000034">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rsidR="00000000" w:rsidDel="00000000" w:rsidP="00000000" w:rsidRDefault="00000000" w:rsidRPr="00000000" w14:paraId="00000035">
      <w:pPr>
        <w:spacing w:line="240" w:lineRule="auto"/>
        <w:rPr/>
      </w:pPr>
      <w:r w:rsidDel="00000000" w:rsidR="00000000" w:rsidRPr="00000000">
        <w:rPr>
          <w:rtl w:val="0"/>
        </w:rPr>
        <w:t xml:space="preserve">The employees will fall in the TUPE transfer category as the nature of the business will be the same as part of a pharmacy operations so that means that the employees will have to stay employed and will then move across to the new trust (CIPD,2024). All employees who are assigned to the work will be transferred to the new business. All employees will go through an consultancy process with the new employers and will be supplied with information about the transfer, time scale of the transfer, any implications this may have on the employee. If the consultation doesn’t take place adequately both transferee and transferor may be liable to pay up to 13 weeks pay to each employee as compensation. Under TUPE all employees are protected when a transfer takes place, from consultancy, transfer and also after the transfer has taken place with all contractual agreements, continuity of service and collective agreements protected. If these elements aren’t protected or dismissal were to happen then this is deemed unfair but the minimum length of 2 years service would still stand for a claim of unfair dismissal. </w:t>
      </w:r>
    </w:p>
    <w:p w:rsidR="00000000" w:rsidDel="00000000" w:rsidP="00000000" w:rsidRDefault="00000000" w:rsidRPr="00000000" w14:paraId="00000036">
      <w:pPr>
        <w:spacing w:line="240" w:lineRule="auto"/>
        <w:rPr/>
      </w:pPr>
      <w:r w:rsidDel="00000000" w:rsidR="00000000" w:rsidRPr="00000000">
        <w:rPr>
          <w:rtl w:val="0"/>
        </w:rPr>
      </w:r>
    </w:p>
    <w:p w:rsidR="00000000" w:rsidDel="00000000" w:rsidP="00000000" w:rsidRDefault="00000000" w:rsidRPr="00000000" w14:paraId="00000037">
      <w:pPr>
        <w:spacing w:line="240" w:lineRule="auto"/>
        <w:rPr>
          <w:color w:val="6d9eeb"/>
        </w:rPr>
      </w:pPr>
      <w:r w:rsidDel="00000000" w:rsidR="00000000" w:rsidRPr="00000000">
        <w:rPr>
          <w:rtl w:val="0"/>
        </w:rPr>
        <w:t xml:space="preserve">Case law of </w:t>
      </w:r>
      <w:r w:rsidDel="00000000" w:rsidR="00000000" w:rsidRPr="00000000">
        <w:rPr>
          <w:i w:val="1"/>
          <w:rtl w:val="0"/>
        </w:rPr>
        <w:t xml:space="preserve">Taylor v Connex South Eastern LTD (2000) </w:t>
      </w:r>
      <w:r w:rsidDel="00000000" w:rsidR="00000000" w:rsidRPr="00000000">
        <w:rPr>
          <w:rtl w:val="0"/>
        </w:rPr>
        <w:t xml:space="preserve">ruled that unfair dismissal of an employee took place 2 years after the TUPE transfer when the employer wanted to make minor changes to the employee's contact and as the employee refused these changes the employee was unfairly dismissed. An employer can only make changes to a TUPE employee’s contract if it were for an economic, technical or organisational reason(ETO) (Daniels,2025).</w:t>
      </w:r>
      <w:r w:rsidDel="00000000" w:rsidR="00000000" w:rsidRPr="00000000">
        <w:rPr>
          <w:rtl w:val="0"/>
        </w:rPr>
      </w:r>
    </w:p>
    <w:p w:rsidR="00000000" w:rsidDel="00000000" w:rsidP="00000000" w:rsidRDefault="00000000" w:rsidRPr="00000000" w14:paraId="00000038">
      <w:pPr>
        <w:spacing w:line="240" w:lineRule="auto"/>
        <w:rPr/>
      </w:pPr>
      <w:r w:rsidDel="00000000" w:rsidR="00000000" w:rsidRPr="00000000">
        <w:rPr>
          <w:rtl w:val="0"/>
        </w:rPr>
      </w:r>
    </w:p>
    <w:p w:rsidR="00000000" w:rsidDel="00000000" w:rsidP="00000000" w:rsidRDefault="00000000" w:rsidRPr="00000000" w14:paraId="00000039">
      <w:pPr>
        <w:spacing w:line="240" w:lineRule="auto"/>
        <w:rPr/>
      </w:pPr>
      <w:r w:rsidDel="00000000" w:rsidR="00000000" w:rsidRPr="00000000">
        <w:rPr>
          <w:rtl w:val="0"/>
        </w:rPr>
        <w:t xml:space="preserve">Employees do have the right to object to a TUPE transfer and this needs to be made clear to both transferee and transferor. This would then mean the employee won’t transfer and the contract would end, they wouldn’t be treated as dismissed, terminated and the employee wouldn’t be entitled to a redundancy package (CIPD,2024). So to ensure if a TUPE transfer is looking to happen in the near future ensure the regulations haven’t been updated since the most recent update in 2014 and by ensuring all elements of the TUPE are handled correctly then the move in employees can go ahead with the organisational merging. </w:t>
      </w:r>
    </w:p>
    <w:p w:rsidR="00000000" w:rsidDel="00000000" w:rsidP="00000000" w:rsidRDefault="00000000" w:rsidRPr="00000000" w14:paraId="0000003A">
      <w:pPr>
        <w:spacing w:line="240" w:lineRule="auto"/>
        <w:rPr/>
      </w:pPr>
      <w:r w:rsidDel="00000000" w:rsidR="00000000" w:rsidRPr="00000000">
        <w:rPr>
          <w:rtl w:val="0"/>
        </w:rPr>
      </w:r>
    </w:p>
    <w:p w:rsidR="00000000" w:rsidDel="00000000" w:rsidP="00000000" w:rsidRDefault="00000000" w:rsidRPr="00000000" w14:paraId="0000003B">
      <w:pPr>
        <w:spacing w:line="240" w:lineRule="auto"/>
        <w:rPr/>
      </w:pPr>
      <w:r w:rsidDel="00000000" w:rsidR="00000000" w:rsidRPr="00000000">
        <w:rPr>
          <w:rtl w:val="0"/>
        </w:rPr>
      </w:r>
    </w:p>
    <w:p w:rsidR="00000000" w:rsidDel="00000000" w:rsidP="00000000" w:rsidRDefault="00000000" w:rsidRPr="00000000" w14:paraId="0000003C">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8 (AC 4.1)</w:t>
      </w:r>
    </w:p>
    <w:p w:rsidR="00000000" w:rsidDel="00000000" w:rsidP="00000000" w:rsidRDefault="00000000" w:rsidRPr="00000000" w14:paraId="0000003D">
      <w:pPr>
        <w:spacing w:line="240" w:lineRule="auto"/>
        <w:rPr>
          <w:color w:val="6d9eeb"/>
        </w:rPr>
      </w:pPr>
      <w:r w:rsidDel="00000000" w:rsidR="00000000" w:rsidRPr="00000000">
        <w:rPr>
          <w:rFonts w:ascii="Trebuchet MS" w:cs="Trebuchet MS" w:eastAsia="Trebuchet MS" w:hAnsi="Trebuchet MS"/>
          <w:b w:val="1"/>
          <w:rtl w:val="0"/>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w:t>
      </w:r>
      <w:r w:rsidDel="00000000" w:rsidR="00000000" w:rsidRPr="00000000">
        <w:rPr>
          <w:rFonts w:ascii="Trebuchet MS" w:cs="Trebuchet MS" w:eastAsia="Trebuchet MS" w:hAnsi="Trebuchet MS"/>
          <w:rtl w:val="0"/>
        </w:rPr>
        <w:t xml:space="preserve">   </w:t>
      </w:r>
      <w:r w:rsidDel="00000000" w:rsidR="00000000" w:rsidRPr="00000000">
        <w:rPr>
          <w:rtl w:val="0"/>
        </w:rPr>
      </w:r>
    </w:p>
    <w:p w:rsidR="00000000" w:rsidDel="00000000" w:rsidP="00000000" w:rsidRDefault="00000000" w:rsidRPr="00000000" w14:paraId="0000003E">
      <w:pPr>
        <w:spacing w:line="240" w:lineRule="auto"/>
        <w:rPr>
          <w:color w:val="6d9eeb"/>
        </w:rPr>
      </w:pPr>
      <w:r w:rsidDel="00000000" w:rsidR="00000000" w:rsidRPr="00000000">
        <w:rPr>
          <w:rtl w:val="0"/>
        </w:rPr>
      </w:r>
    </w:p>
    <w:p w:rsidR="00000000" w:rsidDel="00000000" w:rsidP="00000000" w:rsidRDefault="00000000" w:rsidRPr="00000000" w14:paraId="0000003F">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40">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9 (AC 4.2)</w:t>
      </w:r>
    </w:p>
    <w:p w:rsidR="00000000" w:rsidDel="00000000" w:rsidP="00000000" w:rsidRDefault="00000000" w:rsidRPr="00000000" w14:paraId="00000041">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rsidR="00000000" w:rsidDel="00000000" w:rsidP="00000000" w:rsidRDefault="00000000" w:rsidRPr="00000000" w14:paraId="00000042">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43">
      <w:pPr>
        <w:spacing w:line="240" w:lineRule="auto"/>
        <w:rPr/>
      </w:pPr>
      <w:r w:rsidDel="00000000" w:rsidR="00000000" w:rsidRPr="00000000">
        <w:rPr>
          <w:rtl w:val="0"/>
        </w:rPr>
        <w:t xml:space="preserve">By law after giving birth compulsory maternity leave in the UK is 2 weeks in a work setting and if the employee works in a factory setting then 4 weeks leave is compulsory. Once the compulsory leave phase has passed the employee can either take their Ordinary Maternity Leave (OML) or look at taking Shared Parental Leave. </w:t>
      </w:r>
    </w:p>
    <w:p w:rsidR="00000000" w:rsidDel="00000000" w:rsidP="00000000" w:rsidRDefault="00000000" w:rsidRPr="00000000" w14:paraId="00000044">
      <w:pPr>
        <w:spacing w:line="240" w:lineRule="auto"/>
        <w:rPr/>
      </w:pPr>
      <w:r w:rsidDel="00000000" w:rsidR="00000000" w:rsidRPr="00000000">
        <w:rPr>
          <w:rtl w:val="0"/>
        </w:rPr>
      </w:r>
    </w:p>
    <w:p w:rsidR="00000000" w:rsidDel="00000000" w:rsidP="00000000" w:rsidRDefault="00000000" w:rsidRPr="00000000" w14:paraId="00000045">
      <w:pPr>
        <w:spacing w:line="240" w:lineRule="auto"/>
        <w:rPr/>
      </w:pPr>
      <w:r w:rsidDel="00000000" w:rsidR="00000000" w:rsidRPr="00000000">
        <w:rPr>
          <w:rtl w:val="0"/>
        </w:rPr>
        <w:t xml:space="preserve">OML starts straight after the compulsory maternity leave and all pregnant women are entitled to take up to 26 weeks leave regardless of their service to the organisation and then there is also an option for Additional maternity leave to be taken which will finish after the OML giving up to 52 weeks leave, taking Maternity leave can only be given to the women who has given birth and pay may vary depending on length of service and to each individual organisation. </w:t>
      </w:r>
    </w:p>
    <w:p w:rsidR="00000000" w:rsidDel="00000000" w:rsidP="00000000" w:rsidRDefault="00000000" w:rsidRPr="00000000" w14:paraId="00000046">
      <w:pPr>
        <w:spacing w:line="240" w:lineRule="auto"/>
        <w:rPr/>
      </w:pPr>
      <w:r w:rsidDel="00000000" w:rsidR="00000000" w:rsidRPr="00000000">
        <w:rPr>
          <w:rtl w:val="0"/>
        </w:rPr>
      </w:r>
    </w:p>
    <w:p w:rsidR="00000000" w:rsidDel="00000000" w:rsidP="00000000" w:rsidRDefault="00000000" w:rsidRPr="00000000" w14:paraId="00000047">
      <w:pPr>
        <w:spacing w:line="240" w:lineRule="auto"/>
        <w:rPr/>
      </w:pPr>
      <w:r w:rsidDel="00000000" w:rsidR="00000000" w:rsidRPr="00000000">
        <w:rPr>
          <w:rtl w:val="0"/>
        </w:rPr>
        <w:t xml:space="preserve">Shared Parental leave (SPL) was introduced in 2014 by the shared parental leave regulations. This is where the leave can be shared with a partner once the compulsory leave has been taken which will give 50 weeks of shared leave that can be split. The SPL can be taken in a continuous period or discontinuous leave, continuous leave if one partner takes leave then the other takes leave after, this cannot be refused by the employer but discontinuous leave can be refused and advised the employee takes continuous leave instead. There are some requirements the employee needs to meet to be entitled to SPL such as length of service and pay criteria but if these are ment then SPL is available to the employee (Daniels, 2025). </w:t>
      </w:r>
    </w:p>
    <w:p w:rsidR="00000000" w:rsidDel="00000000" w:rsidP="00000000" w:rsidRDefault="00000000" w:rsidRPr="00000000" w14:paraId="00000048">
      <w:pPr>
        <w:spacing w:line="240" w:lineRule="auto"/>
        <w:rPr>
          <w:rFonts w:ascii="Trebuchet MS" w:cs="Trebuchet MS" w:eastAsia="Trebuchet MS" w:hAnsi="Trebuchet MS"/>
          <w:color w:val="6d9eeb"/>
        </w:rPr>
      </w:pPr>
      <w:r w:rsidDel="00000000" w:rsidR="00000000" w:rsidRPr="00000000">
        <w:rPr>
          <w:rtl w:val="0"/>
        </w:rPr>
      </w:r>
    </w:p>
    <w:p w:rsidR="00000000" w:rsidDel="00000000" w:rsidP="00000000" w:rsidRDefault="00000000" w:rsidRPr="00000000" w14:paraId="00000049">
      <w:pPr>
        <w:spacing w:line="240" w:lineRule="auto"/>
        <w:rPr>
          <w:rFonts w:ascii="Trebuchet MS" w:cs="Trebuchet MS" w:eastAsia="Trebuchet MS" w:hAnsi="Trebuchet MS"/>
          <w:color w:val="6d9eeb"/>
        </w:rPr>
      </w:pPr>
      <w:r w:rsidDel="00000000" w:rsidR="00000000" w:rsidRPr="00000000">
        <w:rPr>
          <w:rtl w:val="0"/>
        </w:rPr>
        <w:t xml:space="preserve">The choice of what the employee’s choice of leave she takes is solely down to her and what works best for her situation whether it be in her career or financially. It might be that one parent earns more than the other so they end their OML early and the lower earning parent stays home to care for the child or if the one parent is highly career driven and wants to return to work so they share the leave to suit their needs(ACAS, 2025). As long as the employee is clear with their intentions around leave and gives the correct amount of notice if leave were to change then the employer will meet the needs of the employee around shared parental leave. </w:t>
      </w:r>
      <w:r w:rsidDel="00000000" w:rsidR="00000000" w:rsidRPr="00000000">
        <w:rPr>
          <w:rFonts w:ascii="Trebuchet MS" w:cs="Trebuchet MS" w:eastAsia="Trebuchet MS" w:hAnsi="Trebuchet MS"/>
          <w:color w:val="6d9eeb"/>
          <w:rtl w:val="0"/>
        </w:rPr>
        <w:t xml:space="preserve"> </w:t>
      </w:r>
    </w:p>
    <w:p w:rsidR="00000000" w:rsidDel="00000000" w:rsidP="00000000" w:rsidRDefault="00000000" w:rsidRPr="00000000" w14:paraId="0000004A">
      <w:pPr>
        <w:spacing w:line="240" w:lineRule="auto"/>
        <w:rPr>
          <w:rFonts w:ascii="Trebuchet MS" w:cs="Trebuchet MS" w:eastAsia="Trebuchet MS" w:hAnsi="Trebuchet MS"/>
          <w:color w:val="6d9eeb"/>
        </w:rPr>
      </w:pPr>
      <w:r w:rsidDel="00000000" w:rsidR="00000000" w:rsidRPr="00000000">
        <w:rPr>
          <w:rtl w:val="0"/>
        </w:rPr>
      </w:r>
    </w:p>
    <w:p w:rsidR="00000000" w:rsidDel="00000000" w:rsidP="00000000" w:rsidRDefault="00000000" w:rsidRPr="00000000" w14:paraId="0000004B">
      <w:pPr>
        <w:spacing w:line="240" w:lineRule="auto"/>
        <w:rPr>
          <w:rFonts w:ascii="Trebuchet MS" w:cs="Trebuchet MS" w:eastAsia="Trebuchet MS" w:hAnsi="Trebuchet MS"/>
          <w:color w:val="6d9eeb"/>
        </w:rPr>
      </w:pPr>
      <w:r w:rsidDel="00000000" w:rsidR="00000000" w:rsidRPr="00000000">
        <w:rPr>
          <w:rtl w:val="0"/>
        </w:rPr>
      </w:r>
    </w:p>
    <w:p w:rsidR="00000000" w:rsidDel="00000000" w:rsidP="00000000" w:rsidRDefault="00000000" w:rsidRPr="00000000" w14:paraId="0000004C">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10 (AC 4.3)</w:t>
      </w:r>
    </w:p>
    <w:p w:rsidR="00000000" w:rsidDel="00000000" w:rsidP="00000000" w:rsidRDefault="00000000" w:rsidRPr="00000000" w14:paraId="0000004D">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rsidR="00000000" w:rsidDel="00000000" w:rsidP="00000000" w:rsidRDefault="00000000" w:rsidRPr="00000000" w14:paraId="0000004E">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4F">
      <w:pPr>
        <w:spacing w:line="240" w:lineRule="auto"/>
        <w:rPr>
          <w:rFonts w:ascii="Trebuchet MS" w:cs="Trebuchet MS" w:eastAsia="Trebuchet MS" w:hAnsi="Trebuchet MS"/>
          <w:color w:val="a4c2f4"/>
        </w:rPr>
      </w:pPr>
      <w:r w:rsidDel="00000000" w:rsidR="00000000" w:rsidRPr="00000000">
        <w:rPr>
          <w:rtl w:val="0"/>
        </w:rPr>
      </w:r>
    </w:p>
    <w:p w:rsidR="00000000" w:rsidDel="00000000" w:rsidP="00000000" w:rsidRDefault="00000000" w:rsidRPr="00000000" w14:paraId="00000050">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1">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2">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5">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6">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9">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C">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D">
      <w:pPr>
        <w:spacing w:line="240" w:lineRule="auto"/>
        <w:rPr/>
      </w:pPr>
      <w:r w:rsidDel="00000000" w:rsidR="00000000" w:rsidRPr="00000000">
        <w:rPr>
          <w:rtl w:val="0"/>
        </w:rPr>
      </w:r>
    </w:p>
    <w:p w:rsidR="00000000" w:rsidDel="00000000" w:rsidP="00000000" w:rsidRDefault="00000000" w:rsidRPr="00000000" w14:paraId="0000005E">
      <w:pPr>
        <w:spacing w:line="240" w:lineRule="auto"/>
        <w:rPr/>
      </w:pPr>
      <w:r w:rsidDel="00000000" w:rsidR="00000000" w:rsidRPr="00000000">
        <w:rPr>
          <w:rtl w:val="0"/>
        </w:rPr>
      </w:r>
    </w:p>
    <w:p w:rsidR="00000000" w:rsidDel="00000000" w:rsidP="00000000" w:rsidRDefault="00000000" w:rsidRPr="00000000" w14:paraId="0000005F">
      <w:pPr>
        <w:spacing w:line="240" w:lineRule="auto"/>
        <w:rPr/>
      </w:pPr>
      <w:r w:rsidDel="00000000" w:rsidR="00000000" w:rsidRPr="00000000">
        <w:rPr>
          <w:rtl w:val="0"/>
        </w:rPr>
      </w:r>
    </w:p>
    <w:p w:rsidR="00000000" w:rsidDel="00000000" w:rsidP="00000000" w:rsidRDefault="00000000" w:rsidRPr="00000000" w14:paraId="00000060">
      <w:pPr>
        <w:spacing w:line="240" w:lineRule="auto"/>
        <w:rPr/>
      </w:pPr>
      <w:r w:rsidDel="00000000" w:rsidR="00000000" w:rsidRPr="00000000">
        <w:rPr>
          <w:rtl w:val="0"/>
        </w:rPr>
      </w:r>
    </w:p>
    <w:p w:rsidR="00000000" w:rsidDel="00000000" w:rsidP="00000000" w:rsidRDefault="00000000" w:rsidRPr="00000000" w14:paraId="00000061">
      <w:pPr>
        <w:spacing w:line="240" w:lineRule="auto"/>
        <w:rPr/>
      </w:pPr>
      <w:r w:rsidDel="00000000" w:rsidR="00000000" w:rsidRPr="00000000">
        <w:rPr>
          <w:rtl w:val="0"/>
        </w:rPr>
      </w:r>
    </w:p>
    <w:p w:rsidR="00000000" w:rsidDel="00000000" w:rsidP="00000000" w:rsidRDefault="00000000" w:rsidRPr="00000000" w14:paraId="00000062">
      <w:pPr>
        <w:spacing w:line="240" w:lineRule="auto"/>
        <w:rPr/>
      </w:pPr>
      <w:r w:rsidDel="00000000" w:rsidR="00000000" w:rsidRPr="00000000">
        <w:rPr>
          <w:rtl w:val="0"/>
        </w:rPr>
      </w:r>
    </w:p>
    <w:p w:rsidR="00000000" w:rsidDel="00000000" w:rsidP="00000000" w:rsidRDefault="00000000" w:rsidRPr="00000000" w14:paraId="00000063">
      <w:pPr>
        <w:spacing w:line="240" w:lineRule="auto"/>
        <w:rPr/>
      </w:pPr>
      <w:r w:rsidDel="00000000" w:rsidR="00000000" w:rsidRPr="00000000">
        <w:rPr>
          <w:rtl w:val="0"/>
        </w:rPr>
      </w:r>
    </w:p>
    <w:p w:rsidR="00000000" w:rsidDel="00000000" w:rsidP="00000000" w:rsidRDefault="00000000" w:rsidRPr="00000000" w14:paraId="00000064">
      <w:pPr>
        <w:spacing w:line="240" w:lineRule="auto"/>
        <w:rPr/>
      </w:pPr>
      <w:r w:rsidDel="00000000" w:rsidR="00000000" w:rsidRPr="00000000">
        <w:rPr>
          <w:rtl w:val="0"/>
        </w:rPr>
      </w:r>
    </w:p>
    <w:p w:rsidR="00000000" w:rsidDel="00000000" w:rsidP="00000000" w:rsidRDefault="00000000" w:rsidRPr="00000000" w14:paraId="00000065">
      <w:pPr>
        <w:spacing w:line="240" w:lineRule="auto"/>
        <w:rPr/>
      </w:pPr>
      <w:r w:rsidDel="00000000" w:rsidR="00000000" w:rsidRPr="00000000">
        <w:rPr>
          <w:rtl w:val="0"/>
        </w:rPr>
        <w:t xml:space="preserve">Reference List </w:t>
      </w:r>
    </w:p>
    <w:p w:rsidR="00000000" w:rsidDel="00000000" w:rsidP="00000000" w:rsidRDefault="00000000" w:rsidRPr="00000000" w14:paraId="00000066">
      <w:pPr>
        <w:spacing w:line="240" w:lineRule="auto"/>
        <w:rPr/>
      </w:pPr>
      <w:r w:rsidDel="00000000" w:rsidR="00000000" w:rsidRPr="00000000">
        <w:rPr>
          <w:rtl w:val="0"/>
        </w:rPr>
      </w:r>
    </w:p>
    <w:p w:rsidR="00000000" w:rsidDel="00000000" w:rsidP="00000000" w:rsidRDefault="00000000" w:rsidRPr="00000000" w14:paraId="00000067">
      <w:pPr>
        <w:spacing w:line="240" w:lineRule="auto"/>
        <w:rPr/>
      </w:pPr>
      <w:r w:rsidDel="00000000" w:rsidR="00000000" w:rsidRPr="00000000">
        <w:rPr>
          <w:rtl w:val="0"/>
        </w:rPr>
        <w:t xml:space="preserve">ACAS (2024) </w:t>
      </w:r>
      <w:r w:rsidDel="00000000" w:rsidR="00000000" w:rsidRPr="00000000">
        <w:rPr>
          <w:i w:val="1"/>
          <w:rtl w:val="0"/>
        </w:rPr>
        <w:t xml:space="preserve">Employment tribunal time limits </w:t>
      </w:r>
      <w:r w:rsidDel="00000000" w:rsidR="00000000" w:rsidRPr="00000000">
        <w:rPr>
          <w:rtl w:val="0"/>
        </w:rPr>
        <w:t xml:space="preserve">Available at: </w:t>
      </w:r>
      <w:hyperlink r:id="rId6">
        <w:r w:rsidDel="00000000" w:rsidR="00000000" w:rsidRPr="00000000">
          <w:rPr>
            <w:color w:val="1155cc"/>
            <w:u w:val="single"/>
            <w:rtl w:val="0"/>
          </w:rPr>
          <w:t xml:space="preserve">https://www.acas.org.uk/employment-tribunal-time-limits</w:t>
        </w:r>
      </w:hyperlink>
      <w:r w:rsidDel="00000000" w:rsidR="00000000" w:rsidRPr="00000000">
        <w:rPr>
          <w:rtl w:val="0"/>
        </w:rPr>
        <w:t xml:space="preserve"> (Accessed on 3rd March 2025)</w:t>
      </w:r>
    </w:p>
    <w:p w:rsidR="00000000" w:rsidDel="00000000" w:rsidP="00000000" w:rsidRDefault="00000000" w:rsidRPr="00000000" w14:paraId="00000068">
      <w:pPr>
        <w:spacing w:line="240" w:lineRule="auto"/>
        <w:rPr/>
      </w:pPr>
      <w:r w:rsidDel="00000000" w:rsidR="00000000" w:rsidRPr="00000000">
        <w:rPr>
          <w:rtl w:val="0"/>
        </w:rPr>
      </w:r>
    </w:p>
    <w:p w:rsidR="00000000" w:rsidDel="00000000" w:rsidP="00000000" w:rsidRDefault="00000000" w:rsidRPr="00000000" w14:paraId="00000069">
      <w:pPr>
        <w:spacing w:line="240" w:lineRule="auto"/>
        <w:rPr/>
      </w:pPr>
      <w:r w:rsidDel="00000000" w:rsidR="00000000" w:rsidRPr="00000000">
        <w:rPr>
          <w:rtl w:val="0"/>
        </w:rPr>
        <w:t xml:space="preserve">ACAS (2024) </w:t>
      </w:r>
      <w:r w:rsidDel="00000000" w:rsidR="00000000" w:rsidRPr="00000000">
        <w:rPr>
          <w:i w:val="1"/>
          <w:rtl w:val="0"/>
        </w:rPr>
        <w:t xml:space="preserve">Equal pay and the the law </w:t>
      </w:r>
      <w:r w:rsidDel="00000000" w:rsidR="00000000" w:rsidRPr="00000000">
        <w:rPr>
          <w:rtl w:val="0"/>
        </w:rPr>
        <w:t xml:space="preserve">Available at: </w:t>
      </w:r>
      <w:hyperlink r:id="rId7">
        <w:r w:rsidDel="00000000" w:rsidR="00000000" w:rsidRPr="00000000">
          <w:rPr>
            <w:color w:val="1155cc"/>
            <w:u w:val="single"/>
            <w:rtl w:val="0"/>
          </w:rPr>
          <w:t xml:space="preserve">https://www.acas.org.uk/equal-pay/equal-pay-law#:~:text=This</w:t>
        </w:r>
      </w:hyperlink>
      <w:r w:rsidDel="00000000" w:rsidR="00000000" w:rsidRPr="00000000">
        <w:rPr>
          <w:rtl w:val="0"/>
        </w:rPr>
        <w:t xml:space="preserve"> (Accessed on March 1st 2025)</w:t>
      </w:r>
    </w:p>
    <w:p w:rsidR="00000000" w:rsidDel="00000000" w:rsidP="00000000" w:rsidRDefault="00000000" w:rsidRPr="00000000" w14:paraId="0000006A">
      <w:pPr>
        <w:spacing w:line="240" w:lineRule="auto"/>
        <w:rPr/>
      </w:pPr>
      <w:r w:rsidDel="00000000" w:rsidR="00000000" w:rsidRPr="00000000">
        <w:rPr>
          <w:rtl w:val="0"/>
        </w:rPr>
      </w:r>
    </w:p>
    <w:p w:rsidR="00000000" w:rsidDel="00000000" w:rsidP="00000000" w:rsidRDefault="00000000" w:rsidRPr="00000000" w14:paraId="0000006B">
      <w:pPr>
        <w:spacing w:line="240" w:lineRule="auto"/>
        <w:rPr/>
      </w:pPr>
      <w:r w:rsidDel="00000000" w:rsidR="00000000" w:rsidRPr="00000000">
        <w:rPr>
          <w:rtl w:val="0"/>
        </w:rPr>
        <w:t xml:space="preserve">ACAS (2025) </w:t>
      </w:r>
      <w:r w:rsidDel="00000000" w:rsidR="00000000" w:rsidRPr="00000000">
        <w:rPr>
          <w:i w:val="1"/>
          <w:rtl w:val="0"/>
        </w:rPr>
        <w:t xml:space="preserve">Managing staff redundancies </w:t>
      </w:r>
      <w:r w:rsidDel="00000000" w:rsidR="00000000" w:rsidRPr="00000000">
        <w:rPr>
          <w:rtl w:val="0"/>
        </w:rPr>
        <w:t xml:space="preserve">Available at: </w:t>
      </w:r>
      <w:hyperlink r:id="rId8">
        <w:r w:rsidDel="00000000" w:rsidR="00000000" w:rsidRPr="00000000">
          <w:rPr>
            <w:color w:val="1155cc"/>
            <w:u w:val="single"/>
            <w:rtl w:val="0"/>
          </w:rPr>
          <w:t xml:space="preserve">https://www.acas.org.uk/manage-staff-redundancies/give-employees-notice-of-redundancy</w:t>
        </w:r>
      </w:hyperlink>
      <w:r w:rsidDel="00000000" w:rsidR="00000000" w:rsidRPr="00000000">
        <w:rPr>
          <w:rtl w:val="0"/>
        </w:rPr>
        <w:t xml:space="preserve"> (Accessed on March 7th 2025) </w:t>
      </w:r>
    </w:p>
    <w:p w:rsidR="00000000" w:rsidDel="00000000" w:rsidP="00000000" w:rsidRDefault="00000000" w:rsidRPr="00000000" w14:paraId="0000006C">
      <w:pPr>
        <w:spacing w:line="240" w:lineRule="auto"/>
        <w:rPr/>
      </w:pPr>
      <w:r w:rsidDel="00000000" w:rsidR="00000000" w:rsidRPr="00000000">
        <w:rPr>
          <w:rtl w:val="0"/>
        </w:rPr>
      </w:r>
    </w:p>
    <w:p w:rsidR="00000000" w:rsidDel="00000000" w:rsidP="00000000" w:rsidRDefault="00000000" w:rsidRPr="00000000" w14:paraId="0000006D">
      <w:pPr>
        <w:spacing w:line="240" w:lineRule="auto"/>
        <w:rPr/>
      </w:pPr>
      <w:r w:rsidDel="00000000" w:rsidR="00000000" w:rsidRPr="00000000">
        <w:rPr>
          <w:rtl w:val="0"/>
        </w:rPr>
        <w:t xml:space="preserve">ACAS (2025) </w:t>
      </w:r>
      <w:r w:rsidDel="00000000" w:rsidR="00000000" w:rsidRPr="00000000">
        <w:rPr>
          <w:i w:val="1"/>
          <w:rtl w:val="0"/>
        </w:rPr>
        <w:t xml:space="preserve">Shared parental leave and pay </w:t>
      </w:r>
      <w:r w:rsidDel="00000000" w:rsidR="00000000" w:rsidRPr="00000000">
        <w:rPr>
          <w:rtl w:val="0"/>
        </w:rPr>
        <w:t xml:space="preserve">Available at: </w:t>
      </w:r>
      <w:hyperlink r:id="rId9">
        <w:r w:rsidDel="00000000" w:rsidR="00000000" w:rsidRPr="00000000">
          <w:rPr>
            <w:color w:val="1155cc"/>
            <w:u w:val="single"/>
            <w:rtl w:val="0"/>
          </w:rPr>
          <w:t xml:space="preserve">https://www.acas.org.uk/shared-parental-leave-and-pay/when-an-employee-is-on-shared-parental-leave</w:t>
        </w:r>
      </w:hyperlink>
      <w:r w:rsidDel="00000000" w:rsidR="00000000" w:rsidRPr="00000000">
        <w:rPr>
          <w:rtl w:val="0"/>
        </w:rPr>
        <w:t xml:space="preserve"> (Accessed on March 4th 2025) </w:t>
      </w:r>
    </w:p>
    <w:p w:rsidR="00000000" w:rsidDel="00000000" w:rsidP="00000000" w:rsidRDefault="00000000" w:rsidRPr="00000000" w14:paraId="0000006E">
      <w:pPr>
        <w:spacing w:line="240" w:lineRule="auto"/>
        <w:rPr/>
      </w:pPr>
      <w:r w:rsidDel="00000000" w:rsidR="00000000" w:rsidRPr="00000000">
        <w:rPr>
          <w:rtl w:val="0"/>
        </w:rPr>
      </w:r>
    </w:p>
    <w:p w:rsidR="00000000" w:rsidDel="00000000" w:rsidP="00000000" w:rsidRDefault="00000000" w:rsidRPr="00000000" w14:paraId="0000006F">
      <w:pPr>
        <w:spacing w:line="240" w:lineRule="auto"/>
        <w:rPr/>
      </w:pPr>
      <w:r w:rsidDel="00000000" w:rsidR="00000000" w:rsidRPr="00000000">
        <w:rPr>
          <w:rtl w:val="0"/>
        </w:rPr>
        <w:t xml:space="preserve">ACAS (2014) </w:t>
      </w:r>
      <w:r w:rsidDel="00000000" w:rsidR="00000000" w:rsidRPr="00000000">
        <w:rPr>
          <w:i w:val="1"/>
          <w:rtl w:val="0"/>
        </w:rPr>
        <w:t xml:space="preserve">Trade Union Representation in the workplace </w:t>
      </w:r>
      <w:r w:rsidDel="00000000" w:rsidR="00000000" w:rsidRPr="00000000">
        <w:rPr>
          <w:rtl w:val="0"/>
        </w:rPr>
        <w:t xml:space="preserve">Available at: </w:t>
      </w:r>
      <w:hyperlink r:id="rId10">
        <w:r w:rsidDel="00000000" w:rsidR="00000000" w:rsidRPr="00000000">
          <w:rPr>
            <w:color w:val="1155cc"/>
            <w:u w:val="single"/>
            <w:rtl w:val="0"/>
          </w:rPr>
          <w:t xml:space="preserve">https://www.acas.org.uk/acas-guides-on-trade-union-and-employee-representation</w:t>
        </w:r>
      </w:hyperlink>
      <w:r w:rsidDel="00000000" w:rsidR="00000000" w:rsidRPr="00000000">
        <w:rPr>
          <w:rtl w:val="0"/>
        </w:rPr>
        <w:t xml:space="preserve"> (Accessed on 15th March 2025)</w:t>
      </w:r>
    </w:p>
    <w:p w:rsidR="00000000" w:rsidDel="00000000" w:rsidP="00000000" w:rsidRDefault="00000000" w:rsidRPr="00000000" w14:paraId="00000070">
      <w:pPr>
        <w:spacing w:line="240" w:lineRule="auto"/>
        <w:rPr/>
      </w:pPr>
      <w:r w:rsidDel="00000000" w:rsidR="00000000" w:rsidRPr="00000000">
        <w:rPr>
          <w:rtl w:val="0"/>
        </w:rPr>
      </w:r>
    </w:p>
    <w:p w:rsidR="00000000" w:rsidDel="00000000" w:rsidP="00000000" w:rsidRDefault="00000000" w:rsidRPr="00000000" w14:paraId="00000071">
      <w:pPr>
        <w:spacing w:line="240" w:lineRule="auto"/>
        <w:rPr/>
      </w:pPr>
      <w:r w:rsidDel="00000000" w:rsidR="00000000" w:rsidRPr="00000000">
        <w:rPr>
          <w:rtl w:val="0"/>
        </w:rPr>
        <w:t xml:space="preserve">CIPD (2024) </w:t>
      </w:r>
      <w:r w:rsidDel="00000000" w:rsidR="00000000" w:rsidRPr="00000000">
        <w:rPr>
          <w:i w:val="1"/>
          <w:rtl w:val="0"/>
        </w:rPr>
        <w:t xml:space="preserve">TUPE Transfers: Guide for people professionals </w:t>
      </w:r>
      <w:r w:rsidDel="00000000" w:rsidR="00000000" w:rsidRPr="00000000">
        <w:rPr>
          <w:rtl w:val="0"/>
        </w:rPr>
        <w:t xml:space="preserve">Available at: </w:t>
      </w:r>
      <w:hyperlink r:id="rId11">
        <w:r w:rsidDel="00000000" w:rsidR="00000000" w:rsidRPr="00000000">
          <w:rPr>
            <w:color w:val="1155cc"/>
            <w:u w:val="single"/>
            <w:rtl w:val="0"/>
          </w:rPr>
          <w:t xml:space="preserve">https://www.cipd.org/uk/knowledge/guides/tupe-guide/#how-to-decide-if-you-are-dealing-with-a-tupe-transfer</w:t>
        </w:r>
      </w:hyperlink>
      <w:r w:rsidDel="00000000" w:rsidR="00000000" w:rsidRPr="00000000">
        <w:rPr>
          <w:rtl w:val="0"/>
        </w:rPr>
        <w:t xml:space="preserve"> (Accessed on 3rd March 2025)</w:t>
      </w:r>
    </w:p>
    <w:p w:rsidR="00000000" w:rsidDel="00000000" w:rsidP="00000000" w:rsidRDefault="00000000" w:rsidRPr="00000000" w14:paraId="00000072">
      <w:pPr>
        <w:spacing w:line="240" w:lineRule="auto"/>
        <w:rPr/>
      </w:pPr>
      <w:r w:rsidDel="00000000" w:rsidR="00000000" w:rsidRPr="00000000">
        <w:rPr>
          <w:rtl w:val="0"/>
        </w:rPr>
      </w:r>
    </w:p>
    <w:p w:rsidR="00000000" w:rsidDel="00000000" w:rsidP="00000000" w:rsidRDefault="00000000" w:rsidRPr="00000000" w14:paraId="00000073">
      <w:pPr>
        <w:spacing w:line="240" w:lineRule="auto"/>
        <w:rPr/>
      </w:pPr>
      <w:r w:rsidDel="00000000" w:rsidR="00000000" w:rsidRPr="00000000">
        <w:rPr>
          <w:rtl w:val="0"/>
        </w:rPr>
        <w:t xml:space="preserve">CIPD, 2024 </w:t>
      </w:r>
      <w:r w:rsidDel="00000000" w:rsidR="00000000" w:rsidRPr="00000000">
        <w:rPr>
          <w:i w:val="1"/>
          <w:rtl w:val="0"/>
        </w:rPr>
        <w:t xml:space="preserve">UK Employment Law and the UK </w:t>
      </w:r>
      <w:r w:rsidDel="00000000" w:rsidR="00000000" w:rsidRPr="00000000">
        <w:rPr>
          <w:rtl w:val="0"/>
        </w:rPr>
        <w:t xml:space="preserve">Available at: </w:t>
      </w:r>
      <w:hyperlink r:id="rId12">
        <w:r w:rsidDel="00000000" w:rsidR="00000000" w:rsidRPr="00000000">
          <w:rPr>
            <w:color w:val="1155cc"/>
            <w:u w:val="single"/>
            <w:rtl w:val="0"/>
          </w:rPr>
          <w:t xml:space="preserve">https://www.cipd.org/uk/knowledge/employment-law/uk-employment-law-eu/</w:t>
        </w:r>
      </w:hyperlink>
      <w:r w:rsidDel="00000000" w:rsidR="00000000" w:rsidRPr="00000000">
        <w:rPr>
          <w:rtl w:val="0"/>
        </w:rPr>
        <w:t xml:space="preserve"> (Accessed on March 1st 2025)</w:t>
      </w:r>
    </w:p>
    <w:p w:rsidR="00000000" w:rsidDel="00000000" w:rsidP="00000000" w:rsidRDefault="00000000" w:rsidRPr="00000000" w14:paraId="00000074">
      <w:pPr>
        <w:spacing w:line="240" w:lineRule="auto"/>
        <w:rPr/>
      </w:pPr>
      <w:r w:rsidDel="00000000" w:rsidR="00000000" w:rsidRPr="00000000">
        <w:rPr>
          <w:rtl w:val="0"/>
        </w:rPr>
      </w:r>
    </w:p>
    <w:p w:rsidR="00000000" w:rsidDel="00000000" w:rsidP="00000000" w:rsidRDefault="00000000" w:rsidRPr="00000000" w14:paraId="00000075">
      <w:pPr>
        <w:spacing w:line="240" w:lineRule="auto"/>
        <w:rPr/>
      </w:pPr>
      <w:r w:rsidDel="00000000" w:rsidR="00000000" w:rsidRPr="00000000">
        <w:rPr>
          <w:rtl w:val="0"/>
        </w:rPr>
        <w:t xml:space="preserve">Equality Act 2010 </w:t>
      </w:r>
      <w:hyperlink r:id="rId13">
        <w:r w:rsidDel="00000000" w:rsidR="00000000" w:rsidRPr="00000000">
          <w:rPr>
            <w:color w:val="1155cc"/>
            <w:u w:val="single"/>
            <w:rtl w:val="0"/>
          </w:rPr>
          <w:t xml:space="preserve">https://www.legislation.gov.uk/ukpga/2010/15/part/2/chapter/1</w:t>
        </w:r>
      </w:hyperlink>
      <w:r w:rsidDel="00000000" w:rsidR="00000000" w:rsidRPr="00000000">
        <w:rPr>
          <w:rtl w:val="0"/>
        </w:rPr>
      </w:r>
    </w:p>
    <w:p w:rsidR="00000000" w:rsidDel="00000000" w:rsidP="00000000" w:rsidRDefault="00000000" w:rsidRPr="00000000" w14:paraId="00000076">
      <w:pPr>
        <w:spacing w:line="240" w:lineRule="auto"/>
        <w:rPr/>
      </w:pPr>
      <w:r w:rsidDel="00000000" w:rsidR="00000000" w:rsidRPr="00000000">
        <w:rPr>
          <w:rtl w:val="0"/>
        </w:rPr>
      </w:r>
    </w:p>
    <w:p w:rsidR="00000000" w:rsidDel="00000000" w:rsidP="00000000" w:rsidRDefault="00000000" w:rsidRPr="00000000" w14:paraId="00000077">
      <w:pPr>
        <w:spacing w:line="240" w:lineRule="auto"/>
        <w:rPr/>
      </w:pPr>
      <w:r w:rsidDel="00000000" w:rsidR="00000000" w:rsidRPr="00000000">
        <w:rPr>
          <w:rtl w:val="0"/>
        </w:rPr>
        <w:t xml:space="preserve">Daniels,K (2025) </w:t>
      </w:r>
      <w:r w:rsidDel="00000000" w:rsidR="00000000" w:rsidRPr="00000000">
        <w:rPr>
          <w:i w:val="1"/>
          <w:rtl w:val="0"/>
        </w:rPr>
        <w:t xml:space="preserve">Introduction to Employment Law Fundamentals for HR and Business Students</w:t>
      </w:r>
      <w:r w:rsidDel="00000000" w:rsidR="00000000" w:rsidRPr="00000000">
        <w:rPr>
          <w:rtl w:val="0"/>
        </w:rPr>
        <w:t xml:space="preserve"> (7th ed) London:KoganPage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org/uk/knowledge/guides/tupe-guide/#how-to-decide-if-you-are-dealing-with-a-tupe-transfer" TargetMode="External"/><Relationship Id="rId10" Type="http://schemas.openxmlformats.org/officeDocument/2006/relationships/hyperlink" Target="https://www.acas.org.uk/acas-guides-on-trade-union-and-employee-representation" TargetMode="External"/><Relationship Id="rId13" Type="http://schemas.openxmlformats.org/officeDocument/2006/relationships/hyperlink" Target="https://www.legislation.gov.uk/ukpga/2010/15/part/2/chapter/1" TargetMode="External"/><Relationship Id="rId12" Type="http://schemas.openxmlformats.org/officeDocument/2006/relationships/hyperlink" Target="https://www.cipd.org/uk/knowledge/employment-law/uk-employment-law-eu/"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shared-parental-leave-and-pay/when-an-employee-is-on-shared-parental-leave" TargetMode="External"/><Relationship Id="rId5" Type="http://schemas.openxmlformats.org/officeDocument/2006/relationships/styles" Target="styles.xml"/><Relationship Id="rId6" Type="http://schemas.openxmlformats.org/officeDocument/2006/relationships/hyperlink" Target="https://www.acas.org.uk/employment-tribunal-time-limits" TargetMode="External"/><Relationship Id="rId7" Type="http://schemas.openxmlformats.org/officeDocument/2006/relationships/hyperlink" Target="https://www.acas.org.uk/equal-pay/equal-pay-law#:~:text=This" TargetMode="External"/><Relationship Id="rId8" Type="http://schemas.openxmlformats.org/officeDocument/2006/relationships/hyperlink" Target="https://www.acas.org.uk/manage-staff-redundancies/give-employees-notice-of-redunda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