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before="120" w:after="120"/>
        <w:jc w:val="center"/>
        <w:rPr>
          <w:rFonts w:ascii="Arial" w:cs="Arial" w:hAnsi="Arial" w:eastAsia="Arial"/>
          <w:b w:val="1"/>
          <w:bCs w:val="1"/>
          <w:sz w:val="64"/>
          <w:szCs w:val="64"/>
          <w:u w:color="000000"/>
        </w:rPr>
      </w:pPr>
      <w:r>
        <w:rPr>
          <w:rFonts w:ascii="Arial" w:hAnsi="Arial"/>
          <w:b w:val="1"/>
          <w:bCs w:val="1"/>
          <w:sz w:val="64"/>
          <w:szCs w:val="64"/>
          <w:u w:color="000000"/>
          <w:rtl w:val="0"/>
          <w:lang w:val="en-US"/>
        </w:rPr>
        <w:t xml:space="preserve">Evidence-Based Practice </w:t>
      </w:r>
      <w:r>
        <w:rPr>
          <w:rFonts w:ascii="Arial" w:hAnsi="Arial" w:hint="default"/>
          <w:b w:val="1"/>
          <w:bCs w:val="1"/>
          <w:sz w:val="64"/>
          <w:szCs w:val="64"/>
          <w:u w:color="000000"/>
          <w:rtl w:val="0"/>
          <w:lang w:val="en-US"/>
        </w:rPr>
        <w:t xml:space="preserve">– </w:t>
      </w:r>
      <w:r>
        <w:rPr>
          <w:rFonts w:ascii="Arial" w:hAnsi="Arial"/>
          <w:b w:val="1"/>
          <w:bCs w:val="1"/>
          <w:sz w:val="64"/>
          <w:szCs w:val="64"/>
          <w:u w:color="000000"/>
          <w:rtl w:val="0"/>
          <w:lang w:val="en-US"/>
        </w:rPr>
        <w:t>Digital Revolution</w:t>
      </w:r>
    </w:p>
    <w:p>
      <w:pPr>
        <w:pStyle w:val="Body A"/>
        <w:jc w:val="center"/>
        <w:rPr>
          <w:rFonts w:ascii="Arial" w:cs="Arial" w:hAnsi="Arial" w:eastAsia="Arial"/>
          <w:b w:val="1"/>
          <w:bCs w:val="1"/>
          <w:outline w:val="0"/>
          <w:color w:val="5e5e5e"/>
          <w:sz w:val="68"/>
          <w:szCs w:val="68"/>
          <w:u w:color="5e5e5e"/>
          <w14:textFill>
            <w14:solidFill>
              <w14:srgbClr w14:val="5E5E5E"/>
            </w14:solidFill>
          </w14:textFill>
        </w:rPr>
      </w:pPr>
    </w:p>
    <w:p>
      <w:pPr>
        <w:pStyle w:val="Body A"/>
        <w:jc w:val="center"/>
        <w:rPr>
          <w:rFonts w:ascii="Arial" w:cs="Arial" w:hAnsi="Arial" w:eastAsia="Arial"/>
          <w:b w:val="1"/>
          <w:bCs w:val="1"/>
          <w:outline w:val="0"/>
          <w:color w:val="5e5e5e"/>
          <w:sz w:val="52"/>
          <w:szCs w:val="52"/>
          <w:u w:color="5e5e5e"/>
          <w14:textFill>
            <w14:solidFill>
              <w14:srgbClr w14:val="5E5E5E"/>
            </w14:solidFill>
          </w14:textFill>
        </w:rPr>
      </w:pPr>
      <w:r>
        <w:rPr>
          <w:rFonts w:ascii="Arial" w:hAnsi="Arial"/>
          <w:b w:val="1"/>
          <w:bCs w:val="1"/>
          <w:outline w:val="0"/>
          <w:color w:val="5e5e5e"/>
          <w:sz w:val="52"/>
          <w:szCs w:val="52"/>
          <w:u w:color="5e5e5e"/>
          <w:rtl w:val="0"/>
          <w:lang w:val="en-US"/>
          <w14:textFill>
            <w14:solidFill>
              <w14:srgbClr w14:val="5E5E5E"/>
            </w14:solidFill>
          </w14:textFill>
        </w:rPr>
        <w:t>Is Your Patient Deteriorating!</w:t>
      </w:r>
      <w:r>
        <w:rPr>
          <w:rFonts w:ascii="Arial" w:cs="Arial" w:hAnsi="Arial" w:eastAsia="Arial"/>
          <w:b w:val="1"/>
          <w:bCs w:val="1"/>
          <w:outline w:val="0"/>
          <w:color w:val="5e5e5e"/>
          <w:sz w:val="52"/>
          <w:szCs w:val="52"/>
          <w:u w:color="5e5e5e"/>
          <w14:textFill>
            <w14:solidFill>
              <w14:srgbClr w14:val="5E5E5E"/>
            </w14:solidFill>
          </w14:textFill>
        </w:rPr>
        <w:drawing>
          <wp:anchor distT="152400" distB="152400" distL="152400" distR="152400" simplePos="0" relativeHeight="251659264" behindDoc="0" locked="0" layoutInCell="1" allowOverlap="1">
            <wp:simplePos x="0" y="0"/>
            <wp:positionH relativeFrom="page">
              <wp:posOffset>193627</wp:posOffset>
            </wp:positionH>
            <wp:positionV relativeFrom="line">
              <wp:posOffset>942851</wp:posOffset>
            </wp:positionV>
            <wp:extent cx="5062891" cy="4544049"/>
            <wp:effectExtent l="387013" t="441279" r="387013" b="441279"/>
            <wp:wrapThrough wrapText="bothSides" distL="152400" distR="152400">
              <wp:wrapPolygon edited="1">
                <wp:start x="0" y="0"/>
                <wp:lineTo x="21600" y="0"/>
                <wp:lineTo x="21600" y="21600"/>
                <wp:lineTo x="0" y="21600"/>
                <wp:lineTo x="0" y="0"/>
              </wp:wrapPolygon>
            </wp:wrapThrough>
            <wp:docPr id="1073741825" name="officeArt object" descr="Screenshot 2021-03-25 at 16.32.22.png"/>
            <wp:cNvGraphicFramePr/>
            <a:graphic xmlns:a="http://schemas.openxmlformats.org/drawingml/2006/main">
              <a:graphicData uri="http://schemas.openxmlformats.org/drawingml/2006/picture">
                <pic:pic xmlns:pic="http://schemas.openxmlformats.org/drawingml/2006/picture">
                  <pic:nvPicPr>
                    <pic:cNvPr id="1073741825" name="Screenshot 2021-03-25 at 16.32.22.png" descr="Screenshot 2021-03-25 at 16.32.22.png"/>
                    <pic:cNvPicPr>
                      <a:picLocks noChangeAspect="1"/>
                    </pic:cNvPicPr>
                  </pic:nvPicPr>
                  <pic:blipFill>
                    <a:blip r:embed="rId4">
                      <a:extLst/>
                    </a:blip>
                    <a:stretch>
                      <a:fillRect/>
                    </a:stretch>
                  </pic:blipFill>
                  <pic:spPr>
                    <a:xfrm rot="20940000">
                      <a:off x="0" y="0"/>
                      <a:ext cx="5062891" cy="4544049"/>
                    </a:xfrm>
                    <a:prstGeom prst="rect">
                      <a:avLst/>
                    </a:prstGeom>
                    <a:ln w="12700" cap="flat">
                      <a:noFill/>
                      <a:miter lim="400000"/>
                    </a:ln>
                    <a:effectLst/>
                  </pic:spPr>
                </pic:pic>
              </a:graphicData>
            </a:graphic>
          </wp:anchor>
        </w:drawing>
      </w:r>
    </w:p>
    <w:p>
      <w:pPr>
        <w:pStyle w:val="Body A"/>
        <w:rPr>
          <w:rFonts w:ascii="Arial" w:cs="Arial" w:hAnsi="Arial" w:eastAsia="Arial"/>
          <w:sz w:val="24"/>
          <w:szCs w:val="24"/>
        </w:rPr>
      </w:pPr>
      <w:r>
        <w:rPr>
          <w:rFonts w:ascii="Arial" w:cs="Arial" w:hAnsi="Arial" w:eastAsia="Arial"/>
          <w:sz w:val="24"/>
          <w:szCs w:val="24"/>
        </w:rPr>
        <w:drawing>
          <wp:anchor distT="152400" distB="152400" distL="152400" distR="152400" simplePos="0" relativeHeight="251660288" behindDoc="0" locked="0" layoutInCell="1" allowOverlap="1">
            <wp:simplePos x="0" y="0"/>
            <wp:positionH relativeFrom="page">
              <wp:posOffset>1320016</wp:posOffset>
            </wp:positionH>
            <wp:positionV relativeFrom="line">
              <wp:posOffset>551809</wp:posOffset>
            </wp:positionV>
            <wp:extent cx="5234598" cy="4901814"/>
            <wp:effectExtent l="279182" t="300700" r="279182" b="300700"/>
            <wp:wrapThrough wrapText="bothSides" distL="152400" distR="152400">
              <wp:wrapPolygon edited="1">
                <wp:start x="0" y="0"/>
                <wp:lineTo x="21600" y="0"/>
                <wp:lineTo x="21600" y="21600"/>
                <wp:lineTo x="0" y="21600"/>
                <wp:lineTo x="0" y="0"/>
              </wp:wrapPolygon>
            </wp:wrapThrough>
            <wp:docPr id="1073741826" name="officeArt object" descr="Screenshot 2021-03-25 at 16.33.08.png"/>
            <wp:cNvGraphicFramePr/>
            <a:graphic xmlns:a="http://schemas.openxmlformats.org/drawingml/2006/main">
              <a:graphicData uri="http://schemas.openxmlformats.org/drawingml/2006/picture">
                <pic:pic xmlns:pic="http://schemas.openxmlformats.org/drawingml/2006/picture">
                  <pic:nvPicPr>
                    <pic:cNvPr id="1073741826" name="Screenshot 2021-03-25 at 16.33.08.png" descr="Screenshot 2021-03-25 at 16.33.08.png"/>
                    <pic:cNvPicPr>
                      <a:picLocks noChangeAspect="1"/>
                    </pic:cNvPicPr>
                  </pic:nvPicPr>
                  <pic:blipFill>
                    <a:blip r:embed="rId5">
                      <a:extLst/>
                    </a:blip>
                    <a:stretch>
                      <a:fillRect/>
                    </a:stretch>
                  </pic:blipFill>
                  <pic:spPr>
                    <a:xfrm rot="21180000">
                      <a:off x="0" y="0"/>
                      <a:ext cx="5234598" cy="4901814"/>
                    </a:xfrm>
                    <a:prstGeom prst="rect">
                      <a:avLst/>
                    </a:prstGeom>
                    <a:ln w="12700" cap="flat">
                      <a:noFill/>
                      <a:miter lim="400000"/>
                    </a:ln>
                    <a:effectLst/>
                  </pic:spPr>
                </pic:pic>
              </a:graphicData>
            </a:graphic>
          </wp:anchor>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sz w:val="24"/>
          <w:szCs w:val="24"/>
        </w:rPr>
        <w:drawing>
          <wp:anchor distT="152400" distB="152400" distL="152400" distR="152400" simplePos="0" relativeHeight="251661312" behindDoc="0" locked="0" layoutInCell="1" allowOverlap="1">
            <wp:simplePos x="0" y="0"/>
            <wp:positionH relativeFrom="page">
              <wp:posOffset>3749830</wp:posOffset>
            </wp:positionH>
            <wp:positionV relativeFrom="line">
              <wp:posOffset>345826</wp:posOffset>
            </wp:positionV>
            <wp:extent cx="4502699" cy="4670710"/>
            <wp:effectExtent l="157422" t="151357" r="157422" b="151357"/>
            <wp:wrapThrough wrapText="bothSides" distL="152400" distR="152400">
              <wp:wrapPolygon edited="1">
                <wp:start x="0" y="0"/>
                <wp:lineTo x="21600" y="0"/>
                <wp:lineTo x="21600" y="21600"/>
                <wp:lineTo x="0" y="21600"/>
                <wp:lineTo x="0" y="0"/>
              </wp:wrapPolygon>
            </wp:wrapThrough>
            <wp:docPr id="1073741827" name="officeArt object" descr="Screenshot 2021-03-25 at 16.33.27.png"/>
            <wp:cNvGraphicFramePr/>
            <a:graphic xmlns:a="http://schemas.openxmlformats.org/drawingml/2006/main">
              <a:graphicData uri="http://schemas.openxmlformats.org/drawingml/2006/picture">
                <pic:pic xmlns:pic="http://schemas.openxmlformats.org/drawingml/2006/picture">
                  <pic:nvPicPr>
                    <pic:cNvPr id="1073741827" name="Screenshot 2021-03-25 at 16.33.27.png" descr="Screenshot 2021-03-25 at 16.33.27.png"/>
                    <pic:cNvPicPr>
                      <a:picLocks noChangeAspect="1"/>
                    </pic:cNvPicPr>
                  </pic:nvPicPr>
                  <pic:blipFill>
                    <a:blip r:embed="rId6">
                      <a:extLst/>
                    </a:blip>
                    <a:stretch>
                      <a:fillRect/>
                    </a:stretch>
                  </pic:blipFill>
                  <pic:spPr>
                    <a:xfrm rot="21360000">
                      <a:off x="0" y="0"/>
                      <a:ext cx="4502699" cy="4670710"/>
                    </a:xfrm>
                    <a:prstGeom prst="rect">
                      <a:avLst/>
                    </a:prstGeom>
                    <a:ln w="12700" cap="flat">
                      <a:noFill/>
                      <a:miter lim="400000"/>
                    </a:ln>
                    <a:effectLst/>
                  </pic:spPr>
                </pic:pic>
              </a:graphicData>
            </a:graphic>
          </wp:anchor>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jc w:val="right"/>
        <w:rPr>
          <w:rFonts w:ascii="Arial" w:cs="Arial" w:hAnsi="Arial" w:eastAsia="Arial"/>
          <w:b w:val="1"/>
          <w:bCs w:val="1"/>
          <w:outline w:val="0"/>
          <w:color w:val="5e5e5e"/>
          <w:sz w:val="24"/>
          <w:szCs w:val="24"/>
          <w:u w:color="5e5e5e"/>
          <w14:textFill>
            <w14:solidFill>
              <w14:srgbClr w14:val="5E5E5E"/>
            </w14:solidFill>
          </w14:textFill>
        </w:rPr>
      </w:pPr>
      <w:r>
        <w:rPr>
          <w:rFonts w:ascii="Arial" w:hAnsi="Arial"/>
          <w:b w:val="1"/>
          <w:bCs w:val="1"/>
          <w:outline w:val="0"/>
          <w:color w:val="5e5e5e"/>
          <w:sz w:val="24"/>
          <w:szCs w:val="24"/>
          <w:u w:color="5e5e5e"/>
          <w:rtl w:val="0"/>
          <w:lang w:val="en-US"/>
          <w14:textFill>
            <w14:solidFill>
              <w14:srgbClr w14:val="5E5E5E"/>
            </w14:solidFill>
          </w14:textFill>
        </w:rPr>
        <w:t>Student Name: Mark Littlejohns</w:t>
      </w:r>
    </w:p>
    <w:p>
      <w:pPr>
        <w:pStyle w:val="Body A"/>
        <w:jc w:val="right"/>
        <w:rPr>
          <w:rFonts w:ascii="Arial" w:cs="Arial" w:hAnsi="Arial" w:eastAsia="Arial"/>
          <w:b w:val="1"/>
          <w:bCs w:val="1"/>
          <w:outline w:val="0"/>
          <w:color w:val="5e5e5e"/>
          <w:sz w:val="24"/>
          <w:szCs w:val="24"/>
          <w:u w:color="5e5e5e"/>
          <w14:textFill>
            <w14:solidFill>
              <w14:srgbClr w14:val="5E5E5E"/>
            </w14:solidFill>
          </w14:textFill>
        </w:rPr>
      </w:pPr>
      <w:r>
        <w:rPr>
          <w:rFonts w:ascii="Arial" w:hAnsi="Arial"/>
          <w:b w:val="1"/>
          <w:bCs w:val="1"/>
          <w:outline w:val="0"/>
          <w:color w:val="5e5e5e"/>
          <w:sz w:val="24"/>
          <w:szCs w:val="24"/>
          <w:u w:color="5e5e5e"/>
          <w:rtl w:val="0"/>
          <w:lang w:val="en-US"/>
          <w14:textFill>
            <w14:solidFill>
              <w14:srgbClr w14:val="5E5E5E"/>
            </w14:solidFill>
          </w14:textFill>
        </w:rPr>
        <w:t>Student Number: 2011027</w:t>
      </w:r>
    </w:p>
    <w:p>
      <w:pPr>
        <w:pStyle w:val="Body A"/>
        <w:jc w:val="right"/>
        <w:rPr>
          <w:rFonts w:ascii="Arial" w:cs="Arial" w:hAnsi="Arial" w:eastAsia="Arial"/>
          <w:b w:val="1"/>
          <w:bCs w:val="1"/>
          <w:outline w:val="0"/>
          <w:color w:val="5e5e5e"/>
          <w:sz w:val="24"/>
          <w:szCs w:val="24"/>
          <w:u w:color="5e5e5e"/>
          <w14:textFill>
            <w14:solidFill>
              <w14:srgbClr w14:val="5E5E5E"/>
            </w14:solidFill>
          </w14:textFill>
        </w:rPr>
      </w:pPr>
      <w:r>
        <w:rPr>
          <w:rFonts w:ascii="Arial" w:hAnsi="Arial"/>
          <w:b w:val="1"/>
          <w:bCs w:val="1"/>
          <w:outline w:val="0"/>
          <w:color w:val="5e5e5e"/>
          <w:sz w:val="24"/>
          <w:szCs w:val="24"/>
          <w:u w:color="5e5e5e"/>
          <w:rtl w:val="0"/>
          <w:lang w:val="en-US"/>
          <w14:textFill>
            <w14:solidFill>
              <w14:srgbClr w14:val="5E5E5E"/>
            </w14:solidFill>
          </w14:textFill>
        </w:rPr>
        <w:t>Student Email: 2011027@student.uwtsd.ac.uk</w:t>
      </w:r>
    </w:p>
    <w:p>
      <w:pPr>
        <w:pStyle w:val="Body A"/>
        <w:jc w:val="right"/>
        <w:rPr>
          <w:rFonts w:ascii="Arial" w:cs="Arial" w:hAnsi="Arial" w:eastAsia="Arial"/>
          <w:b w:val="1"/>
          <w:bCs w:val="1"/>
          <w:outline w:val="0"/>
          <w:color w:val="5e5e5e"/>
          <w:sz w:val="24"/>
          <w:szCs w:val="24"/>
          <w:u w:color="5e5e5e"/>
          <w14:textFill>
            <w14:solidFill>
              <w14:srgbClr w14:val="5E5E5E"/>
            </w14:solidFill>
          </w14:textFill>
        </w:rPr>
      </w:pPr>
      <w:r>
        <w:rPr>
          <w:rFonts w:ascii="Arial" w:hAnsi="Arial"/>
          <w:b w:val="1"/>
          <w:bCs w:val="1"/>
          <w:outline w:val="0"/>
          <w:color w:val="5e5e5e"/>
          <w:sz w:val="24"/>
          <w:szCs w:val="24"/>
          <w:u w:color="5e5e5e"/>
          <w:rtl w:val="0"/>
          <w:lang w:val="en-US"/>
          <w14:textFill>
            <w14:solidFill>
              <w14:srgbClr w14:val="5E5E5E"/>
            </w14:solidFill>
          </w14:textFill>
        </w:rPr>
        <w:t>Date: 25th March 2021</w:t>
      </w:r>
    </w:p>
    <w:p>
      <w:pPr>
        <w:pStyle w:val="Body A"/>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The following essay is to provide a background, substantiate and provide evidence backed research for the changes made to the National Early Warning Score system and the launch of NEWSCymru / NEWS2 in response to early detection of patient clinical deterioration, prevention of SEPSIS and hospital mortality rates as presented in the presentation of </w:t>
      </w:r>
      <w:r>
        <w:rPr>
          <w:rFonts w:ascii="Arial" w:hAnsi="Arial" w:hint="default"/>
          <w:sz w:val="24"/>
          <w:szCs w:val="24"/>
          <w:rtl w:val="0"/>
          <w:lang w:val="en-US"/>
        </w:rPr>
        <w:t>‘</w:t>
      </w:r>
      <w:r>
        <w:rPr>
          <w:rFonts w:ascii="Arial" w:hAnsi="Arial"/>
          <w:sz w:val="24"/>
          <w:szCs w:val="24"/>
          <w:rtl w:val="0"/>
          <w:lang w:val="en-US"/>
        </w:rPr>
        <w:t>Is your patient deteriorating?</w:t>
      </w:r>
      <w:r>
        <w:rPr>
          <w:rFonts w:ascii="Arial" w:hAnsi="Arial" w:hint="default"/>
          <w:sz w:val="24"/>
          <w:szCs w:val="24"/>
          <w:rtl w:val="0"/>
          <w:lang w:val="en-US"/>
        </w:rPr>
        <w:t>’</w:t>
      </w:r>
      <w:r>
        <w:rPr>
          <w:rFonts w:ascii="Arial" w:hAnsi="Arial"/>
          <w:sz w:val="24"/>
          <w:szCs w:val="24"/>
          <w:rtl w:val="0"/>
          <w:lang w:val="en-US"/>
        </w:rPr>
        <w:t>.</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The National Early Warning Score system </w:t>
      </w:r>
      <w:r>
        <w:rPr>
          <w:rFonts w:ascii="Arial" w:hAnsi="Arial"/>
          <w:sz w:val="24"/>
          <w:szCs w:val="24"/>
          <w:rtl w:val="0"/>
          <w:lang w:val="en-US"/>
        </w:rPr>
        <w:t xml:space="preserve">developed by the Royal College of Physicians </w:t>
      </w:r>
      <w:r>
        <w:rPr>
          <w:rFonts w:ascii="Arial" w:hAnsi="Arial"/>
          <w:sz w:val="24"/>
          <w:szCs w:val="24"/>
          <w:rtl w:val="0"/>
          <w:lang w:val="en-US"/>
        </w:rPr>
        <w:t>has evolved over time since its launch in 2013 by using</w:t>
      </w:r>
      <w:r>
        <w:rPr>
          <w:rFonts w:ascii="Arial" w:hAnsi="Arial"/>
          <w:sz w:val="24"/>
          <w:szCs w:val="24"/>
          <w:rtl w:val="0"/>
          <w:lang w:val="en-US"/>
        </w:rPr>
        <w:t xml:space="preserve"> multidisciplinary </w:t>
      </w:r>
      <w:r>
        <w:rPr>
          <w:rFonts w:ascii="Arial" w:hAnsi="Arial"/>
          <w:sz w:val="24"/>
          <w:szCs w:val="24"/>
          <w:rtl w:val="0"/>
          <w:lang w:val="en-US"/>
        </w:rPr>
        <w:t xml:space="preserve">collaborative </w:t>
      </w:r>
      <w:r>
        <w:rPr>
          <w:rFonts w:ascii="Arial" w:hAnsi="Arial"/>
          <w:sz w:val="24"/>
          <w:szCs w:val="24"/>
          <w:rtl w:val="0"/>
          <w:lang w:val="en-US"/>
        </w:rPr>
        <w:t xml:space="preserve">   focus group </w:t>
      </w:r>
      <w:r>
        <w:rPr>
          <w:rFonts w:ascii="Arial" w:hAnsi="Arial"/>
          <w:sz w:val="24"/>
          <w:szCs w:val="24"/>
          <w:rtl w:val="0"/>
          <w:lang w:val="en-US"/>
        </w:rPr>
        <w:t xml:space="preserve">working partnerships </w:t>
      </w:r>
      <w:r>
        <w:rPr>
          <w:rFonts w:ascii="Arial" w:hAnsi="Arial"/>
          <w:sz w:val="24"/>
          <w:szCs w:val="24"/>
          <w:rtl w:val="0"/>
          <w:lang w:val="en-US"/>
        </w:rPr>
        <w:t xml:space="preserve">within the National Health Service (NHS) </w:t>
      </w:r>
      <w:r>
        <w:rPr>
          <w:rFonts w:ascii="Arial" w:hAnsi="Arial"/>
          <w:sz w:val="24"/>
          <w:szCs w:val="24"/>
          <w:rtl w:val="0"/>
          <w:lang w:val="en-US"/>
        </w:rPr>
        <w:t>to detect and respond to early deterioration in acute care settings and reduce hospital mortality rates. One of the key drivers of this change is a condition called SEPSIS, a potentially fatal and rapid onset condition that is common in deteriorating patients which causes the blood to turn poisonous and can cause multiple organ failure resulting in over 240,000 hospital admissions and claims up to 48,000 deaths per year in 2017, meaning SEPSIS kills more people than breast, bowel and prostate cancer combined (UK Sepsis Trust, 2021). Around 70% of SEPSIS cases originates from the community and in 2016 Swansea Bay University Health Board introduced an adapted NEWS to be used in community care by acute clinical outreach teams with the Welsh Government instructing all health boards to implement NEWS into community environments (Pope, 2020).</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A video presentation by the NHS, NHS England and NHS Improvement (2018), Professor Bryan Williams advises that NEWS2 brings standardisation to clinical monitoring across the NHS and allows for commonality with the transition of staff between hospital settings and trusts which in turn enhances and streamlines training outcomes for users, reducing potential errors in recording due to variations within each NHS Trust of the NEWS chart.</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The NEWS score total is an aggregate of points from 0-20 with a higher score showing further removal from normal physiological readings and are at risk or have commenced further deterioration with trigger and action tasks required. To enable earlier detection of deterioration in a patient and to prevent the onset of SEPSIS, both NEWS2 and NEWSCymru now require an urgent clinical review with a score of 5 or more, or where a patient has scored a 3 in any single measured parameter and therefore provides better earlier management of deterioration, enhances patient care and brings about a new focus as part of a multidisciplinary team empowering confidence to junior staff to raise concerns and escalate the earlier requirement of treatment (NHS Wales, 2019). These changes on clinical scoring also highlight accountability in the treatment and assessment of deteriorating patients by the new requirement of initialing the nurse you have informed if undertaken by a non registered nurse and the ACTION stickers within the patients nursing notes detailing actions that have been undertaken by the nurse.</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Administering oxygen and the recording of oxygen saturations has also changed with NEWS2 in England using two different scales, scale 1 to be used as normal and scale 2 to be used under clinical direction for those with known and documented respiratory problems such as COPD in order to enable better management of oxygen delivery. This also aligns with the implementation of the Oxygen Therapy section detailing the method of how that is being delivered to the patient by documenting the code of the device / mask used, allowing for better assessment and tracking of oxygen saturation uptake. Whilst this has been rolled out across NHS England, a journal article by Hodgson et al (2018) argues that using scale 2 in patients with hypercapnia respiratory failure (HCRF) and acute exacerbation of COPD (AECOPD) reduces the efficiency of NEWS2 detecting acutely ill patients compared to the previous original NEWS chart. Williams (2019) advises that their conclusions are unreliable as the authors have misused the NEWS2 score in their analysis and applied the scale 2 chart to all AECOPD patients at first assessment when the framework specifically advises that scale 2 must only be used on known cases and after specific blood gas analysis has been undertaken, therefore invalidating the data and conclusions as described in their journal as upon first assessment in an acute setting, scale 1 should initially be used along with clinical judgment to oxygen saturations and patient assessment. In response to this and the potential confusion of recording information correctly, NHS Wales decided against the 2 scale approach and devised a separate segment of </w:t>
      </w:r>
      <w:r>
        <w:rPr>
          <w:rFonts w:ascii="Arial" w:hAnsi="Arial" w:hint="default"/>
          <w:sz w:val="24"/>
          <w:szCs w:val="24"/>
          <w:rtl w:val="0"/>
          <w:lang w:val="en-US"/>
        </w:rPr>
        <w:t>“</w:t>
      </w:r>
      <w:r>
        <w:rPr>
          <w:rFonts w:ascii="Arial" w:hAnsi="Arial"/>
          <w:sz w:val="24"/>
          <w:szCs w:val="24"/>
          <w:rtl w:val="0"/>
          <w:lang w:val="en-US"/>
        </w:rPr>
        <w:t>Acceptable Target Parameters</w:t>
      </w:r>
      <w:r>
        <w:rPr>
          <w:rFonts w:ascii="Arial" w:hAnsi="Arial" w:hint="default"/>
          <w:sz w:val="24"/>
          <w:szCs w:val="24"/>
          <w:rtl w:val="0"/>
          <w:lang w:val="en-US"/>
        </w:rPr>
        <w:t xml:space="preserve">” </w:t>
      </w:r>
      <w:r>
        <w:rPr>
          <w:rFonts w:ascii="Arial" w:hAnsi="Arial"/>
          <w:sz w:val="24"/>
          <w:szCs w:val="24"/>
          <w:rtl w:val="0"/>
          <w:lang w:val="en-US"/>
        </w:rPr>
        <w:t>where multiple physiological responses can be altered to be acceptable and therefore avoiding confusion of data.</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Through assessing a patients conscious level and potential altered mentation, guidance issued by National Institute for Health and Care Excellence (NICE, 2020) advised that a new onset of confusion or a change in an already known state of confusion which can include disorientation, delirium or any new alteration to mental state is at possible high risk of clinical deterioration and potentially a key sign in SEPSIS. NEWS2 and NEWSCymru both adopted this guidance within the new charts to include confusion as part of the assessment and scoring process with NHS Wales going a step further with a stop and think </w:t>
      </w:r>
      <w:r>
        <w:rPr>
          <w:rFonts w:ascii="Arial" w:hAnsi="Arial" w:hint="default"/>
          <w:sz w:val="24"/>
          <w:szCs w:val="24"/>
          <w:rtl w:val="0"/>
          <w:lang w:val="en-US"/>
        </w:rPr>
        <w:t>“</w:t>
      </w:r>
      <w:r>
        <w:rPr>
          <w:rFonts w:ascii="Arial" w:hAnsi="Arial"/>
          <w:sz w:val="24"/>
          <w:szCs w:val="24"/>
          <w:rtl w:val="0"/>
          <w:lang w:val="en-US"/>
        </w:rPr>
        <w:t>check glucose</w:t>
      </w:r>
      <w:r>
        <w:rPr>
          <w:rFonts w:ascii="Arial" w:hAnsi="Arial" w:hint="default"/>
          <w:sz w:val="24"/>
          <w:szCs w:val="24"/>
          <w:rtl w:val="0"/>
          <w:lang w:val="en-US"/>
        </w:rPr>
        <w:t xml:space="preserve">” </w:t>
      </w:r>
      <w:r>
        <w:rPr>
          <w:rFonts w:ascii="Arial" w:hAnsi="Arial"/>
          <w:sz w:val="24"/>
          <w:szCs w:val="24"/>
          <w:rtl w:val="0"/>
          <w:lang w:val="en-US"/>
        </w:rPr>
        <w:t>remark within the conscious level segment highlighting that a possible and often reason for a new confusion could be related to blood glucose levels as the brain relies on glucose for its energy needs.</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The changes made to NEWS2 and NEWSCymru really do focus in and enhance clinical assessment in patient deterioration and the early intervention of SEPSIS escalation by early review and treatments whilst incorporating a new focus within multidisciplinary working, accountability and empowering nurses with patient advocacy through the actions that NEWS charts determine. One thing we must not forget is our own clinical judgment, visual assessment, gut feelings and to use NEWS charts as an additional tool to assist with clinical decision making and not to be solely relied on.</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rPr>
      </w:pPr>
    </w:p>
    <w:p>
      <w:pPr>
        <w:pStyle w:val="Body A"/>
        <w:rPr>
          <w:rFonts w:ascii="Arial" w:cs="Arial" w:hAnsi="Arial" w:eastAsia="Arial"/>
          <w:b w:val="1"/>
          <w:bCs w:val="1"/>
          <w:sz w:val="24"/>
          <w:szCs w:val="24"/>
          <w:u w:val="single"/>
        </w:rPr>
      </w:pPr>
      <w:r>
        <w:rPr>
          <w:rFonts w:ascii="Arial" w:hAnsi="Arial"/>
          <w:b w:val="1"/>
          <w:bCs w:val="1"/>
          <w:sz w:val="24"/>
          <w:szCs w:val="24"/>
          <w:u w:val="single"/>
          <w:rtl w:val="0"/>
          <w:lang w:val="en-US"/>
        </w:rPr>
        <w:t>Reference / Bibliography:</w:t>
      </w:r>
    </w:p>
    <w:p>
      <w:pPr>
        <w:pStyle w:val="Body A"/>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Bramley, R. (2019) </w:t>
      </w:r>
      <w:r>
        <w:rPr>
          <w:rFonts w:ascii="Arial" w:hAnsi="Arial"/>
          <w:i w:val="1"/>
          <w:iCs w:val="1"/>
          <w:sz w:val="24"/>
          <w:szCs w:val="24"/>
          <w:rtl w:val="0"/>
          <w:lang w:val="en-US"/>
        </w:rPr>
        <w:t>Digitising the National Early Warning Score NEWS2</w:t>
      </w:r>
      <w:r>
        <w:rPr>
          <w:rFonts w:ascii="Arial" w:hAnsi="Arial"/>
          <w:sz w:val="24"/>
          <w:szCs w:val="24"/>
          <w:rtl w:val="0"/>
          <w:lang w:val="en-US"/>
        </w:rPr>
        <w:t>. Available at: https://clinicalwebportal.home.blog/2019/08/02/digitising-the-national-early-warning-score-news2/ (Accessed: 20 March 2021).</w:t>
      </w:r>
    </w:p>
    <w:p>
      <w:pPr>
        <w:pStyle w:val="Body A"/>
        <w:spacing w:line="360" w:lineRule="auto"/>
        <w:rPr>
          <w:rFonts w:ascii="Arial" w:cs="Arial" w:hAnsi="Arial" w:eastAsia="Arial"/>
          <w:sz w:val="24"/>
          <w:szCs w:val="24"/>
        </w:rPr>
      </w:pPr>
      <w:r>
        <w:rPr>
          <w:rFonts w:ascii="Arial" w:hAnsi="Arial"/>
          <w:sz w:val="24"/>
          <w:szCs w:val="24"/>
          <w:rtl w:val="0"/>
          <w:lang w:val="en-US"/>
        </w:rPr>
        <w:t xml:space="preserve">Hodgson, L.E., Congleton, J., Venn, R., Forni, L.G., Roderick, P.J. (2018) </w:t>
      </w:r>
      <w:r>
        <w:rPr>
          <w:rFonts w:ascii="Arial" w:hAnsi="Arial" w:hint="default"/>
          <w:sz w:val="24"/>
          <w:szCs w:val="24"/>
          <w:rtl w:val="0"/>
          <w:lang w:val="en-US"/>
        </w:rPr>
        <w:t>‘</w:t>
      </w:r>
      <w:r>
        <w:rPr>
          <w:rFonts w:ascii="Arial" w:hAnsi="Arial"/>
          <w:sz w:val="24"/>
          <w:szCs w:val="24"/>
          <w:rtl w:val="0"/>
          <w:lang w:val="en-US"/>
        </w:rPr>
        <w:t>News 2 - too little evident to implement?</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i w:val="1"/>
          <w:iCs w:val="1"/>
          <w:sz w:val="24"/>
          <w:szCs w:val="24"/>
          <w:rtl w:val="0"/>
          <w:lang w:val="en-US"/>
        </w:rPr>
        <w:t>Clinical Medicine Journal</w:t>
      </w:r>
      <w:r>
        <w:rPr>
          <w:rFonts w:ascii="Arial" w:hAnsi="Arial"/>
          <w:sz w:val="24"/>
          <w:szCs w:val="24"/>
          <w:rtl w:val="0"/>
          <w:lang w:val="en-US"/>
        </w:rPr>
        <w:t>, 18(5), pp. 371-373. DOI:10.7861/clinmedicine.18-5-371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Marsden, R. (2021) </w:t>
      </w:r>
      <w:r>
        <w:rPr>
          <w:rFonts w:ascii="Arial" w:hAnsi="Arial"/>
          <w:i w:val="1"/>
          <w:iCs w:val="1"/>
          <w:sz w:val="24"/>
          <w:szCs w:val="24"/>
          <w:rtl w:val="0"/>
          <w:lang w:val="en-US"/>
        </w:rPr>
        <w:t>The updated National Early Warning Score and its use with suspected Sepsis</w:t>
      </w:r>
      <w:r>
        <w:rPr>
          <w:rFonts w:ascii="Arial" w:hAnsi="Arial"/>
          <w:sz w:val="24"/>
          <w:szCs w:val="24"/>
          <w:rtl w:val="0"/>
          <w:lang w:val="en-US"/>
        </w:rPr>
        <w:t>. Available at: https://www.rcgp.org.uk/clinical-and-research/about/clinical-news/2018/january/the-updated-national-early-warning-score-and-its-use-with-suspected-sepsis.aspx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National Health Service England and National Health Service Improvement (2018) </w:t>
      </w:r>
      <w:r>
        <w:rPr>
          <w:rFonts w:ascii="Arial" w:hAnsi="Arial"/>
          <w:i w:val="1"/>
          <w:iCs w:val="1"/>
          <w:sz w:val="24"/>
          <w:szCs w:val="24"/>
          <w:rtl w:val="0"/>
          <w:lang w:val="en-US"/>
        </w:rPr>
        <w:t>National Early Warning Score News2</w:t>
      </w:r>
      <w:r>
        <w:rPr>
          <w:rFonts w:ascii="Arial" w:hAnsi="Arial"/>
          <w:sz w:val="24"/>
          <w:szCs w:val="24"/>
          <w:rtl w:val="0"/>
          <w:lang w:val="en-US"/>
        </w:rPr>
        <w:t xml:space="preserve"> (video). Available at: https://www.youtube.com/watch?v=ujHhqTbS1xg&amp;t=3s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National Health Service Wales (2019). </w:t>
      </w:r>
      <w:r>
        <w:rPr>
          <w:rFonts w:ascii="Arial" w:hAnsi="Arial"/>
          <w:i w:val="1"/>
          <w:iCs w:val="1"/>
          <w:sz w:val="24"/>
          <w:szCs w:val="24"/>
          <w:rtl w:val="0"/>
          <w:lang w:val="en-US"/>
        </w:rPr>
        <w:t>Thousands of community staff introduced to NEWS (National Early Warning Score) for assessing and communication about sickness and signs of Sepsis</w:t>
      </w:r>
      <w:r>
        <w:rPr>
          <w:rFonts w:ascii="Arial" w:hAnsi="Arial"/>
          <w:sz w:val="24"/>
          <w:szCs w:val="24"/>
          <w:rtl w:val="0"/>
          <w:lang w:val="en-US"/>
        </w:rPr>
        <w:t>. Available at: https://www.wales.nhs.uk/news/50672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National Health Service (2021) </w:t>
      </w:r>
      <w:r>
        <w:rPr>
          <w:rFonts w:ascii="Arial" w:hAnsi="Arial"/>
          <w:i w:val="1"/>
          <w:iCs w:val="1"/>
          <w:sz w:val="24"/>
          <w:szCs w:val="24"/>
          <w:rtl w:val="0"/>
          <w:lang w:val="en-US"/>
        </w:rPr>
        <w:t>News frequently asked questions</w:t>
      </w:r>
      <w:r>
        <w:rPr>
          <w:rFonts w:ascii="Arial" w:hAnsi="Arial"/>
          <w:sz w:val="24"/>
          <w:szCs w:val="24"/>
          <w:rtl w:val="0"/>
          <w:lang w:val="en-US"/>
        </w:rPr>
        <w:t>. Available at: https://www.england.nhs.uk/ourwork/clinical-policy/sepsis/nationalearlywarningscore/news-frequently-asked-questions/#19-are-there-any-unintended-consequences-of-using-news2 (Accessed: 20 March 2021).</w:t>
      </w:r>
    </w:p>
    <w:p>
      <w:pPr>
        <w:pStyle w:val="Body A"/>
        <w:spacing w:line="360" w:lineRule="auto"/>
        <w:rPr>
          <w:rFonts w:ascii="Arial" w:cs="Arial" w:hAnsi="Arial" w:eastAsia="Arial"/>
          <w:sz w:val="24"/>
          <w:szCs w:val="24"/>
        </w:rPr>
      </w:pPr>
      <w:r>
        <w:rPr>
          <w:rFonts w:ascii="Arial" w:hAnsi="Arial"/>
          <w:sz w:val="24"/>
          <w:szCs w:val="24"/>
          <w:rtl w:val="0"/>
          <w:lang w:val="en-US"/>
        </w:rPr>
        <w:t xml:space="preserve"> </w:t>
      </w:r>
    </w:p>
    <w:p>
      <w:pPr>
        <w:pStyle w:val="Body A"/>
        <w:spacing w:line="360" w:lineRule="auto"/>
        <w:rPr>
          <w:rFonts w:ascii="Arial" w:cs="Arial" w:hAnsi="Arial" w:eastAsia="Arial"/>
          <w:sz w:val="24"/>
          <w:szCs w:val="24"/>
        </w:rPr>
      </w:pPr>
      <w:r>
        <w:rPr>
          <w:rFonts w:ascii="Arial" w:hAnsi="Arial"/>
          <w:sz w:val="24"/>
          <w:szCs w:val="24"/>
          <w:rtl w:val="0"/>
          <w:lang w:val="en-US"/>
        </w:rPr>
        <w:t xml:space="preserve">National Institue for Health and Care Excellence (2020) </w:t>
      </w:r>
      <w:r>
        <w:rPr>
          <w:rFonts w:ascii="Arial" w:hAnsi="Arial"/>
          <w:i w:val="1"/>
          <w:iCs w:val="1"/>
          <w:sz w:val="24"/>
          <w:szCs w:val="24"/>
          <w:rtl w:val="0"/>
          <w:lang w:val="en-US"/>
        </w:rPr>
        <w:t>Sepsis</w:t>
      </w:r>
      <w:r>
        <w:rPr>
          <w:rFonts w:ascii="Arial" w:hAnsi="Arial"/>
          <w:sz w:val="24"/>
          <w:szCs w:val="24"/>
          <w:rtl w:val="0"/>
          <w:lang w:val="en-US"/>
        </w:rPr>
        <w:t>. Available at: https://www.nice.org.uk/guidance/qs161 (Accessed: 21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Pope, D.T. (2020) </w:t>
      </w:r>
      <w:r>
        <w:rPr>
          <w:rFonts w:ascii="Arial" w:hAnsi="Arial"/>
          <w:i w:val="1"/>
          <w:iCs w:val="1"/>
          <w:sz w:val="24"/>
          <w:szCs w:val="24"/>
          <w:rtl w:val="0"/>
          <w:lang w:val="en-US"/>
        </w:rPr>
        <w:t>Improving community recognition of sepsis using early warning scores</w:t>
      </w:r>
      <w:r>
        <w:rPr>
          <w:rFonts w:ascii="Arial" w:hAnsi="Arial"/>
          <w:sz w:val="24"/>
          <w:szCs w:val="24"/>
          <w:rtl w:val="0"/>
          <w:lang w:val="en-US"/>
        </w:rPr>
        <w:t>. Available at: https://www.nursingtimes.net/roles/district-and-community-nurses/improving-community-recognition-of-sepsis-using-early-warning-scores-06-01-2020/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Public Health Wales (2019) </w:t>
      </w:r>
      <w:r>
        <w:rPr>
          <w:rFonts w:ascii="Arial" w:hAnsi="Arial"/>
          <w:i w:val="1"/>
          <w:iCs w:val="1"/>
          <w:sz w:val="24"/>
          <w:szCs w:val="24"/>
          <w:rtl w:val="0"/>
          <w:lang w:val="en-US"/>
        </w:rPr>
        <w:t>Sepsis Public Awareness Campaign - Wales, Correspondence - Public Health Wales to chair</w:t>
      </w:r>
      <w:r>
        <w:rPr>
          <w:rFonts w:ascii="Arial" w:hAnsi="Arial"/>
          <w:sz w:val="24"/>
          <w:szCs w:val="24"/>
          <w:rtl w:val="0"/>
          <w:lang w:val="en-US"/>
        </w:rPr>
        <w:t>, Cardiff. Available at: https://senedd.assembly.wales/documents/s87832/02.05.19%20Correspondence%20-%20Public%20Health%20Wales%20to%20Chair.pdf (Accessed: 21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Royal College of Physicians (2017) </w:t>
      </w:r>
      <w:r>
        <w:rPr>
          <w:rFonts w:ascii="Arial" w:hAnsi="Arial"/>
          <w:i w:val="1"/>
          <w:iCs w:val="1"/>
          <w:sz w:val="24"/>
          <w:szCs w:val="24"/>
          <w:rtl w:val="0"/>
          <w:lang w:val="en-US"/>
        </w:rPr>
        <w:t>National Early Warning Score (NEWS)2</w:t>
      </w:r>
      <w:r>
        <w:rPr>
          <w:rFonts w:ascii="Arial" w:hAnsi="Arial"/>
          <w:sz w:val="24"/>
          <w:szCs w:val="24"/>
          <w:rtl w:val="0"/>
          <w:lang w:val="en-US"/>
        </w:rPr>
        <w:t>. Available at: https://www.rcplondon.ac.uk/projects/outputs/national-early-warning-score-news-2 (Accessed: 21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Royal College of Physicians (2020) </w:t>
      </w:r>
      <w:r>
        <w:rPr>
          <w:rFonts w:ascii="Arial" w:hAnsi="Arial"/>
          <w:i w:val="1"/>
          <w:iCs w:val="1"/>
          <w:sz w:val="24"/>
          <w:szCs w:val="24"/>
          <w:rtl w:val="0"/>
          <w:lang w:val="en-US"/>
        </w:rPr>
        <w:t>National Ealy Warning Score (NEWS)2 Standardising the assessment of acute-illness severity in the NHS.</w:t>
      </w:r>
      <w:r>
        <w:rPr>
          <w:rFonts w:ascii="Arial" w:hAnsi="Arial"/>
          <w:sz w:val="24"/>
          <w:szCs w:val="24"/>
          <w:rtl w:val="0"/>
          <w:lang w:val="en-US"/>
        </w:rPr>
        <w:t xml:space="preserve"> Available at: https://www.rcplondon.ac.uk/file/20716/download (Accessed: 21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Royal College of Physicians (2019) </w:t>
      </w:r>
      <w:r>
        <w:rPr>
          <w:rFonts w:ascii="Arial" w:hAnsi="Arial"/>
          <w:i w:val="1"/>
          <w:iCs w:val="1"/>
          <w:sz w:val="24"/>
          <w:szCs w:val="24"/>
          <w:rtl w:val="0"/>
          <w:lang w:val="en-US"/>
        </w:rPr>
        <w:t>Resources to support the adoption of the National Early Warning Score</w:t>
      </w:r>
      <w:r>
        <w:rPr>
          <w:rFonts w:ascii="Arial" w:hAnsi="Arial"/>
          <w:sz w:val="24"/>
          <w:szCs w:val="24"/>
          <w:rtl w:val="0"/>
          <w:lang w:val="en-US"/>
        </w:rPr>
        <w:t>. Available at: https://www.england.nhs.uk/wp-content/uploads/2019/12/Resources_to_support_the_adoption_of_NEWSFINAL.pdf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UK Sepsis Trust (2021) </w:t>
      </w:r>
      <w:r>
        <w:rPr>
          <w:rFonts w:ascii="Arial" w:hAnsi="Arial"/>
          <w:i w:val="1"/>
          <w:iCs w:val="1"/>
          <w:sz w:val="24"/>
          <w:szCs w:val="24"/>
          <w:rtl w:val="0"/>
          <w:lang w:val="en-US"/>
        </w:rPr>
        <w:t>References and Sources</w:t>
      </w:r>
      <w:r>
        <w:rPr>
          <w:rFonts w:ascii="Arial" w:hAnsi="Arial"/>
          <w:sz w:val="24"/>
          <w:szCs w:val="24"/>
          <w:rtl w:val="0"/>
          <w:lang w:val="en-US"/>
        </w:rPr>
        <w:t>. Available at: https://sepsistrust.org/about/about-sepsis/references-and-sources/ (Accessed: 20 March 2021).</w:t>
      </w:r>
    </w:p>
    <w:p>
      <w:pPr>
        <w:pStyle w:val="Body A"/>
        <w:spacing w:line="360" w:lineRule="auto"/>
        <w:rPr>
          <w:rFonts w:ascii="Arial" w:cs="Arial" w:hAnsi="Arial" w:eastAsia="Arial"/>
          <w:sz w:val="24"/>
          <w:szCs w:val="24"/>
        </w:rPr>
      </w:pPr>
    </w:p>
    <w:p>
      <w:pPr>
        <w:pStyle w:val="Body A"/>
        <w:spacing w:line="360" w:lineRule="auto"/>
        <w:rPr>
          <w:rFonts w:ascii="Arial" w:cs="Arial" w:hAnsi="Arial" w:eastAsia="Arial"/>
          <w:sz w:val="24"/>
          <w:szCs w:val="24"/>
        </w:rPr>
      </w:pPr>
      <w:r>
        <w:rPr>
          <w:rFonts w:ascii="Arial" w:hAnsi="Arial"/>
          <w:sz w:val="24"/>
          <w:szCs w:val="24"/>
          <w:rtl w:val="0"/>
          <w:lang w:val="en-US"/>
        </w:rPr>
        <w:t xml:space="preserve">Williams, B. (2019) </w:t>
      </w:r>
      <w:r>
        <w:rPr>
          <w:rFonts w:ascii="Arial" w:hAnsi="Arial" w:hint="default"/>
          <w:sz w:val="24"/>
          <w:szCs w:val="24"/>
          <w:rtl w:val="0"/>
          <w:lang w:val="en-US"/>
        </w:rPr>
        <w:t>‘</w:t>
      </w:r>
      <w:r>
        <w:rPr>
          <w:rFonts w:ascii="Arial" w:hAnsi="Arial"/>
          <w:sz w:val="24"/>
          <w:szCs w:val="24"/>
          <w:rtl w:val="0"/>
          <w:lang w:val="en-US"/>
        </w:rPr>
        <w:t>The National Early Warning Score 3 (NEWS 2) in patients with hypercapnic failure</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i w:val="1"/>
          <w:iCs w:val="1"/>
          <w:sz w:val="24"/>
          <w:szCs w:val="24"/>
          <w:rtl w:val="0"/>
          <w:lang w:val="en-US"/>
        </w:rPr>
        <w:t>Clinical Medicine Journal</w:t>
      </w:r>
      <w:r>
        <w:rPr>
          <w:rFonts w:ascii="Arial" w:hAnsi="Arial"/>
          <w:sz w:val="24"/>
          <w:szCs w:val="24"/>
          <w:rtl w:val="0"/>
          <w:lang w:val="en-US"/>
        </w:rPr>
        <w:t>, 19(1), pp. 94-95. DOI: 10.7861/clinmedicine.19-1-94</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pPr>
      <w:r>
        <w:rPr>
          <w:rFonts w:ascii="Arial" w:cs="Arial" w:hAnsi="Arial" w:eastAsia="Arial"/>
          <w:sz w:val="24"/>
          <w:szCs w:val="24"/>
        </w:rPr>
      </w:r>
    </w:p>
    <w:sectPr>
      <w:headerReference w:type="default" r:id="rId7"/>
      <w:footerReference w:type="default" r:id="rId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