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1B8C2" w14:textId="53FD5BA3" w:rsidR="00A43454" w:rsidRPr="004E5023" w:rsidRDefault="00A43454" w:rsidP="00A43454">
      <w:pPr>
        <w:jc w:val="center"/>
        <w:rPr>
          <w:b/>
          <w:bCs/>
        </w:rPr>
      </w:pPr>
      <w:bookmarkStart w:id="0" w:name="_Hlk184066724"/>
      <w:r w:rsidRPr="004E5023">
        <w:rPr>
          <w:b/>
          <w:bCs/>
        </w:rPr>
        <w:t>The Life of Alfred the Great – According to the Anglo-Saxon Chronicle</w:t>
      </w:r>
    </w:p>
    <w:p w14:paraId="4C2645AA" w14:textId="6B5ACFBA" w:rsidR="00FF665E" w:rsidRPr="004E5023" w:rsidRDefault="00FF665E" w:rsidP="00A43454">
      <w:pPr>
        <w:jc w:val="center"/>
      </w:pPr>
    </w:p>
    <w:p w14:paraId="5D19A9F0" w14:textId="5F600B3F" w:rsidR="00A43454" w:rsidRPr="004E5023" w:rsidRDefault="00A43454" w:rsidP="00A43454">
      <w:r w:rsidRPr="004E5023">
        <w:t>King Alfred the Great was born in Wantage in 849.</w:t>
      </w:r>
      <w:r w:rsidR="00E56E5B" w:rsidRPr="004E5023">
        <w:rPr>
          <w:rStyle w:val="FootnoteReference"/>
        </w:rPr>
        <w:footnoteReference w:id="1"/>
      </w:r>
      <w:r w:rsidRPr="004E5023">
        <w:t xml:space="preserve"> His life and reign play a pivotal role in the formation of an Anglo-Saxon nation and English identity. During </w:t>
      </w:r>
      <w:r w:rsidRPr="004E5023">
        <w:t xml:space="preserve">his life, </w:t>
      </w:r>
      <w:r w:rsidRPr="004E5023">
        <w:t xml:space="preserve">he commissioned the Anglo-Saxon Chronicle to provide a record of the Anglo-Saxon people and highlight his own achievements and </w:t>
      </w:r>
      <w:r w:rsidRPr="004E5023">
        <w:t xml:space="preserve">those of the </w:t>
      </w:r>
      <w:r w:rsidRPr="004E5023">
        <w:t xml:space="preserve">House of Wessex. This essay analyses the information provided in the Anglo-Saxon Chronicle to identify how King Alfred’s life is portrayed through exploring his childhood, military </w:t>
      </w:r>
      <w:r w:rsidR="00FF665E" w:rsidRPr="004E5023">
        <w:t>campaigns,</w:t>
      </w:r>
      <w:r w:rsidRPr="004E5023">
        <w:t xml:space="preserve"> and significant reforms within his reign.</w:t>
      </w:r>
    </w:p>
    <w:p w14:paraId="7570F6DE" w14:textId="0938B40D" w:rsidR="00055453" w:rsidRPr="004E5023" w:rsidRDefault="0044147D" w:rsidP="00140AF6">
      <w:r>
        <w:rPr>
          <w:noProof/>
        </w:rPr>
        <w:drawing>
          <wp:inline distT="0" distB="0" distL="0" distR="0" wp14:anchorId="2263926C" wp14:editId="79EEAD70">
            <wp:extent cx="2212904" cy="2711395"/>
            <wp:effectExtent l="0" t="0" r="0" b="0"/>
            <wp:docPr id="1773707249" name="Picture 2" descr="Portrait of Alfred the Great (849-99), after a painting in the Bodleian Gallery, 19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of Alfred the Great (849-99), after a painting in the Bodleian Gallery, 19th centu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04" cy="2711395"/>
                    </a:xfrm>
                    <a:prstGeom prst="rect">
                      <a:avLst/>
                    </a:prstGeom>
                    <a:noFill/>
                    <a:ln>
                      <a:noFill/>
                    </a:ln>
                  </pic:spPr>
                </pic:pic>
              </a:graphicData>
            </a:graphic>
          </wp:inline>
        </w:drawing>
      </w:r>
      <w:r>
        <w:t xml:space="preserve"> Figure 1</w:t>
      </w:r>
      <w:r>
        <w:rPr>
          <w:rStyle w:val="FootnoteReference"/>
        </w:rPr>
        <w:footnoteReference w:id="2"/>
      </w:r>
    </w:p>
    <w:p w14:paraId="3067E1DE" w14:textId="2A5FBD13" w:rsidR="00055453" w:rsidRPr="004E5023" w:rsidRDefault="00A43454" w:rsidP="00140AF6">
      <w:r w:rsidRPr="004E5023">
        <w:t>The Anglo-Saxon Chronicle is an important document and reference point for the history of Britain, written in by various authors circa 890,</w:t>
      </w:r>
      <w:r w:rsidR="00E56E5B" w:rsidRPr="004E5023">
        <w:rPr>
          <w:rStyle w:val="FootnoteReference"/>
        </w:rPr>
        <w:footnoteReference w:id="3"/>
      </w:r>
      <w:r w:rsidRPr="004E5023">
        <w:t xml:space="preserve"> giving us nine different versions which often contradict each other. The Chronicle itself begins with a rough outline of Britain before the Roman invasions of Julius Cesar </w:t>
      </w:r>
      <w:r w:rsidR="009F33C8" w:rsidRPr="004E5023">
        <w:t>that took place</w:t>
      </w:r>
      <w:r w:rsidR="009F33C8" w:rsidRPr="004E5023">
        <w:t xml:space="preserve"> “B.C. 60 Before the incarnation of Christ sixty years”.</w:t>
      </w:r>
      <w:r w:rsidR="00E56E5B" w:rsidRPr="004E5023">
        <w:rPr>
          <w:rStyle w:val="FootnoteReference"/>
        </w:rPr>
        <w:footnoteReference w:id="4"/>
      </w:r>
      <w:r w:rsidRPr="004E5023">
        <w:t xml:space="preserve"> which it also describes in a short </w:t>
      </w:r>
      <w:bookmarkStart w:id="1" w:name="_Hlk184066746"/>
      <w:bookmarkEnd w:id="0"/>
      <w:r w:rsidRPr="004E5023">
        <w:lastRenderedPageBreak/>
        <w:t>paragraph</w:t>
      </w:r>
      <w:r w:rsidR="0044147D">
        <w:t>.</w:t>
      </w:r>
      <w:r w:rsidR="009F33C8" w:rsidRPr="004E5023">
        <w:t xml:space="preserve"> </w:t>
      </w:r>
      <w:r w:rsidR="0044147D">
        <w:t>T</w:t>
      </w:r>
      <w:r w:rsidR="009F33C8" w:rsidRPr="004E5023">
        <w:t xml:space="preserve">his may have been a literary tool to express the significance of British </w:t>
      </w:r>
      <w:r w:rsidR="0044147D">
        <w:t>h</w:t>
      </w:r>
      <w:r w:rsidR="009F33C8" w:rsidRPr="004E5023">
        <w:t>istory.</w:t>
      </w:r>
    </w:p>
    <w:p w14:paraId="5CF5D9E2" w14:textId="5F5F3BC3" w:rsidR="00A43454" w:rsidRPr="004E5023" w:rsidRDefault="00A43454" w:rsidP="00140AF6">
      <w:r w:rsidRPr="004E5023">
        <w:t>The chronicle was written on the order and patronage of Alfred of Wessex</w:t>
      </w:r>
      <w:r w:rsidR="00E56E5B" w:rsidRPr="004E5023">
        <w:t xml:space="preserve"> </w:t>
      </w:r>
      <w:r w:rsidR="00E56E5B" w:rsidRPr="004E5023">
        <w:rPr>
          <w:rStyle w:val="FootnoteReference"/>
        </w:rPr>
        <w:footnoteReference w:id="5"/>
      </w:r>
      <w:r w:rsidR="00E134EA" w:rsidRPr="004E5023">
        <w:t xml:space="preserve"> and was used to ‘</w:t>
      </w:r>
      <w:r w:rsidR="00E134EA" w:rsidRPr="004E5023">
        <w:t>project a view of the common history of the English peoples and the</w:t>
      </w:r>
      <w:r w:rsidR="00E56E5B" w:rsidRPr="004E5023">
        <w:t xml:space="preserve"> </w:t>
      </w:r>
      <w:r w:rsidR="00E134EA" w:rsidRPr="004E5023">
        <w:t>emergence of Alfred as their natural leader</w:t>
      </w:r>
      <w:r w:rsidR="00E134EA" w:rsidRPr="004E5023">
        <w:t xml:space="preserve">.’ </w:t>
      </w:r>
      <w:r w:rsidR="00E56E5B" w:rsidRPr="004E5023">
        <w:rPr>
          <w:rStyle w:val="FootnoteReference"/>
        </w:rPr>
        <w:footnoteReference w:id="6"/>
      </w:r>
      <w:r w:rsidR="00E56E5B" w:rsidRPr="004E5023">
        <w:t xml:space="preserve"> I</w:t>
      </w:r>
      <w:r w:rsidR="00E134EA" w:rsidRPr="004E5023">
        <w:t>t</w:t>
      </w:r>
      <w:r w:rsidRPr="004E5023">
        <w:t xml:space="preserve"> began </w:t>
      </w:r>
      <w:r w:rsidRPr="004E5023">
        <w:t xml:space="preserve">after Alfred had established various reforms. These </w:t>
      </w:r>
      <w:r w:rsidR="005C7C42" w:rsidRPr="004E5023">
        <w:t xml:space="preserve">included </w:t>
      </w:r>
      <w:r w:rsidRPr="004E5023">
        <w:t>adopting a Burghal system for defensive measures</w:t>
      </w:r>
      <w:r w:rsidR="0044147D">
        <w:t>,</w:t>
      </w:r>
      <w:r w:rsidRPr="004E5023">
        <w:t xml:space="preserve"> </w:t>
      </w:r>
      <w:r w:rsidRPr="004E5023">
        <w:t>c</w:t>
      </w:r>
      <w:r w:rsidRPr="004E5023">
        <w:t xml:space="preserve">oinage, </w:t>
      </w:r>
      <w:r w:rsidRPr="004E5023">
        <w:t xml:space="preserve">and </w:t>
      </w:r>
      <w:r w:rsidR="0044147D">
        <w:t>widespread</w:t>
      </w:r>
      <w:r w:rsidRPr="004E5023">
        <w:t xml:space="preserve"> educational reforms. </w:t>
      </w:r>
      <w:r w:rsidRPr="004E5023">
        <w:t>These educational reforms</w:t>
      </w:r>
      <w:r w:rsidRPr="004E5023">
        <w:t xml:space="preserve"> heavily </w:t>
      </w:r>
      <w:r w:rsidRPr="004E5023">
        <w:t>influence</w:t>
      </w:r>
      <w:r w:rsidRPr="004E5023">
        <w:t>d</w:t>
      </w:r>
      <w:r w:rsidRPr="004E5023">
        <w:t xml:space="preserve"> </w:t>
      </w:r>
      <w:r w:rsidRPr="004E5023">
        <w:t xml:space="preserve">the literacy within his court and </w:t>
      </w:r>
      <w:r w:rsidRPr="004E5023">
        <w:t>allow</w:t>
      </w:r>
      <w:r w:rsidRPr="004E5023">
        <w:t>ed</w:t>
      </w:r>
      <w:r w:rsidRPr="004E5023">
        <w:t xml:space="preserve"> </w:t>
      </w:r>
      <w:r w:rsidRPr="004E5023">
        <w:t>further accessibility to his broader subjects. Alfred had documents and texts translated into English from Latin to better spread education into his kingdom</w:t>
      </w:r>
      <w:r w:rsidR="005C7C42" w:rsidRPr="004E5023">
        <w:t>.</w:t>
      </w:r>
    </w:p>
    <w:p w14:paraId="5EB48FB6" w14:textId="0EF996EE" w:rsidR="00A43454" w:rsidRPr="004E5023" w:rsidRDefault="00A43454" w:rsidP="00140AF6">
      <w:r w:rsidRPr="004E5023">
        <w:t>The chronicle also advertised his right to rule, both to his contemporaries and retrospective readers. Being the founder of such a chronicle would have directed the narrative as more “Wessex-centric” than a document made elsewhere outside his authority.</w:t>
      </w:r>
    </w:p>
    <w:p w14:paraId="2E7ADBD0" w14:textId="77777777" w:rsidR="00A43454" w:rsidRPr="004E5023" w:rsidRDefault="00A43454" w:rsidP="00140AF6">
      <w:r w:rsidRPr="004E5023">
        <w:t>King Alfred is mentioned early in the Chronicle, when a brief outline of the house of Wessex is established with the landing of Cerdic and Cynric, the first inhabitants of the House of Wessex onto English land in 495. This entry is considerably longer than the mention of other migratory founders within the early section of the history.</w:t>
      </w:r>
    </w:p>
    <w:p w14:paraId="3A4F771B" w14:textId="787582D2" w:rsidR="00A43454" w:rsidRPr="004E5023" w:rsidRDefault="00A43454" w:rsidP="00140AF6">
      <w:r w:rsidRPr="004E5023">
        <w:t xml:space="preserve">The first </w:t>
      </w:r>
      <w:r w:rsidRPr="004E5023">
        <w:t xml:space="preserve">chronological </w:t>
      </w:r>
      <w:r w:rsidRPr="004E5023">
        <w:t xml:space="preserve">mention of Alfred </w:t>
      </w:r>
      <w:r w:rsidRPr="004E5023">
        <w:t>was</w:t>
      </w:r>
      <w:r w:rsidRPr="004E5023">
        <w:t xml:space="preserve"> </w:t>
      </w:r>
      <w:r w:rsidRPr="004E5023">
        <w:t xml:space="preserve">in A.D 853, when it is remarked that King </w:t>
      </w:r>
      <w:r w:rsidRPr="00140AF6">
        <w:t>Ethelwulf, King Alfred</w:t>
      </w:r>
      <w:r w:rsidR="0044147D" w:rsidRPr="00140AF6">
        <w:t>’</w:t>
      </w:r>
      <w:r w:rsidRPr="00140AF6">
        <w:t xml:space="preserve">s </w:t>
      </w:r>
      <w:r w:rsidR="0044147D" w:rsidRPr="00140AF6">
        <w:t>f</w:t>
      </w:r>
      <w:r w:rsidRPr="00140AF6">
        <w:t>ather</w:t>
      </w:r>
      <w:r w:rsidR="0044147D" w:rsidRPr="00140AF6">
        <w:t>,</w:t>
      </w:r>
      <w:r w:rsidRPr="00140AF6">
        <w:t xml:space="preserve"> took his son on pilgrimage to </w:t>
      </w:r>
      <w:r w:rsidR="0044147D" w:rsidRPr="00140AF6">
        <w:t>‘</w:t>
      </w:r>
      <w:r w:rsidRPr="00140AF6">
        <w:t xml:space="preserve">Rome; and Leo, who was then </w:t>
      </w:r>
      <w:r w:rsidR="0044147D" w:rsidRPr="00140AF6">
        <w:t>P</w:t>
      </w:r>
      <w:r w:rsidRPr="00140AF6">
        <w:t xml:space="preserve">ope, consecrated him </w:t>
      </w:r>
      <w:r w:rsidR="0044147D" w:rsidRPr="00140AF6">
        <w:t>K</w:t>
      </w:r>
      <w:r w:rsidRPr="00140AF6">
        <w:t>ing, and adopted him as his spiritual son.</w:t>
      </w:r>
      <w:r w:rsidR="0044147D" w:rsidRPr="00140AF6">
        <w:t>’</w:t>
      </w:r>
      <w:r w:rsidR="00E56E5B" w:rsidRPr="00140AF6">
        <w:rPr>
          <w:rStyle w:val="FootnoteReference"/>
        </w:rPr>
        <w:footnoteReference w:id="7"/>
      </w:r>
      <w:r w:rsidRPr="00140AF6">
        <w:t xml:space="preserve"> </w:t>
      </w:r>
      <w:r w:rsidR="005C7C42" w:rsidRPr="00140AF6">
        <w:t>This was</w:t>
      </w:r>
      <w:r w:rsidRPr="004E5023">
        <w:t xml:space="preserve"> </w:t>
      </w:r>
      <w:r w:rsidRPr="004E5023">
        <w:t>designed to establish Alfred as a highly regarded, spiritual individual. Alfred was likely to have been embedded in the church</w:t>
      </w:r>
      <w:r w:rsidR="0044147D">
        <w:t>;</w:t>
      </w:r>
      <w:r w:rsidRPr="004E5023">
        <w:t xml:space="preserve"> being the youngest surviving son of Ethelwulf</w:t>
      </w:r>
      <w:r w:rsidR="0044147D">
        <w:t>,</w:t>
      </w:r>
      <w:r w:rsidR="003E0DC5" w:rsidRPr="004E5023">
        <w:t xml:space="preserve"> </w:t>
      </w:r>
      <w:r w:rsidRPr="004E5023">
        <w:t xml:space="preserve">it was unlikely that he would have been given any noteworthy positions within the court of Wessex. This was due to the political system within Wessex, such as the </w:t>
      </w:r>
      <w:r w:rsidR="003E0DC5" w:rsidRPr="004E5023">
        <w:t>election of</w:t>
      </w:r>
      <w:r w:rsidR="003E0DC5" w:rsidRPr="004E5023">
        <w:t xml:space="preserve"> </w:t>
      </w:r>
      <w:r w:rsidRPr="004E5023">
        <w:t>monarchy from a council of eldermen, called the Witan</w:t>
      </w:r>
      <w:r w:rsidR="003E0DC5" w:rsidRPr="004E5023">
        <w:t>;</w:t>
      </w:r>
      <w:r w:rsidRPr="004E5023">
        <w:t xml:space="preserve"> or the tradition of establishing a sub king, which </w:t>
      </w:r>
      <w:r w:rsidR="00FF665E" w:rsidRPr="004E5023">
        <w:t>functioned as</w:t>
      </w:r>
      <w:r w:rsidRPr="004E5023">
        <w:t xml:space="preserve"> a primitive precursor to an established heir. Thus, his position would have been favourable, and most likely more fruitful within a theological </w:t>
      </w:r>
      <w:r w:rsidR="0044147D">
        <w:t>role</w:t>
      </w:r>
      <w:r w:rsidRPr="004E5023">
        <w:t>.</w:t>
      </w:r>
      <w:r w:rsidR="00E56E5B" w:rsidRPr="004E5023">
        <w:rPr>
          <w:rStyle w:val="FootnoteReference"/>
        </w:rPr>
        <w:footnoteReference w:id="8"/>
      </w:r>
    </w:p>
    <w:bookmarkEnd w:id="1"/>
    <w:p w14:paraId="159917A9" w14:textId="47F9CF1D" w:rsidR="00A43454" w:rsidRPr="004E5023" w:rsidRDefault="00A43454" w:rsidP="00140AF6">
      <w:r w:rsidRPr="004E5023">
        <w:lastRenderedPageBreak/>
        <w:t>In the 854 section, the Chronicle gives a direct patrilineal connection between Aethelwulf, thus his children, to notable figures from Woden through to ‘Noah, who was born in Noah's ark’ to ‘Adam, the first man</w:t>
      </w:r>
      <w:r w:rsidR="0044147D">
        <w:t>’</w:t>
      </w:r>
      <w:r w:rsidRPr="004E5023">
        <w:t>, then directly to ‘our Father, that is, Christ’,</w:t>
      </w:r>
      <w:r w:rsidR="00E56E5B" w:rsidRPr="004E5023">
        <w:rPr>
          <w:rStyle w:val="FootnoteReference"/>
        </w:rPr>
        <w:footnoteReference w:id="9"/>
      </w:r>
      <w:r w:rsidRPr="004E5023">
        <w:t xml:space="preserve"> in which Alfred, and the broader house of Wessex can claim a divine legitimacy above the common man. Ensuring that his family is perceived as holy, thus reinforcing their royal legitimacy.</w:t>
      </w:r>
    </w:p>
    <w:p w14:paraId="2D2D617F" w14:textId="42E6A3E0" w:rsidR="00A43454" w:rsidRPr="004E5023" w:rsidRDefault="00A43454" w:rsidP="00140AF6">
      <w:r w:rsidRPr="004E5023">
        <w:t>In 868, the entry portrays the house of Wessex as protectors of a broader area than Wessex alone, where Aethelred &amp; Alfred were requested by King Burhred, King of the Mercians to assist them in battle</w:t>
      </w:r>
      <w:r w:rsidR="00834CFA">
        <w:t>.</w:t>
      </w:r>
      <w:r w:rsidRPr="004E5023">
        <w:t xml:space="preserve"> </w:t>
      </w:r>
      <w:r w:rsidR="00834CFA">
        <w:t>Al</w:t>
      </w:r>
      <w:r w:rsidRPr="004E5023">
        <w:t>though there is no mention of what army they were fighting, it is possible that this was the Danish army camped in Northumbria from the account of the year before.</w:t>
      </w:r>
    </w:p>
    <w:p w14:paraId="08B8F684" w14:textId="2529A464" w:rsidR="00A43454" w:rsidRPr="004E5023" w:rsidRDefault="00A43454" w:rsidP="00140AF6">
      <w:r w:rsidRPr="004E5023">
        <w:t xml:space="preserve">The account of 871 depicts a broad narrative of the death of King Ethelred within a series of battles and skirmishes within Wessex and Mercian territory, in which Alfred is credited for leading forces against ‘two heathen kings, Bagsac and Healfden, and many earls’ </w:t>
      </w:r>
      <w:r w:rsidR="00E56E5B" w:rsidRPr="004E5023">
        <w:rPr>
          <w:rStyle w:val="FootnoteReference"/>
        </w:rPr>
        <w:footnoteReference w:id="10"/>
      </w:r>
      <w:r w:rsidRPr="004E5023">
        <w:t>and forcing their retreat. It is suggested that after King Ethelred’s death, Alfred continues his campaign against the Danish armies, remarking the death of ‘nine earls, and one king’</w:t>
      </w:r>
      <w:r w:rsidR="00E56E5B" w:rsidRPr="004E5023">
        <w:rPr>
          <w:rStyle w:val="FootnoteReference"/>
        </w:rPr>
        <w:footnoteReference w:id="11"/>
      </w:r>
      <w:r w:rsidRPr="004E5023">
        <w:t xml:space="preserve"> before making peace with them the same year.</w:t>
      </w:r>
    </w:p>
    <w:p w14:paraId="36FDB9EA" w14:textId="499445E7" w:rsidR="00A43454" w:rsidRPr="004E5023" w:rsidRDefault="00A43454" w:rsidP="00140AF6">
      <w:r w:rsidRPr="004E5023">
        <w:t>Upon his brother Aethelred’s death in 871, Alfred became King, where the responsibility of governance coincided with war and uncertainty. This was partially due to the succession which Aethelwulf put in place, passing the crown down the fraternal line, rather than paternal.</w:t>
      </w:r>
      <w:r w:rsidR="00E56E5B" w:rsidRPr="004E5023">
        <w:rPr>
          <w:rStyle w:val="FootnoteReference"/>
        </w:rPr>
        <w:footnoteReference w:id="12"/>
      </w:r>
      <w:r w:rsidRPr="004E5023">
        <w:t xml:space="preserve"> This act created tension between his nephews, who were overlooked for rule. This may have been one reason Alfred commissioned the Anglo-Saxon Chronicle, to create legitimacy for his role, being perceived by his peers as a capable ruler.</w:t>
      </w:r>
    </w:p>
    <w:p w14:paraId="3ED205EC" w14:textId="5F3E6B3C" w:rsidR="00A43454" w:rsidRPr="004E5023" w:rsidRDefault="00A43454" w:rsidP="00140AF6">
      <w:r w:rsidRPr="004E5023">
        <w:t xml:space="preserve">The chronicle goes on to depict the fate of King Burhred, remarking that he decided to abdicate and live the remainder of his life in Rome. The chronicle, that would have been writing from a Wessex-centric perspective shows disproval of Mercia’s choice of successor, </w:t>
      </w:r>
      <w:r w:rsidR="00AA5BC2" w:rsidRPr="004E5023">
        <w:t>naming ‘</w:t>
      </w:r>
      <w:r w:rsidRPr="004E5023">
        <w:t>Ceolwulf, an unwise king's thane’.</w:t>
      </w:r>
      <w:r w:rsidR="00E56E5B" w:rsidRPr="004E5023">
        <w:rPr>
          <w:rStyle w:val="FootnoteReference"/>
        </w:rPr>
        <w:footnoteReference w:id="13"/>
      </w:r>
      <w:r w:rsidRPr="004E5023">
        <w:t xml:space="preserve"> This could have been due to </w:t>
      </w:r>
      <w:r w:rsidRPr="004E5023">
        <w:lastRenderedPageBreak/>
        <w:t xml:space="preserve">Alfred’s ties to the Mercian court, through his </w:t>
      </w:r>
      <w:r w:rsidR="00834CFA">
        <w:t>m</w:t>
      </w:r>
      <w:r w:rsidRPr="004E5023">
        <w:t>atrilineal line, and his ambition to expand his ambitions of a united Anglo-Saxon Kingdom.</w:t>
      </w:r>
    </w:p>
    <w:p w14:paraId="1A3A0641" w14:textId="7F080243" w:rsidR="00A43454" w:rsidRPr="004E5023" w:rsidRDefault="00A43454" w:rsidP="00140AF6">
      <w:r w:rsidRPr="004E5023">
        <w:t xml:space="preserve">The narrative continues to portray Alfred as a successful warrior, </w:t>
      </w:r>
      <w:r w:rsidR="00FF665E" w:rsidRPr="004E5023">
        <w:t>leader,</w:t>
      </w:r>
      <w:r w:rsidRPr="004E5023">
        <w:t xml:space="preserve"> and saviour, though, throughout the noted battles, it is remarked repeatedly that King Alfred offered peace. This also puts Alfred above his peers and other contemporaries also conflicting with the Danes by noting that in 876, ‘the</w:t>
      </w:r>
      <w:r w:rsidRPr="004E5023">
        <w:rPr>
          <w:color w:val="000000"/>
        </w:rPr>
        <w:t xml:space="preserve"> </w:t>
      </w:r>
      <w:r w:rsidRPr="004E5023">
        <w:t>Danes in England swore oaths to King Alfred upon the holy ring, which before they would not do to any nation’.</w:t>
      </w:r>
      <w:r w:rsidR="00E56E5B" w:rsidRPr="004E5023">
        <w:rPr>
          <w:rStyle w:val="FootnoteReference"/>
        </w:rPr>
        <w:footnoteReference w:id="14"/>
      </w:r>
    </w:p>
    <w:p w14:paraId="2FDFFCAF" w14:textId="4546ADD6" w:rsidR="00A43454" w:rsidRPr="004E5023" w:rsidRDefault="00A43454" w:rsidP="00140AF6">
      <w:r w:rsidRPr="004E5023">
        <w:t>Alfred experienced conflict with the Dane &amp; Norse Vikings, which in 878, summited in an unexpected attack from the Scandinavian war leader Guthrum and his forces. The attack took place ‘during twelfth night</w:t>
      </w:r>
      <w:proofErr w:type="gramStart"/>
      <w:r w:rsidR="00055453" w:rsidRPr="004E5023">
        <w:t>’</w:t>
      </w:r>
      <w:r w:rsidR="00834CFA">
        <w:t>,</w:t>
      </w:r>
      <w:proofErr w:type="gramEnd"/>
      <w:r w:rsidR="00834CFA">
        <w:rPr>
          <w:rStyle w:val="FootnoteReference"/>
        </w:rPr>
        <w:footnoteReference w:id="15"/>
      </w:r>
      <w:r w:rsidRPr="004E5023">
        <w:t xml:space="preserve"> which was a Saxon</w:t>
      </w:r>
      <w:r w:rsidR="009F33C8" w:rsidRPr="004E5023">
        <w:t xml:space="preserve"> </w:t>
      </w:r>
      <w:r w:rsidRPr="004E5023">
        <w:t>feasting festival held over Christmas.</w:t>
      </w:r>
      <w:r w:rsidR="00E56E5B" w:rsidRPr="004E5023">
        <w:t xml:space="preserve"> </w:t>
      </w:r>
      <w:r w:rsidR="00E56E5B" w:rsidRPr="004E5023">
        <w:rPr>
          <w:rStyle w:val="FootnoteReference"/>
        </w:rPr>
        <w:footnoteReference w:id="16"/>
      </w:r>
      <w:r w:rsidRPr="004E5023">
        <w:t xml:space="preserve"> The Danes at the time were pagan, therefore would not have taken part in this tradition, and took advantage of their rival’s lowered guard. </w:t>
      </w:r>
      <w:r w:rsidR="00B15E1E" w:rsidRPr="004E5023">
        <w:t>Alfred was forced to escape into the Somerset marshes with a small band where they gathered support to reestablish his rule and muster forces to launch a counterattack on the Danes. Alfred is repeatedly portrayed as still ruling, which is expressed in statements such as ‘the greatest part they rode down, and subdued to their will;-- ALL BUT ALFRED THE KING’.</w:t>
      </w:r>
      <w:r w:rsidR="00E56E5B" w:rsidRPr="004E5023">
        <w:rPr>
          <w:rStyle w:val="FootnoteReference"/>
        </w:rPr>
        <w:footnoteReference w:id="17"/>
      </w:r>
      <w:r w:rsidR="00B15E1E" w:rsidRPr="004E5023">
        <w:t xml:space="preserve"> </w:t>
      </w:r>
      <w:r w:rsidRPr="004E5023">
        <w:t>Later in 878, Alfred won a pivotal battle, through the help of Somerset, Wiltshire and Hampshire, at Edington, where he forced Guthrum into a baptism and established himself as his godfather before creating a peace treaty which separated what is now England into Anglo Saxon land and what was held under Danish rule, which was named the Danelaw.</w:t>
      </w:r>
      <w:r w:rsidR="00E56E5B" w:rsidRPr="004E5023">
        <w:rPr>
          <w:rStyle w:val="FootnoteReference"/>
        </w:rPr>
        <w:footnoteReference w:id="18"/>
      </w:r>
    </w:p>
    <w:p w14:paraId="3EED8830" w14:textId="171F0240" w:rsidR="00A43454" w:rsidRPr="004E5023" w:rsidRDefault="00A43454" w:rsidP="00140AF6">
      <w:r w:rsidRPr="004E5023">
        <w:t xml:space="preserve">Once peace </w:t>
      </w:r>
      <w:r w:rsidR="00FF665E" w:rsidRPr="004E5023">
        <w:t xml:space="preserve">with the Danes </w:t>
      </w:r>
      <w:r w:rsidRPr="004E5023">
        <w:t>was temporarily secured, Alfred looked at reforming and optimising his kingdom, where he implemented a defensive infrastructure, such as a network of burhs, which were fortified towns, which aided in protecting his subjects and assets. A new rotation service was established for the fyrd, the local militia which made up the bulk of Anglo-Saxon forces</w:t>
      </w:r>
      <w:r w:rsidR="00B15E1E" w:rsidRPr="004E5023">
        <w:t>. This</w:t>
      </w:r>
      <w:r w:rsidRPr="004E5023">
        <w:t xml:space="preserve"> ensured general morale and troop health increased but also benefited the civic life for his subjects, such as better crop yields. In addition to this, King Alfred the Great is also mentioned in the chronicle for modernising the navy by redesigning the ships to be longer and taller than that of the Danes. He also </w:t>
      </w:r>
      <w:r w:rsidRPr="004E5023">
        <w:lastRenderedPageBreak/>
        <w:t>increased the number of ships within his navy.</w:t>
      </w:r>
      <w:r w:rsidR="00E56E5B" w:rsidRPr="004E5023">
        <w:rPr>
          <w:rStyle w:val="FootnoteReference"/>
        </w:rPr>
        <w:footnoteReference w:id="19"/>
      </w:r>
      <w:r w:rsidRPr="004E5023">
        <w:t xml:space="preserve"> These processes significantly improved Wessex’s ability to withstand further invasions and raids.</w:t>
      </w:r>
    </w:p>
    <w:p w14:paraId="398E5F45" w14:textId="3EE2C755" w:rsidR="00A43454" w:rsidRPr="004E5023" w:rsidRDefault="00A43454" w:rsidP="00140AF6">
      <w:r w:rsidRPr="004E5023">
        <w:t>Though Alfred, as often depicted, was known for his militaristic prowess, King Alfred also took steps at reforming law, where ‘he assembled the laws of Offa and other predecessors, and of the kingdoms of Mercia and Kent, adding his own administrative regulations to form a definitive body of Anglo-Saxon law</w:t>
      </w:r>
      <w:proofErr w:type="gramStart"/>
      <w:r w:rsidRPr="004E5023">
        <w:t>’</w:t>
      </w:r>
      <w:r w:rsidR="00E56E5B" w:rsidRPr="004E5023">
        <w:t>.</w:t>
      </w:r>
      <w:proofErr w:type="gramEnd"/>
      <w:r w:rsidR="00E56E5B" w:rsidRPr="004E5023">
        <w:t xml:space="preserve"> </w:t>
      </w:r>
      <w:r w:rsidR="00E56E5B" w:rsidRPr="004E5023">
        <w:rPr>
          <w:rStyle w:val="FootnoteReference"/>
        </w:rPr>
        <w:footnoteReference w:id="20"/>
      </w:r>
      <w:r w:rsidRPr="004E5023">
        <w:t xml:space="preserve"> He also heavily influenced the promotion of literacy and learning by translating documents into Old English from Latin, to make them more accessible to his subjects, and commissioned a historical recording of Britain, known as the Anglo-Saxon Chronicle.</w:t>
      </w:r>
      <w:r w:rsidR="00E56E5B" w:rsidRPr="004E5023">
        <w:rPr>
          <w:rStyle w:val="FootnoteReference"/>
        </w:rPr>
        <w:footnoteReference w:id="21"/>
      </w:r>
      <w:r w:rsidRPr="004E5023">
        <w:t xml:space="preserve"> These actions assist in portraying Alfred’s Wessex as a highly civilised and politically advanced kingdom.</w:t>
      </w:r>
    </w:p>
    <w:p w14:paraId="067E49FB" w14:textId="77777777" w:rsidR="00834CFA" w:rsidRPr="004E5023" w:rsidRDefault="00A43454" w:rsidP="00834CFA">
      <w:r w:rsidRPr="004E5023">
        <w:t>The Chronicle states in 883 that Pope Marinus sent King Alfred the “lignum Domini”.’ Which was a relic translating to “wood of the lord</w:t>
      </w:r>
      <w:r w:rsidR="00055453" w:rsidRPr="004E5023">
        <w:t>,”</w:t>
      </w:r>
      <w:r w:rsidRPr="004E5023">
        <w:t xml:space="preserve"> this further substantiates the image of Alfred to be a pious individual, supported, or at least approved of</w:t>
      </w:r>
      <w:r w:rsidR="00B15E1E" w:rsidRPr="004E5023">
        <w:t>,</w:t>
      </w:r>
      <w:r w:rsidRPr="004E5023">
        <w:t xml:space="preserve"> by the papacy.</w:t>
      </w:r>
      <w:r w:rsidR="00E56E5B" w:rsidRPr="004E5023">
        <w:rPr>
          <w:rStyle w:val="FootnoteReference"/>
        </w:rPr>
        <w:footnoteReference w:id="22"/>
      </w:r>
      <w:r w:rsidR="00834CFA">
        <w:t xml:space="preserve"> </w:t>
      </w:r>
      <w:r w:rsidR="00834CFA">
        <w:t>I</w:t>
      </w:r>
      <w:r w:rsidR="00834CFA" w:rsidRPr="004E5023">
        <w:t>n c</w:t>
      </w:r>
      <w:r w:rsidR="00834CFA" w:rsidRPr="004E5023">
        <w:t>onclusion</w:t>
      </w:r>
      <w:r w:rsidR="00834CFA" w:rsidRPr="004E5023">
        <w:t>, Alfred the Great is portrayed as a warrior king, who defended his kingdom against heavily unfavourable odds. The Chronicle depicts him as such, in conjunction with being heavily focused on improving the efficiency of his kingdom through reform and adaptation.</w:t>
      </w:r>
      <w:r w:rsidR="00834CFA" w:rsidRPr="00834CFA">
        <w:t xml:space="preserve"> </w:t>
      </w:r>
      <w:r w:rsidR="00834CFA" w:rsidRPr="004E5023">
        <w:t>It portrays Alfred as a form of saviour, with the God given right to rule whilst creating legitimacy for his line. The information in the chronicle is heavily tailored to create this narrative, as other sources about Alfreds life, such as Asser’s Life of Alfred, which creates a more balanced source of information. For example, Alfred had health issues from an early age which would not have been beneficial to create the image of an ideal ruler.</w:t>
      </w:r>
      <w:r w:rsidR="00834CFA" w:rsidRPr="004E5023">
        <w:rPr>
          <w:rStyle w:val="FootnoteReference"/>
        </w:rPr>
        <w:footnoteReference w:id="23"/>
      </w:r>
      <w:r w:rsidR="00834CFA" w:rsidRPr="004E5023">
        <w:t xml:space="preserve"> However, the accounts in the record and other contemporary sources indicate that King Alfred’s life was remarkable, and his reign benefited the idea of England and</w:t>
      </w:r>
      <w:r w:rsidR="00834CFA">
        <w:t xml:space="preserve"> </w:t>
      </w:r>
      <w:r w:rsidR="00834CFA" w:rsidRPr="004E5023">
        <w:t>improved the lives and future of his Kingdom. The Chronicle itself stands as a testament of his reign.</w:t>
      </w:r>
    </w:p>
    <w:p w14:paraId="25E9BEFF" w14:textId="35E8E8FE" w:rsidR="00A43454" w:rsidRPr="004E5023" w:rsidRDefault="00A43454" w:rsidP="00140AF6"/>
    <w:p w14:paraId="3F8E5591" w14:textId="77777777" w:rsidR="00E134EA" w:rsidRDefault="00E134EA" w:rsidP="00140AF6">
      <w:pPr>
        <w:rPr>
          <w:b/>
          <w:bCs/>
        </w:rPr>
      </w:pPr>
    </w:p>
    <w:p w14:paraId="7D6FAF69" w14:textId="40A94C80" w:rsidR="00140AF6" w:rsidRDefault="00362379" w:rsidP="00140AF6">
      <w:pPr>
        <w:rPr>
          <w:b/>
          <w:bCs/>
        </w:rPr>
      </w:pPr>
      <w:r>
        <w:rPr>
          <w:b/>
          <w:bCs/>
        </w:rPr>
        <w:lastRenderedPageBreak/>
        <w:t>Bibliography</w:t>
      </w:r>
    </w:p>
    <w:p w14:paraId="6CA06228" w14:textId="22BEF995" w:rsidR="00183CD9" w:rsidRDefault="00183CD9" w:rsidP="00183CD9">
      <w:pPr>
        <w:pStyle w:val="FootnoteText"/>
      </w:pPr>
      <w:r>
        <w:t xml:space="preserve">Asser, John, </w:t>
      </w:r>
      <w:r>
        <w:rPr>
          <w:i/>
          <w:iCs/>
        </w:rPr>
        <w:t xml:space="preserve">Asser’s Life Of King Alfred, </w:t>
      </w:r>
      <w:r>
        <w:t xml:space="preserve">trans. by Albert Cook </w:t>
      </w:r>
      <w:r w:rsidRPr="00E4400B">
        <w:t>(</w:t>
      </w:r>
      <w:r>
        <w:t xml:space="preserve">Project </w:t>
      </w:r>
      <w:proofErr w:type="spellStart"/>
      <w:r>
        <w:t>Gutenburg</w:t>
      </w:r>
      <w:proofErr w:type="spellEnd"/>
      <w:r>
        <w:t>,</w:t>
      </w:r>
      <w:r w:rsidRPr="00E4400B">
        <w:t xml:space="preserve"> 1996)</w:t>
      </w:r>
      <w:r>
        <w:t>, &lt;</w:t>
      </w:r>
      <w:hyperlink r:id="rId8" w:history="1">
        <w:r w:rsidRPr="00D565FA">
          <w:rPr>
            <w:rStyle w:val="Hyperlink"/>
          </w:rPr>
          <w:t>https://www.gutenberg.org/files/63384/63384-h/63384-h.htm#sec_87</w:t>
        </w:r>
      </w:hyperlink>
      <w:r>
        <w:t>&gt; [accessed 2 December 2024]</w:t>
      </w:r>
    </w:p>
    <w:p w14:paraId="0F80BEB6" w14:textId="77777777" w:rsidR="00183CD9" w:rsidRDefault="00183CD9" w:rsidP="00183CD9">
      <w:pPr>
        <w:pStyle w:val="FootnoteText"/>
      </w:pPr>
    </w:p>
    <w:p w14:paraId="2C17196C" w14:textId="499B2C42" w:rsidR="004E5023" w:rsidRPr="004C3596" w:rsidRDefault="004E5023" w:rsidP="004E5023">
      <w:pPr>
        <w:pStyle w:val="FootnoteText"/>
      </w:pPr>
      <w:r>
        <w:t xml:space="preserve">Brian, </w:t>
      </w:r>
      <w:r>
        <w:t xml:space="preserve">Jessica, </w:t>
      </w:r>
      <w:r w:rsidRPr="004C3596">
        <w:rPr>
          <w:i/>
          <w:iCs/>
        </w:rPr>
        <w:t xml:space="preserve">Alfred </w:t>
      </w:r>
      <w:proofErr w:type="gramStart"/>
      <w:r w:rsidRPr="004C3596">
        <w:rPr>
          <w:i/>
          <w:iCs/>
        </w:rPr>
        <w:t>The</w:t>
      </w:r>
      <w:proofErr w:type="gramEnd"/>
      <w:r w:rsidRPr="004C3596">
        <w:rPr>
          <w:i/>
          <w:iCs/>
        </w:rPr>
        <w:t xml:space="preserve"> Great</w:t>
      </w:r>
      <w:r>
        <w:rPr>
          <w:i/>
          <w:iCs/>
        </w:rPr>
        <w:t xml:space="preserve">, </w:t>
      </w:r>
      <w:r>
        <w:t>(2019)</w:t>
      </w:r>
    </w:p>
    <w:p w14:paraId="0D3713A9" w14:textId="6FFB24AB" w:rsidR="004E5023" w:rsidRDefault="004E5023" w:rsidP="004E5023">
      <w:pPr>
        <w:pStyle w:val="FootnoteText"/>
      </w:pPr>
      <w:r>
        <w:t>&lt;</w:t>
      </w:r>
      <w:hyperlink r:id="rId9" w:history="1">
        <w:r w:rsidRPr="00D565FA">
          <w:rPr>
            <w:rStyle w:val="Hyperlink"/>
          </w:rPr>
          <w:t>https://www.historic-uk.com/HistoryUK/HistoryofEngland/Alfred-the-Great/</w:t>
        </w:r>
      </w:hyperlink>
      <w:r>
        <w:t>&gt; [accessed 2 December 2024]</w:t>
      </w:r>
    </w:p>
    <w:p w14:paraId="14FA028E" w14:textId="77777777" w:rsidR="004E5023" w:rsidRDefault="004E5023" w:rsidP="004E5023">
      <w:pPr>
        <w:pStyle w:val="FootnoteText"/>
      </w:pPr>
    </w:p>
    <w:p w14:paraId="5640B1FD" w14:textId="40B161A1" w:rsidR="004E5023" w:rsidRDefault="004E5023" w:rsidP="004E5023">
      <w:pPr>
        <w:pStyle w:val="FootnoteText"/>
      </w:pPr>
      <w:r>
        <w:t>Bill</w:t>
      </w:r>
      <w:r>
        <w:t>, Jan</w:t>
      </w:r>
      <w:r>
        <w:t xml:space="preserve">, </w:t>
      </w:r>
      <w:r w:rsidRPr="00E4400B">
        <w:rPr>
          <w:i/>
          <w:iCs/>
        </w:rPr>
        <w:t>The Anglo-Saxon Chronicle</w:t>
      </w:r>
      <w:r>
        <w:t>, &lt;</w:t>
      </w:r>
      <w:hyperlink r:id="rId10" w:history="1">
        <w:r w:rsidRPr="00B40E59">
          <w:rPr>
            <w:rStyle w:val="Hyperlink"/>
          </w:rPr>
          <w:t>https://www.vikingeskibsmuseet.dk/en/professions/education/the-longships/the-historical-sources/the-anglo-saxon-chronicle</w:t>
        </w:r>
      </w:hyperlink>
      <w:r>
        <w:t>&gt;</w:t>
      </w:r>
      <w:r w:rsidRPr="00B40E59">
        <w:t xml:space="preserve"> [accessed 2 December 2024]</w:t>
      </w:r>
    </w:p>
    <w:p w14:paraId="0AF91DCA" w14:textId="77777777" w:rsidR="004E5023" w:rsidRDefault="004E5023" w:rsidP="004E5023">
      <w:pPr>
        <w:pStyle w:val="FootnoteText"/>
      </w:pPr>
    </w:p>
    <w:p w14:paraId="4008C77D" w14:textId="60FA6766" w:rsidR="00183CD9" w:rsidRPr="00964D94" w:rsidRDefault="00183CD9" w:rsidP="00183CD9">
      <w:pPr>
        <w:pStyle w:val="FootnoteText"/>
        <w:rPr>
          <w:b/>
          <w:bCs/>
        </w:rPr>
      </w:pPr>
      <w:r>
        <w:t xml:space="preserve">Chronicon Ex Chronicis, </w:t>
      </w:r>
      <w:r w:rsidRPr="00964D94">
        <w:rPr>
          <w:i/>
          <w:iCs/>
        </w:rPr>
        <w:t xml:space="preserve">A Tale </w:t>
      </w:r>
      <w:proofErr w:type="gramStart"/>
      <w:r w:rsidRPr="00964D94">
        <w:rPr>
          <w:i/>
          <w:iCs/>
        </w:rPr>
        <w:t>Of</w:t>
      </w:r>
      <w:proofErr w:type="gramEnd"/>
      <w:r w:rsidRPr="00964D94">
        <w:rPr>
          <w:i/>
          <w:iCs/>
        </w:rPr>
        <w:t xml:space="preserve"> Two Cousins: Æthelwold And Edward The Elder</w:t>
      </w:r>
      <w:r>
        <w:rPr>
          <w:i/>
          <w:iCs/>
        </w:rPr>
        <w:t xml:space="preserve"> </w:t>
      </w:r>
      <w:r>
        <w:t xml:space="preserve">(2019) </w:t>
      </w:r>
    </w:p>
    <w:p w14:paraId="2BD9D8C2" w14:textId="77777777" w:rsidR="00183CD9" w:rsidRDefault="00183CD9" w:rsidP="00183CD9">
      <w:pPr>
        <w:pStyle w:val="FootnoteText"/>
      </w:pPr>
      <w:r>
        <w:t>&lt;</w:t>
      </w:r>
      <w:hyperlink r:id="rId11" w:history="1">
        <w:r w:rsidRPr="00D565FA">
          <w:rPr>
            <w:rStyle w:val="Hyperlink"/>
          </w:rPr>
          <w:t>https://chroniconchronicon.home.blog/2019/05/17/a-tale-of-two-cousins-aethelwold-and-edward-the-elder/</w:t>
        </w:r>
      </w:hyperlink>
      <w:r>
        <w:t>&gt; [accessed 2 December 2024]</w:t>
      </w:r>
    </w:p>
    <w:p w14:paraId="1AB3820F" w14:textId="77777777" w:rsidR="00183CD9" w:rsidRDefault="00183CD9" w:rsidP="00183CD9">
      <w:pPr>
        <w:pStyle w:val="FootnoteText"/>
      </w:pPr>
    </w:p>
    <w:p w14:paraId="31DC42E6" w14:textId="77777777" w:rsidR="00183CD9" w:rsidRDefault="00183CD9" w:rsidP="00183CD9">
      <w:pPr>
        <w:pStyle w:val="FootnoteText"/>
      </w:pPr>
      <w:r>
        <w:t>Encyclopaedia Brittanica,</w:t>
      </w:r>
      <w:r w:rsidRPr="00E4400B">
        <w:t xml:space="preserve"> </w:t>
      </w:r>
      <w:r w:rsidRPr="00BC4C97">
        <w:rPr>
          <w:i/>
          <w:iCs/>
        </w:rPr>
        <w:t>Anglo-Saxon Chronicle</w:t>
      </w:r>
      <w:r w:rsidRPr="00E4400B">
        <w:t xml:space="preserve"> </w:t>
      </w:r>
      <w:r>
        <w:t>(</w:t>
      </w:r>
      <w:r w:rsidRPr="00E4400B">
        <w:t>2011</w:t>
      </w:r>
      <w:r>
        <w:t>)</w:t>
      </w:r>
      <w:r w:rsidRPr="00E4400B">
        <w:t xml:space="preserve"> </w:t>
      </w:r>
      <w:r>
        <w:t>&lt;</w:t>
      </w:r>
      <w:hyperlink r:id="rId12" w:history="1">
        <w:r w:rsidRPr="00D565FA">
          <w:rPr>
            <w:rStyle w:val="Hyperlink"/>
          </w:rPr>
          <w:t>https://www.britannica.com/topic/Anglo-Saxon-Chronicle</w:t>
        </w:r>
      </w:hyperlink>
      <w:r>
        <w:t>&gt; [accessed 2 December 2024]</w:t>
      </w:r>
    </w:p>
    <w:p w14:paraId="74DE1EB8" w14:textId="77777777" w:rsidR="0044147D" w:rsidRDefault="0044147D" w:rsidP="00183CD9">
      <w:pPr>
        <w:pStyle w:val="FootnoteText"/>
      </w:pPr>
    </w:p>
    <w:p w14:paraId="042765B8" w14:textId="7675EEC6" w:rsidR="0044147D" w:rsidRDefault="0044147D" w:rsidP="00183CD9">
      <w:pPr>
        <w:pStyle w:val="FootnoteText"/>
      </w:pPr>
      <w:r>
        <w:t xml:space="preserve">English School, </w:t>
      </w:r>
      <w:r w:rsidRPr="0044147D">
        <w:rPr>
          <w:i/>
          <w:iCs/>
        </w:rPr>
        <w:t>Alfred The Great, After A Painting In The Bodleian Gallery</w:t>
      </w:r>
      <w:r>
        <w:t>, [Colour lithograph], &lt;</w:t>
      </w:r>
      <w:r w:rsidRPr="0044147D">
        <w:t xml:space="preserve"> </w:t>
      </w:r>
      <w:hyperlink r:id="rId13" w:history="1">
        <w:r w:rsidRPr="00D565FA">
          <w:rPr>
            <w:rStyle w:val="Hyperlink"/>
          </w:rPr>
          <w:t>https://www.myartprints.co.uk/a/english-school/alfred-the-great-849-99-a.html</w:t>
        </w:r>
      </w:hyperlink>
      <w:r>
        <w:t>&gt; [accessed 2 December 2024].</w:t>
      </w:r>
    </w:p>
    <w:p w14:paraId="7F97EEE8" w14:textId="77777777" w:rsidR="00183CD9" w:rsidRDefault="00183CD9" w:rsidP="00183CD9">
      <w:pPr>
        <w:pStyle w:val="FootnoteText"/>
      </w:pPr>
    </w:p>
    <w:p w14:paraId="0BFD320A" w14:textId="5C3041F3" w:rsidR="00183CD9" w:rsidRPr="00964D94" w:rsidRDefault="00183CD9" w:rsidP="00183CD9">
      <w:pPr>
        <w:pStyle w:val="FootnoteText"/>
      </w:pPr>
      <w:r>
        <w:t xml:space="preserve">Huxtable, Sally-Anne, </w:t>
      </w:r>
      <w:r w:rsidRPr="00964D94">
        <w:rPr>
          <w:i/>
          <w:iCs/>
        </w:rPr>
        <w:t xml:space="preserve">Wassailing: Ritual </w:t>
      </w:r>
      <w:proofErr w:type="gramStart"/>
      <w:r w:rsidRPr="00964D94">
        <w:rPr>
          <w:i/>
          <w:iCs/>
        </w:rPr>
        <w:t>And</w:t>
      </w:r>
      <w:proofErr w:type="gramEnd"/>
      <w:r w:rsidRPr="00964D94">
        <w:rPr>
          <w:i/>
          <w:iCs/>
        </w:rPr>
        <w:t xml:space="preserve"> Revelry</w:t>
      </w:r>
    </w:p>
    <w:p w14:paraId="0B756834" w14:textId="77777777" w:rsidR="00183CD9" w:rsidRDefault="00183CD9" w:rsidP="00183CD9">
      <w:pPr>
        <w:pStyle w:val="FootnoteText"/>
      </w:pPr>
      <w:r>
        <w:t>&lt;</w:t>
      </w:r>
      <w:hyperlink r:id="rId14" w:history="1">
        <w:r w:rsidRPr="00D565FA">
          <w:rPr>
            <w:rStyle w:val="Hyperlink"/>
          </w:rPr>
          <w:t>https://www.nationaltrust.org.uk/discover/history/art-collections/wassailing-ritual-and-revelry</w:t>
        </w:r>
      </w:hyperlink>
      <w:r>
        <w:t>&gt; [accessed 2 December 2024]</w:t>
      </w:r>
    </w:p>
    <w:p w14:paraId="715C6D52" w14:textId="77777777" w:rsidR="00183CD9" w:rsidRDefault="00183CD9" w:rsidP="00183CD9">
      <w:pPr>
        <w:pStyle w:val="FootnoteText"/>
      </w:pPr>
    </w:p>
    <w:p w14:paraId="235E2091" w14:textId="589C94D5" w:rsidR="00183CD9" w:rsidRDefault="00183CD9" w:rsidP="00183CD9">
      <w:pPr>
        <w:pStyle w:val="FootnoteText"/>
      </w:pPr>
      <w:r>
        <w:t xml:space="preserve">Keynes, Simon, </w:t>
      </w:r>
      <w:r>
        <w:rPr>
          <w:i/>
          <w:iCs/>
        </w:rPr>
        <w:t xml:space="preserve">Alfred The Great And The Kingdom Of The Anglo-Saxons, </w:t>
      </w:r>
      <w:r>
        <w:t xml:space="preserve"> &lt;</w:t>
      </w:r>
      <w:hyperlink r:id="rId15" w:history="1">
        <w:r w:rsidRPr="00D565FA">
          <w:rPr>
            <w:rStyle w:val="Hyperlink"/>
          </w:rPr>
          <w:t>https://api.repository.cam.ac.uk/server/api/core/bit</w:t>
        </w:r>
        <w:r w:rsidRPr="00D565FA">
          <w:rPr>
            <w:rStyle w:val="Hyperlink"/>
          </w:rPr>
          <w:t>s</w:t>
        </w:r>
        <w:r w:rsidRPr="00D565FA">
          <w:rPr>
            <w:rStyle w:val="Hyperlink"/>
          </w:rPr>
          <w:t>treams/990c6e9b-d04a-44c9-b3c2-803e17a0f831/content</w:t>
        </w:r>
      </w:hyperlink>
      <w:r>
        <w:t>&gt; [accessed 2 December 2024]</w:t>
      </w:r>
    </w:p>
    <w:p w14:paraId="37BA2575" w14:textId="77777777" w:rsidR="00183CD9" w:rsidRDefault="00183CD9" w:rsidP="00183CD9">
      <w:pPr>
        <w:pStyle w:val="FootnoteText"/>
      </w:pPr>
    </w:p>
    <w:p w14:paraId="4A235F4C" w14:textId="425EFD8D" w:rsidR="00183CD9" w:rsidRDefault="00183CD9" w:rsidP="00183CD9">
      <w:pPr>
        <w:pStyle w:val="FootnoteText"/>
      </w:pPr>
      <w:r>
        <w:t>Keynes, Simon,</w:t>
      </w:r>
      <w:r w:rsidRPr="00E56E5B">
        <w:t xml:space="preserve"> </w:t>
      </w:r>
      <w:r>
        <w:t>‘</w:t>
      </w:r>
      <w:r w:rsidRPr="00E56E5B">
        <w:t xml:space="preserve">King Alfred </w:t>
      </w:r>
      <w:proofErr w:type="gramStart"/>
      <w:r w:rsidRPr="00E56E5B">
        <w:t>And</w:t>
      </w:r>
      <w:proofErr w:type="gramEnd"/>
      <w:r w:rsidRPr="00E56E5B">
        <w:t xml:space="preserve"> The West Saxon Kingdom</w:t>
      </w:r>
      <w:r>
        <w:t>’,</w:t>
      </w:r>
      <w:r w:rsidRPr="00E56E5B">
        <w:t xml:space="preserve"> </w:t>
      </w:r>
      <w:r w:rsidRPr="00E56E5B">
        <w:rPr>
          <w:i/>
          <w:iCs/>
        </w:rPr>
        <w:t>Transactions Of The Royal Historical Society</w:t>
      </w:r>
      <w:r w:rsidRPr="00E56E5B">
        <w:t xml:space="preserve">, 36 </w:t>
      </w:r>
      <w:r>
        <w:t>(</w:t>
      </w:r>
      <w:r w:rsidRPr="00E56E5B">
        <w:t>1986</w:t>
      </w:r>
      <w:r>
        <w:t>)</w:t>
      </w:r>
      <w:r w:rsidRPr="00E56E5B">
        <w:t>,</w:t>
      </w:r>
      <w:r>
        <w:t xml:space="preserve"> 195-217 &lt;DOI (</w:t>
      </w:r>
      <w:r w:rsidRPr="00BC4C97">
        <w:rPr>
          <w:u w:val="single"/>
        </w:rPr>
        <w:t>10.2307/3679065</w:t>
      </w:r>
      <w:r>
        <w:rPr>
          <w:u w:val="single"/>
        </w:rPr>
        <w:t>)</w:t>
      </w:r>
      <w:r>
        <w:t>&gt;</w:t>
      </w:r>
    </w:p>
    <w:p w14:paraId="3E5BDF0A" w14:textId="77777777" w:rsidR="00183CD9" w:rsidRDefault="00183CD9" w:rsidP="00183CD9">
      <w:pPr>
        <w:pStyle w:val="FootnoteText"/>
      </w:pPr>
    </w:p>
    <w:p w14:paraId="11F890EC" w14:textId="158CBE0C" w:rsidR="004E5023" w:rsidRPr="00E4400B" w:rsidRDefault="004E5023" w:rsidP="004E5023">
      <w:pPr>
        <w:pStyle w:val="FootnoteText"/>
      </w:pPr>
      <w:r w:rsidRPr="00E4400B">
        <w:rPr>
          <w:i/>
          <w:iCs/>
        </w:rPr>
        <w:t>The Anglo-Saxon Chronicle</w:t>
      </w:r>
      <w:r>
        <w:t xml:space="preserve">, trans. by J </w:t>
      </w:r>
      <w:r w:rsidRPr="00E4400B">
        <w:t xml:space="preserve">Ingram </w:t>
      </w:r>
      <w:r>
        <w:t>and</w:t>
      </w:r>
      <w:r w:rsidRPr="00E4400B">
        <w:t xml:space="preserve"> J </w:t>
      </w:r>
      <w:proofErr w:type="gramStart"/>
      <w:r w:rsidRPr="00E4400B">
        <w:t>A</w:t>
      </w:r>
      <w:proofErr w:type="gramEnd"/>
      <w:r w:rsidRPr="00E4400B">
        <w:t xml:space="preserve"> Giles</w:t>
      </w:r>
      <w:r>
        <w:t xml:space="preserve"> </w:t>
      </w:r>
      <w:r w:rsidRPr="00E4400B">
        <w:t>(</w:t>
      </w:r>
      <w:r>
        <w:t xml:space="preserve">Project </w:t>
      </w:r>
      <w:proofErr w:type="spellStart"/>
      <w:r>
        <w:t>Gutenburg</w:t>
      </w:r>
      <w:proofErr w:type="spellEnd"/>
      <w:r>
        <w:t>,</w:t>
      </w:r>
      <w:r w:rsidRPr="00E4400B">
        <w:t xml:space="preserve"> 1996)</w:t>
      </w:r>
    </w:p>
    <w:p w14:paraId="2E3F12A2" w14:textId="02B53578" w:rsidR="004E5023" w:rsidRDefault="004E5023" w:rsidP="004E5023">
      <w:pPr>
        <w:pStyle w:val="FootnoteText"/>
      </w:pPr>
      <w:r>
        <w:t xml:space="preserve"> &lt;</w:t>
      </w:r>
      <w:hyperlink r:id="rId16" w:history="1">
        <w:r w:rsidRPr="00D565FA">
          <w:rPr>
            <w:rStyle w:val="Hyperlink"/>
          </w:rPr>
          <w:t>https://www.gutenberg.org/cache/epub/657/pg657-images.html</w:t>
        </w:r>
      </w:hyperlink>
      <w:r>
        <w:t>&gt; [accessed 2 December 2024]</w:t>
      </w:r>
    </w:p>
    <w:p w14:paraId="433CB113" w14:textId="77777777" w:rsidR="004E5023" w:rsidRDefault="004E5023" w:rsidP="004E5023">
      <w:pPr>
        <w:pStyle w:val="FootnoteText"/>
      </w:pPr>
    </w:p>
    <w:p w14:paraId="01EFABF1" w14:textId="77777777" w:rsidR="00183CD9" w:rsidRPr="00964D94" w:rsidRDefault="00183CD9" w:rsidP="00183CD9">
      <w:pPr>
        <w:pStyle w:val="FootnoteText"/>
        <w:rPr>
          <w:b/>
          <w:bCs/>
        </w:rPr>
      </w:pPr>
      <w:r>
        <w:t xml:space="preserve">The Royal Household, </w:t>
      </w:r>
      <w:r w:rsidRPr="00964D94">
        <w:rPr>
          <w:i/>
          <w:iCs/>
        </w:rPr>
        <w:t>Alfred 'The Great</w:t>
      </w:r>
      <w:r>
        <w:rPr>
          <w:i/>
          <w:iCs/>
        </w:rPr>
        <w:t>’</w:t>
      </w:r>
      <w:r w:rsidRPr="00964D94">
        <w:rPr>
          <w:i/>
          <w:iCs/>
        </w:rPr>
        <w:t xml:space="preserve"> (r. 871-899)</w:t>
      </w:r>
    </w:p>
    <w:p w14:paraId="62A3FC3D" w14:textId="77777777" w:rsidR="00183CD9" w:rsidRDefault="00183CD9" w:rsidP="00183CD9">
      <w:pPr>
        <w:pStyle w:val="FootnoteText"/>
      </w:pPr>
      <w:r>
        <w:t>&lt;</w:t>
      </w:r>
      <w:hyperlink r:id="rId17" w:history="1">
        <w:r w:rsidRPr="00D565FA">
          <w:rPr>
            <w:rStyle w:val="Hyperlink"/>
          </w:rPr>
          <w:t>https://www.royal.uk/alfred-great-r-871-899#:~:text=Like%20other%20West%20Saxon%20kings,body%20of%20Anglo%2DSaxon%20law</w:t>
        </w:r>
      </w:hyperlink>
      <w:r>
        <w:t>&gt; [accessed 2 December 2024]</w:t>
      </w:r>
    </w:p>
    <w:p w14:paraId="3FCFB08D" w14:textId="77777777" w:rsidR="00183CD9" w:rsidRDefault="00183CD9" w:rsidP="00183CD9">
      <w:pPr>
        <w:pStyle w:val="FootnoteText"/>
      </w:pPr>
    </w:p>
    <w:p w14:paraId="0A620C2F" w14:textId="2B778368" w:rsidR="004E5023" w:rsidRDefault="004E5023" w:rsidP="004E5023">
      <w:pPr>
        <w:pStyle w:val="FootnoteText"/>
      </w:pPr>
      <w:r>
        <w:t xml:space="preserve">Vale Of Evesham History, </w:t>
      </w:r>
      <w:r w:rsidRPr="001F1291">
        <w:rPr>
          <w:i/>
          <w:iCs/>
        </w:rPr>
        <w:t xml:space="preserve">Alfred </w:t>
      </w:r>
      <w:proofErr w:type="gramStart"/>
      <w:r w:rsidRPr="001F1291">
        <w:rPr>
          <w:i/>
          <w:iCs/>
        </w:rPr>
        <w:t>The</w:t>
      </w:r>
      <w:proofErr w:type="gramEnd"/>
      <w:r w:rsidRPr="001F1291">
        <w:rPr>
          <w:i/>
          <w:iCs/>
        </w:rPr>
        <w:t xml:space="preserve"> Great - A Fortunate King?</w:t>
      </w:r>
      <w:r>
        <w:t xml:space="preserve"> &lt;</w:t>
      </w:r>
      <w:hyperlink r:id="rId18" w:history="1">
        <w:r w:rsidRPr="00D565FA">
          <w:rPr>
            <w:rStyle w:val="Hyperlink"/>
          </w:rPr>
          <w:t>https://www.valeofeveshamhistory.org.uk/alfred-the-great</w:t>
        </w:r>
      </w:hyperlink>
      <w:r>
        <w:t>&gt; [accessed 2 December 2024]</w:t>
      </w:r>
    </w:p>
    <w:p w14:paraId="40F09558" w14:textId="77777777" w:rsidR="004E5023" w:rsidRDefault="004E5023" w:rsidP="004E5023">
      <w:pPr>
        <w:pStyle w:val="FootnoteText"/>
      </w:pPr>
    </w:p>
    <w:p w14:paraId="29D2DAB9" w14:textId="77777777" w:rsidR="004E5023" w:rsidRDefault="004E5023" w:rsidP="004E5023">
      <w:pPr>
        <w:pStyle w:val="FootnoteText"/>
      </w:pPr>
    </w:p>
    <w:p w14:paraId="20F28950" w14:textId="77777777" w:rsidR="004E5023" w:rsidRDefault="004E5023" w:rsidP="004E5023">
      <w:pPr>
        <w:pStyle w:val="FootnoteText"/>
      </w:pPr>
    </w:p>
    <w:p w14:paraId="4497C09A" w14:textId="77777777" w:rsidR="004E5023" w:rsidRDefault="004E5023" w:rsidP="004E5023">
      <w:pPr>
        <w:pStyle w:val="FootnoteText"/>
      </w:pPr>
    </w:p>
    <w:p w14:paraId="71AD59C8" w14:textId="77777777" w:rsidR="004E5023" w:rsidRDefault="004E5023" w:rsidP="004E5023">
      <w:pPr>
        <w:pStyle w:val="FootnoteText"/>
      </w:pPr>
    </w:p>
    <w:p w14:paraId="72637204" w14:textId="77777777" w:rsidR="004E5023" w:rsidRDefault="004E5023" w:rsidP="00A43454">
      <w:pPr>
        <w:rPr>
          <w:b/>
          <w:bCs/>
        </w:rPr>
      </w:pPr>
    </w:p>
    <w:sectPr w:rsidR="004E502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AC913" w14:textId="77777777" w:rsidR="0014779A" w:rsidRDefault="0014779A" w:rsidP="00E56E5B">
      <w:pPr>
        <w:spacing w:after="0" w:line="240" w:lineRule="auto"/>
      </w:pPr>
      <w:r>
        <w:separator/>
      </w:r>
    </w:p>
  </w:endnote>
  <w:endnote w:type="continuationSeparator" w:id="0">
    <w:p w14:paraId="55E4B822" w14:textId="77777777" w:rsidR="0014779A" w:rsidRDefault="0014779A" w:rsidP="00E5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DF85E" w14:textId="77777777" w:rsidR="0014779A" w:rsidRDefault="0014779A" w:rsidP="00E56E5B">
      <w:pPr>
        <w:spacing w:after="0" w:line="240" w:lineRule="auto"/>
      </w:pPr>
      <w:r>
        <w:separator/>
      </w:r>
    </w:p>
  </w:footnote>
  <w:footnote w:type="continuationSeparator" w:id="0">
    <w:p w14:paraId="180C9C92" w14:textId="77777777" w:rsidR="0014779A" w:rsidRDefault="0014779A" w:rsidP="00E56E5B">
      <w:pPr>
        <w:spacing w:after="0" w:line="240" w:lineRule="auto"/>
      </w:pPr>
      <w:r>
        <w:continuationSeparator/>
      </w:r>
    </w:p>
  </w:footnote>
  <w:footnote w:id="1">
    <w:p w14:paraId="5E9B7133" w14:textId="6E9F9437" w:rsidR="004C3596" w:rsidRPr="004C3596" w:rsidRDefault="00E56E5B" w:rsidP="004C3596">
      <w:pPr>
        <w:pStyle w:val="FootnoteText"/>
      </w:pPr>
      <w:r>
        <w:rPr>
          <w:rStyle w:val="FootnoteReference"/>
        </w:rPr>
        <w:footnoteRef/>
      </w:r>
      <w:r>
        <w:t xml:space="preserve"> </w:t>
      </w:r>
      <w:r w:rsidR="004C3596">
        <w:t xml:space="preserve">Jessica Brian, </w:t>
      </w:r>
      <w:r w:rsidR="004C3596" w:rsidRPr="004C3596">
        <w:rPr>
          <w:i/>
          <w:iCs/>
        </w:rPr>
        <w:t xml:space="preserve">Alfred </w:t>
      </w:r>
      <w:proofErr w:type="gramStart"/>
      <w:r w:rsidR="00554E3E" w:rsidRPr="004C3596">
        <w:rPr>
          <w:i/>
          <w:iCs/>
        </w:rPr>
        <w:t>The</w:t>
      </w:r>
      <w:proofErr w:type="gramEnd"/>
      <w:r w:rsidR="00554E3E" w:rsidRPr="004C3596">
        <w:rPr>
          <w:i/>
          <w:iCs/>
        </w:rPr>
        <w:t xml:space="preserve"> </w:t>
      </w:r>
      <w:r w:rsidR="004C3596" w:rsidRPr="004C3596">
        <w:rPr>
          <w:i/>
          <w:iCs/>
        </w:rPr>
        <w:t>Great</w:t>
      </w:r>
      <w:r w:rsidR="004C3596">
        <w:rPr>
          <w:i/>
          <w:iCs/>
        </w:rPr>
        <w:t xml:space="preserve">, </w:t>
      </w:r>
      <w:r w:rsidR="00BA2A6E">
        <w:t>(2019)</w:t>
      </w:r>
    </w:p>
    <w:p w14:paraId="6C61FBF6" w14:textId="49CCF127" w:rsidR="00B40E59" w:rsidRDefault="00B40E59">
      <w:pPr>
        <w:pStyle w:val="FootnoteText"/>
      </w:pPr>
      <w:r>
        <w:t>&lt;</w:t>
      </w:r>
      <w:hyperlink r:id="rId1" w:history="1">
        <w:r w:rsidRPr="00D565FA">
          <w:rPr>
            <w:rStyle w:val="Hyperlink"/>
          </w:rPr>
          <w:t>https://www.historic-uk.com/HistoryUK/HistoryofEngland/Alfred-the-Great/</w:t>
        </w:r>
      </w:hyperlink>
      <w:r>
        <w:t>&gt;</w:t>
      </w:r>
      <w:r w:rsidR="004C3596">
        <w:t xml:space="preserve"> [accessed 2 December 2024]</w:t>
      </w:r>
      <w:r w:rsidR="00BA2A6E">
        <w:t>.</w:t>
      </w:r>
    </w:p>
    <w:p w14:paraId="3F300965" w14:textId="77777777" w:rsidR="00554E3E" w:rsidRDefault="00554E3E">
      <w:pPr>
        <w:pStyle w:val="FootnoteText"/>
      </w:pPr>
    </w:p>
  </w:footnote>
  <w:footnote w:id="2">
    <w:p w14:paraId="2B314753" w14:textId="465FA186" w:rsidR="0044147D" w:rsidRDefault="0044147D">
      <w:pPr>
        <w:pStyle w:val="FootnoteText"/>
      </w:pPr>
      <w:r>
        <w:rPr>
          <w:rStyle w:val="FootnoteReference"/>
        </w:rPr>
        <w:footnoteRef/>
      </w:r>
      <w:r>
        <w:t xml:space="preserve"> English School, </w:t>
      </w:r>
      <w:r w:rsidRPr="0044147D">
        <w:rPr>
          <w:i/>
          <w:iCs/>
        </w:rPr>
        <w:t>Alfred The Great, After A Painting In The Bodleian Gallery</w:t>
      </w:r>
      <w:r>
        <w:t>, [Colour lithograph], &lt;</w:t>
      </w:r>
      <w:r w:rsidRPr="0044147D">
        <w:t xml:space="preserve"> </w:t>
      </w:r>
      <w:hyperlink r:id="rId2" w:history="1">
        <w:r w:rsidRPr="00D565FA">
          <w:rPr>
            <w:rStyle w:val="Hyperlink"/>
          </w:rPr>
          <w:t>https://www.myartprints.co.uk/a/english-school/alfred-the-great-849-99-a.html</w:t>
        </w:r>
      </w:hyperlink>
      <w:r>
        <w:t>&gt; [accessed 2 December 2024].</w:t>
      </w:r>
    </w:p>
    <w:p w14:paraId="5BB471BC" w14:textId="77777777" w:rsidR="0044147D" w:rsidRDefault="0044147D">
      <w:pPr>
        <w:pStyle w:val="FootnoteText"/>
      </w:pPr>
    </w:p>
  </w:footnote>
  <w:footnote w:id="3">
    <w:p w14:paraId="222F33B7" w14:textId="48AC43C8" w:rsidR="00E56E5B" w:rsidRDefault="00E56E5B">
      <w:pPr>
        <w:pStyle w:val="FootnoteText"/>
      </w:pPr>
      <w:r>
        <w:rPr>
          <w:rStyle w:val="FootnoteReference"/>
        </w:rPr>
        <w:footnoteRef/>
      </w:r>
      <w:r w:rsidR="00B40E59">
        <w:t>Jan Bill</w:t>
      </w:r>
      <w:r w:rsidR="00E4400B">
        <w:t xml:space="preserve">, </w:t>
      </w:r>
      <w:r w:rsidR="00E4400B" w:rsidRPr="00E4400B">
        <w:rPr>
          <w:i/>
          <w:iCs/>
        </w:rPr>
        <w:t>The Anglo-Saxon Chronicle</w:t>
      </w:r>
      <w:r w:rsidR="00E4400B">
        <w:t xml:space="preserve">, </w:t>
      </w:r>
      <w:r w:rsidR="00B40E59">
        <w:t>&lt;</w:t>
      </w:r>
      <w:hyperlink r:id="rId3" w:history="1">
        <w:r w:rsidR="00B40E59" w:rsidRPr="00B40E59">
          <w:rPr>
            <w:rStyle w:val="Hyperlink"/>
          </w:rPr>
          <w:t>https://www.vikingeskibsmuseet.dk/en/pr</w:t>
        </w:r>
        <w:r w:rsidR="00B40E59" w:rsidRPr="00B40E59">
          <w:rPr>
            <w:rStyle w:val="Hyperlink"/>
          </w:rPr>
          <w:t>o</w:t>
        </w:r>
        <w:r w:rsidR="00B40E59" w:rsidRPr="00B40E59">
          <w:rPr>
            <w:rStyle w:val="Hyperlink"/>
          </w:rPr>
          <w:t>fessions/educ</w:t>
        </w:r>
        <w:r w:rsidR="00B40E59" w:rsidRPr="00B40E59">
          <w:rPr>
            <w:rStyle w:val="Hyperlink"/>
          </w:rPr>
          <w:t>a</w:t>
        </w:r>
        <w:r w:rsidR="00B40E59" w:rsidRPr="00B40E59">
          <w:rPr>
            <w:rStyle w:val="Hyperlink"/>
          </w:rPr>
          <w:t>tion/the-longships/the-historical-sources/the-anglo-saxon-c</w:t>
        </w:r>
        <w:r w:rsidR="00B40E59" w:rsidRPr="00B40E59">
          <w:rPr>
            <w:rStyle w:val="Hyperlink"/>
          </w:rPr>
          <w:t>h</w:t>
        </w:r>
        <w:r w:rsidR="00B40E59" w:rsidRPr="00B40E59">
          <w:rPr>
            <w:rStyle w:val="Hyperlink"/>
          </w:rPr>
          <w:t>ronicle</w:t>
        </w:r>
      </w:hyperlink>
      <w:r w:rsidR="00B40E59">
        <w:t>&gt;</w:t>
      </w:r>
      <w:r w:rsidR="00B40E59" w:rsidRPr="00B40E59">
        <w:t xml:space="preserve"> </w:t>
      </w:r>
      <w:r w:rsidR="00B40E59" w:rsidRPr="00B40E59">
        <w:t>[accessed 2 December 2024]</w:t>
      </w:r>
      <w:r w:rsidR="00BA2A6E">
        <w:t>.</w:t>
      </w:r>
    </w:p>
    <w:p w14:paraId="65D372CB" w14:textId="77777777" w:rsidR="00554E3E" w:rsidRDefault="00554E3E">
      <w:pPr>
        <w:pStyle w:val="FootnoteText"/>
      </w:pPr>
    </w:p>
  </w:footnote>
  <w:footnote w:id="4">
    <w:p w14:paraId="05F00229" w14:textId="5E376ACE" w:rsidR="00E4400B" w:rsidRPr="00E4400B" w:rsidRDefault="00E56E5B" w:rsidP="00E4400B">
      <w:pPr>
        <w:pStyle w:val="FootnoteText"/>
      </w:pPr>
      <w:r>
        <w:rPr>
          <w:rStyle w:val="FootnoteReference"/>
        </w:rPr>
        <w:footnoteRef/>
      </w:r>
      <w:r w:rsidR="00E4400B">
        <w:t xml:space="preserve"> </w:t>
      </w:r>
      <w:r w:rsidR="00E4400B" w:rsidRPr="00E4400B">
        <w:rPr>
          <w:i/>
          <w:iCs/>
        </w:rPr>
        <w:t>The Anglo-Saxon Chronicle</w:t>
      </w:r>
      <w:r w:rsidR="00B40E59">
        <w:t xml:space="preserve">, trans. by </w:t>
      </w:r>
      <w:r w:rsidR="00B40E59">
        <w:t xml:space="preserve">J </w:t>
      </w:r>
      <w:r w:rsidR="00B40E59" w:rsidRPr="00E4400B">
        <w:t xml:space="preserve">Ingram </w:t>
      </w:r>
      <w:r w:rsidR="00B40E59">
        <w:t>and</w:t>
      </w:r>
      <w:r w:rsidR="00B40E59" w:rsidRPr="00E4400B">
        <w:t xml:space="preserve"> J </w:t>
      </w:r>
      <w:proofErr w:type="gramStart"/>
      <w:r w:rsidR="00B40E59" w:rsidRPr="00E4400B">
        <w:t>A</w:t>
      </w:r>
      <w:proofErr w:type="gramEnd"/>
      <w:r w:rsidR="00B40E59" w:rsidRPr="00E4400B">
        <w:t xml:space="preserve"> Giles</w:t>
      </w:r>
      <w:r w:rsidR="00BA2A6E">
        <w:t xml:space="preserve"> </w:t>
      </w:r>
      <w:r w:rsidR="00E4400B" w:rsidRPr="00E4400B">
        <w:t>(</w:t>
      </w:r>
      <w:r w:rsidR="00BA2A6E">
        <w:t xml:space="preserve">Project </w:t>
      </w:r>
      <w:proofErr w:type="spellStart"/>
      <w:r w:rsidR="00BA2A6E">
        <w:t>Gutenburg</w:t>
      </w:r>
      <w:proofErr w:type="spellEnd"/>
      <w:r w:rsidR="00BA2A6E">
        <w:t>,</w:t>
      </w:r>
      <w:r w:rsidR="00E4400B" w:rsidRPr="00E4400B">
        <w:t xml:space="preserve"> 1996)</w:t>
      </w:r>
    </w:p>
    <w:p w14:paraId="0AC5D515" w14:textId="10CDC513" w:rsidR="004C3596" w:rsidRDefault="00E56E5B" w:rsidP="004C3596">
      <w:pPr>
        <w:pStyle w:val="FootnoteText"/>
      </w:pPr>
      <w:r>
        <w:t xml:space="preserve"> </w:t>
      </w:r>
      <w:r w:rsidR="00BA2A6E">
        <w:t>&lt;</w:t>
      </w:r>
      <w:hyperlink r:id="rId4" w:history="1">
        <w:r w:rsidR="00BA2A6E" w:rsidRPr="00D565FA">
          <w:rPr>
            <w:rStyle w:val="Hyperlink"/>
          </w:rPr>
          <w:t>https://www.gutenberg.org/cache/epub/657/pg657-images.html</w:t>
        </w:r>
      </w:hyperlink>
      <w:r w:rsidR="00BA2A6E">
        <w:t>&gt;</w:t>
      </w:r>
      <w:r w:rsidR="004C3596">
        <w:t xml:space="preserve"> </w:t>
      </w:r>
      <w:r w:rsidR="004C3596">
        <w:t>[accessed 2 December 2024]</w:t>
      </w:r>
      <w:r w:rsidR="00BA2A6E">
        <w:t>.</w:t>
      </w:r>
    </w:p>
    <w:p w14:paraId="36F81F95" w14:textId="628C3322" w:rsidR="00E56E5B" w:rsidRDefault="00E56E5B">
      <w:pPr>
        <w:pStyle w:val="FootnoteText"/>
      </w:pPr>
    </w:p>
  </w:footnote>
  <w:footnote w:id="5">
    <w:p w14:paraId="655CE910" w14:textId="590D9B6E" w:rsidR="00E56E5B" w:rsidRDefault="00E56E5B">
      <w:pPr>
        <w:pStyle w:val="FootnoteText"/>
      </w:pPr>
      <w:r>
        <w:rPr>
          <w:rStyle w:val="FootnoteReference"/>
        </w:rPr>
        <w:footnoteRef/>
      </w:r>
      <w:r>
        <w:t xml:space="preserve"> </w:t>
      </w:r>
      <w:r w:rsidR="00BC4C97">
        <w:t>Encyclopaedia Brittanica,</w:t>
      </w:r>
      <w:r w:rsidR="00E4400B" w:rsidRPr="00E4400B">
        <w:t xml:space="preserve"> </w:t>
      </w:r>
      <w:r w:rsidR="00E4400B" w:rsidRPr="00BC4C97">
        <w:rPr>
          <w:i/>
          <w:iCs/>
        </w:rPr>
        <w:t>Anglo-Saxon Chronicle</w:t>
      </w:r>
      <w:r w:rsidR="00E4400B" w:rsidRPr="00E4400B">
        <w:t xml:space="preserve"> </w:t>
      </w:r>
      <w:r w:rsidR="00BC4C97">
        <w:t>(</w:t>
      </w:r>
      <w:r w:rsidR="00E4400B" w:rsidRPr="00E4400B">
        <w:t>2011</w:t>
      </w:r>
      <w:r w:rsidR="00E4400B">
        <w:t>)</w:t>
      </w:r>
      <w:r w:rsidR="00E4400B" w:rsidRPr="00E4400B">
        <w:t xml:space="preserve"> </w:t>
      </w:r>
      <w:r w:rsidR="00BC4C97">
        <w:t>&lt;</w:t>
      </w:r>
      <w:hyperlink r:id="rId5" w:history="1">
        <w:r w:rsidR="00BC4C97" w:rsidRPr="00D565FA">
          <w:rPr>
            <w:rStyle w:val="Hyperlink"/>
          </w:rPr>
          <w:t>https://www.britannica.com/topic/Anglo-Saxon-Chronicle</w:t>
        </w:r>
      </w:hyperlink>
      <w:r w:rsidR="00BC4C97">
        <w:t>&gt;</w:t>
      </w:r>
      <w:r w:rsidR="004C3596">
        <w:t xml:space="preserve"> </w:t>
      </w:r>
      <w:r w:rsidR="004C3596">
        <w:t>[accessed 2 December 2024]</w:t>
      </w:r>
      <w:r w:rsidR="00BC4C97">
        <w:t>.</w:t>
      </w:r>
    </w:p>
    <w:p w14:paraId="4B16332B" w14:textId="77777777" w:rsidR="00B40E59" w:rsidRDefault="00B40E59">
      <w:pPr>
        <w:pStyle w:val="FootnoteText"/>
      </w:pPr>
    </w:p>
  </w:footnote>
  <w:footnote w:id="6">
    <w:p w14:paraId="4715B163" w14:textId="29DAA36B" w:rsidR="00E56E5B" w:rsidRDefault="00E56E5B">
      <w:pPr>
        <w:pStyle w:val="FootnoteText"/>
      </w:pPr>
      <w:r>
        <w:rPr>
          <w:rStyle w:val="FootnoteReference"/>
        </w:rPr>
        <w:footnoteRef/>
      </w:r>
      <w:r>
        <w:t xml:space="preserve"> </w:t>
      </w:r>
      <w:r w:rsidR="00231FDE">
        <w:t>Simon Keynes</w:t>
      </w:r>
      <w:r w:rsidR="00BC4C97">
        <w:t>,</w:t>
      </w:r>
      <w:r w:rsidR="00E4400B" w:rsidRPr="00E56E5B">
        <w:t xml:space="preserve"> </w:t>
      </w:r>
      <w:r w:rsidR="00BC4C97">
        <w:t>‘</w:t>
      </w:r>
      <w:r w:rsidR="00E4400B" w:rsidRPr="00E56E5B">
        <w:t xml:space="preserve">King Alfred </w:t>
      </w:r>
      <w:proofErr w:type="gramStart"/>
      <w:r w:rsidR="00554E3E" w:rsidRPr="00E56E5B">
        <w:t>And</w:t>
      </w:r>
      <w:proofErr w:type="gramEnd"/>
      <w:r w:rsidR="00554E3E" w:rsidRPr="00E56E5B">
        <w:t xml:space="preserve"> The </w:t>
      </w:r>
      <w:r w:rsidR="00E4400B" w:rsidRPr="00E56E5B">
        <w:t>West Saxon Kingdom</w:t>
      </w:r>
      <w:r w:rsidR="00BC4C97">
        <w:t>’,</w:t>
      </w:r>
      <w:r w:rsidR="00E4400B" w:rsidRPr="00E56E5B">
        <w:t xml:space="preserve"> </w:t>
      </w:r>
      <w:r w:rsidR="00E4400B" w:rsidRPr="00E56E5B">
        <w:rPr>
          <w:i/>
          <w:iCs/>
        </w:rPr>
        <w:t xml:space="preserve">Transactions </w:t>
      </w:r>
      <w:r w:rsidR="00554E3E" w:rsidRPr="00E56E5B">
        <w:rPr>
          <w:i/>
          <w:iCs/>
        </w:rPr>
        <w:t xml:space="preserve">Of The </w:t>
      </w:r>
      <w:r w:rsidR="00E4400B" w:rsidRPr="00E56E5B">
        <w:rPr>
          <w:i/>
          <w:iCs/>
        </w:rPr>
        <w:t>Royal Historical Society</w:t>
      </w:r>
      <w:r w:rsidR="00E4400B" w:rsidRPr="00E56E5B">
        <w:t xml:space="preserve">, 36 </w:t>
      </w:r>
      <w:r w:rsidR="00BC4C97">
        <w:t>(</w:t>
      </w:r>
      <w:r w:rsidR="00E4400B" w:rsidRPr="00E56E5B">
        <w:t>1986</w:t>
      </w:r>
      <w:r w:rsidR="00BC4C97">
        <w:t>)</w:t>
      </w:r>
      <w:r w:rsidR="00E4400B" w:rsidRPr="00E56E5B">
        <w:t>,</w:t>
      </w:r>
      <w:r w:rsidR="00BC4C97">
        <w:t xml:space="preserve"> 195-217 (p.</w:t>
      </w:r>
      <w:r w:rsidR="00E4400B" w:rsidRPr="00E56E5B">
        <w:t>198</w:t>
      </w:r>
      <w:r w:rsidR="00BC4C97">
        <w:t>)</w:t>
      </w:r>
      <w:r w:rsidR="00E4400B">
        <w:t xml:space="preserve"> </w:t>
      </w:r>
      <w:r w:rsidR="00BC4C97">
        <w:t>&lt;DOI (</w:t>
      </w:r>
      <w:r w:rsidR="00BC4C97" w:rsidRPr="00BC4C97">
        <w:rPr>
          <w:u w:val="single"/>
        </w:rPr>
        <w:t>10.2307/3679065</w:t>
      </w:r>
      <w:r w:rsidR="00BC4C97">
        <w:rPr>
          <w:u w:val="single"/>
        </w:rPr>
        <w:t>)</w:t>
      </w:r>
      <w:r w:rsidR="00BC4C97">
        <w:t>&gt;.</w:t>
      </w:r>
    </w:p>
    <w:p w14:paraId="3201B9EE" w14:textId="77777777" w:rsidR="00B40E59" w:rsidRDefault="00B40E59">
      <w:pPr>
        <w:pStyle w:val="FootnoteText"/>
      </w:pPr>
    </w:p>
  </w:footnote>
  <w:footnote w:id="7">
    <w:p w14:paraId="7608F7B3" w14:textId="02B985EB" w:rsidR="00E56E5B" w:rsidRDefault="00E56E5B" w:rsidP="00183CD9">
      <w:pPr>
        <w:pStyle w:val="FootnoteText"/>
      </w:pPr>
      <w:r>
        <w:rPr>
          <w:rStyle w:val="FootnoteReference"/>
        </w:rPr>
        <w:footnoteRef/>
      </w:r>
      <w:r>
        <w:t xml:space="preserve"> </w:t>
      </w:r>
      <w:r w:rsidR="00183CD9">
        <w:rPr>
          <w:i/>
          <w:iCs/>
        </w:rPr>
        <w:t>The Anglo-Saxon Chronicle</w:t>
      </w:r>
      <w:r w:rsidR="00183CD9">
        <w:t xml:space="preserve">, J Ingram and J </w:t>
      </w:r>
      <w:proofErr w:type="gramStart"/>
      <w:r w:rsidR="00183CD9">
        <w:t>A</w:t>
      </w:r>
      <w:proofErr w:type="gramEnd"/>
      <w:r w:rsidR="00183CD9">
        <w:t xml:space="preserve"> Giles.</w:t>
      </w:r>
    </w:p>
    <w:p w14:paraId="375AE24F" w14:textId="77777777" w:rsidR="00183CD9" w:rsidRDefault="00183CD9" w:rsidP="00183CD9">
      <w:pPr>
        <w:pStyle w:val="FootnoteText"/>
      </w:pPr>
    </w:p>
  </w:footnote>
  <w:footnote w:id="8">
    <w:p w14:paraId="42A69115" w14:textId="576C35CA" w:rsidR="00BC4C97" w:rsidRDefault="00E56E5B" w:rsidP="00BC4C97">
      <w:pPr>
        <w:pStyle w:val="FootnoteText"/>
      </w:pPr>
      <w:r>
        <w:rPr>
          <w:rStyle w:val="FootnoteReference"/>
        </w:rPr>
        <w:footnoteRef/>
      </w:r>
      <w:r>
        <w:t xml:space="preserve"> </w:t>
      </w:r>
      <w:r w:rsidR="00BC4C97">
        <w:t xml:space="preserve">Vale </w:t>
      </w:r>
      <w:r w:rsidR="00554E3E">
        <w:t xml:space="preserve">Of </w:t>
      </w:r>
      <w:r w:rsidR="00BC4C97">
        <w:t xml:space="preserve">Evesham History, </w:t>
      </w:r>
      <w:r w:rsidR="00BC4C97" w:rsidRPr="001F1291">
        <w:rPr>
          <w:i/>
          <w:iCs/>
        </w:rPr>
        <w:t xml:space="preserve">Alfred </w:t>
      </w:r>
      <w:proofErr w:type="gramStart"/>
      <w:r w:rsidR="00554E3E" w:rsidRPr="001F1291">
        <w:rPr>
          <w:i/>
          <w:iCs/>
        </w:rPr>
        <w:t>The</w:t>
      </w:r>
      <w:proofErr w:type="gramEnd"/>
      <w:r w:rsidR="00554E3E" w:rsidRPr="001F1291">
        <w:rPr>
          <w:i/>
          <w:iCs/>
        </w:rPr>
        <w:t xml:space="preserve"> </w:t>
      </w:r>
      <w:r w:rsidR="00BC4C97" w:rsidRPr="001F1291">
        <w:rPr>
          <w:i/>
          <w:iCs/>
        </w:rPr>
        <w:t xml:space="preserve">Great </w:t>
      </w:r>
      <w:r w:rsidR="00554E3E" w:rsidRPr="001F1291">
        <w:rPr>
          <w:i/>
          <w:iCs/>
        </w:rPr>
        <w:t xml:space="preserve">- A </w:t>
      </w:r>
      <w:r w:rsidR="00BC4C97" w:rsidRPr="001F1291">
        <w:rPr>
          <w:i/>
          <w:iCs/>
        </w:rPr>
        <w:t>Fortunate King?</w:t>
      </w:r>
      <w:r w:rsidR="00BC4C97">
        <w:t xml:space="preserve"> &lt;</w:t>
      </w:r>
      <w:hyperlink r:id="rId6" w:history="1">
        <w:r w:rsidR="00BC4C97" w:rsidRPr="00D565FA">
          <w:rPr>
            <w:rStyle w:val="Hyperlink"/>
          </w:rPr>
          <w:t>https://www.valeofeveshamhistory.org.uk/alfred-the-great</w:t>
        </w:r>
      </w:hyperlink>
      <w:r w:rsidR="00BC4C97">
        <w:t>&gt; [accessed 2 December 2024]</w:t>
      </w:r>
      <w:r w:rsidR="00BC4C97">
        <w:t>.</w:t>
      </w:r>
    </w:p>
    <w:p w14:paraId="3B62AEE5" w14:textId="2EE210E8" w:rsidR="00E56E5B" w:rsidRDefault="00E56E5B">
      <w:pPr>
        <w:pStyle w:val="FootnoteText"/>
      </w:pPr>
    </w:p>
  </w:footnote>
  <w:footnote w:id="9">
    <w:p w14:paraId="54FF6511" w14:textId="5B345A6D" w:rsidR="00E56E5B" w:rsidRDefault="00E56E5B" w:rsidP="00183CD9">
      <w:pPr>
        <w:pStyle w:val="FootnoteText"/>
      </w:pPr>
      <w:r>
        <w:rPr>
          <w:rStyle w:val="FootnoteReference"/>
        </w:rPr>
        <w:footnoteRef/>
      </w:r>
      <w:r>
        <w:t xml:space="preserve"> </w:t>
      </w:r>
      <w:r w:rsidR="00183CD9">
        <w:rPr>
          <w:i/>
          <w:iCs/>
        </w:rPr>
        <w:t>The Anglo-Saxon Chronicle</w:t>
      </w:r>
      <w:r w:rsidR="00183CD9">
        <w:t xml:space="preserve">, J Ingram and J </w:t>
      </w:r>
      <w:proofErr w:type="gramStart"/>
      <w:r w:rsidR="00183CD9">
        <w:t>A</w:t>
      </w:r>
      <w:proofErr w:type="gramEnd"/>
      <w:r w:rsidR="00183CD9">
        <w:t xml:space="preserve"> Giles.</w:t>
      </w:r>
    </w:p>
    <w:p w14:paraId="3DB2748E" w14:textId="77777777" w:rsidR="00834CFA" w:rsidRDefault="00834CFA" w:rsidP="00183CD9">
      <w:pPr>
        <w:pStyle w:val="FootnoteText"/>
      </w:pPr>
    </w:p>
  </w:footnote>
  <w:footnote w:id="10">
    <w:p w14:paraId="6B252FE3" w14:textId="50314DC0" w:rsidR="004C3596" w:rsidRPr="00834CFA" w:rsidRDefault="00E56E5B" w:rsidP="004C3596">
      <w:pPr>
        <w:pStyle w:val="FootnoteText"/>
      </w:pPr>
      <w:r>
        <w:rPr>
          <w:rStyle w:val="FootnoteReference"/>
        </w:rPr>
        <w:footnoteRef/>
      </w:r>
      <w:r>
        <w:t xml:space="preserve"> </w:t>
      </w:r>
      <w:r w:rsidR="00834CFA">
        <w:t>Ibid.</w:t>
      </w:r>
    </w:p>
    <w:p w14:paraId="5B6844FB" w14:textId="0CAB181F" w:rsidR="00E56E5B" w:rsidRDefault="00E56E5B">
      <w:pPr>
        <w:pStyle w:val="FootnoteText"/>
      </w:pPr>
    </w:p>
  </w:footnote>
  <w:footnote w:id="11">
    <w:p w14:paraId="2DE1BC5A" w14:textId="4B421F8D" w:rsidR="004C3596" w:rsidRDefault="00E56E5B" w:rsidP="004C3596">
      <w:pPr>
        <w:pStyle w:val="FootnoteText"/>
      </w:pPr>
      <w:r>
        <w:rPr>
          <w:rStyle w:val="FootnoteReference"/>
        </w:rPr>
        <w:footnoteRef/>
      </w:r>
      <w:r>
        <w:t xml:space="preserve"> </w:t>
      </w:r>
      <w:r w:rsidR="00BA2A6E">
        <w:t xml:space="preserve">Ibid. </w:t>
      </w:r>
    </w:p>
    <w:p w14:paraId="4EDA3AC1" w14:textId="4803950C" w:rsidR="00E56E5B" w:rsidRDefault="00E56E5B">
      <w:pPr>
        <w:pStyle w:val="FootnoteText"/>
      </w:pPr>
    </w:p>
  </w:footnote>
  <w:footnote w:id="12">
    <w:p w14:paraId="26B992B6" w14:textId="4DEE0351" w:rsidR="00964D94" w:rsidRPr="00964D94" w:rsidRDefault="00E56E5B" w:rsidP="00964D94">
      <w:pPr>
        <w:pStyle w:val="FootnoteText"/>
        <w:rPr>
          <w:b/>
          <w:bCs/>
        </w:rPr>
      </w:pPr>
      <w:r>
        <w:rPr>
          <w:rStyle w:val="FootnoteReference"/>
        </w:rPr>
        <w:footnoteRef/>
      </w:r>
      <w:r>
        <w:t xml:space="preserve"> </w:t>
      </w:r>
      <w:r w:rsidR="00BC4C97">
        <w:t xml:space="preserve">Chronicon </w:t>
      </w:r>
      <w:r w:rsidR="00554E3E">
        <w:t>Ex Chron</w:t>
      </w:r>
      <w:r w:rsidR="00BC4C97">
        <w:t xml:space="preserve">icis, </w:t>
      </w:r>
      <w:r w:rsidR="00964D94">
        <w:t>‘</w:t>
      </w:r>
      <w:r w:rsidR="00964D94" w:rsidRPr="00964D94">
        <w:rPr>
          <w:i/>
          <w:iCs/>
        </w:rPr>
        <w:t xml:space="preserve">A Tale </w:t>
      </w:r>
      <w:proofErr w:type="gramStart"/>
      <w:r w:rsidR="00554E3E" w:rsidRPr="00964D94">
        <w:rPr>
          <w:i/>
          <w:iCs/>
        </w:rPr>
        <w:t>Of</w:t>
      </w:r>
      <w:proofErr w:type="gramEnd"/>
      <w:r w:rsidR="00554E3E" w:rsidRPr="00964D94">
        <w:rPr>
          <w:i/>
          <w:iCs/>
        </w:rPr>
        <w:t xml:space="preserve"> </w:t>
      </w:r>
      <w:r w:rsidR="00964D94" w:rsidRPr="00964D94">
        <w:rPr>
          <w:i/>
          <w:iCs/>
        </w:rPr>
        <w:t>Two Cousins</w:t>
      </w:r>
      <w:r w:rsidR="00554E3E" w:rsidRPr="00964D94">
        <w:rPr>
          <w:i/>
          <w:iCs/>
        </w:rPr>
        <w:t xml:space="preserve">: </w:t>
      </w:r>
      <w:r w:rsidR="00964D94" w:rsidRPr="00964D94">
        <w:rPr>
          <w:i/>
          <w:iCs/>
        </w:rPr>
        <w:t xml:space="preserve">Æthelwold </w:t>
      </w:r>
      <w:r w:rsidR="00554E3E" w:rsidRPr="00964D94">
        <w:rPr>
          <w:i/>
          <w:iCs/>
        </w:rPr>
        <w:t xml:space="preserve">And </w:t>
      </w:r>
      <w:r w:rsidR="00964D94" w:rsidRPr="00964D94">
        <w:rPr>
          <w:i/>
          <w:iCs/>
        </w:rPr>
        <w:t xml:space="preserve">Edward </w:t>
      </w:r>
      <w:r w:rsidR="00554E3E" w:rsidRPr="00964D94">
        <w:rPr>
          <w:i/>
          <w:iCs/>
        </w:rPr>
        <w:t>The </w:t>
      </w:r>
      <w:r w:rsidR="00964D94" w:rsidRPr="00964D94">
        <w:rPr>
          <w:i/>
          <w:iCs/>
        </w:rPr>
        <w:t>Elder</w:t>
      </w:r>
      <w:r w:rsidR="00964D94" w:rsidRPr="00964D94">
        <w:rPr>
          <w:i/>
          <w:iCs/>
        </w:rPr>
        <w:t>’</w:t>
      </w:r>
      <w:r w:rsidR="00964D94">
        <w:rPr>
          <w:i/>
          <w:iCs/>
        </w:rPr>
        <w:t xml:space="preserve"> </w:t>
      </w:r>
      <w:r w:rsidR="00BC4C97">
        <w:t xml:space="preserve">(2019) </w:t>
      </w:r>
    </w:p>
    <w:p w14:paraId="7762DB1E" w14:textId="626FB065" w:rsidR="004C3596" w:rsidRDefault="00BC4C97" w:rsidP="004C3596">
      <w:pPr>
        <w:pStyle w:val="FootnoteText"/>
      </w:pPr>
      <w:r>
        <w:t>&lt;</w:t>
      </w:r>
      <w:hyperlink r:id="rId7" w:history="1">
        <w:r w:rsidRPr="00D565FA">
          <w:rPr>
            <w:rStyle w:val="Hyperlink"/>
          </w:rPr>
          <w:t>https://chroniconchronicon.home.blog/2019/05/17/a-tale-of-two-cousins-aethelwold-and-edward-the-elder/</w:t>
        </w:r>
      </w:hyperlink>
      <w:r>
        <w:t>&gt;</w:t>
      </w:r>
      <w:r w:rsidR="00964D94">
        <w:t xml:space="preserve"> </w:t>
      </w:r>
      <w:r w:rsidR="004C3596">
        <w:t>[accessed 2 December 2024]</w:t>
      </w:r>
      <w:r>
        <w:t>.</w:t>
      </w:r>
    </w:p>
    <w:p w14:paraId="2E48D532" w14:textId="267D0BC8" w:rsidR="00E56E5B" w:rsidRDefault="00E56E5B">
      <w:pPr>
        <w:pStyle w:val="FootnoteText"/>
      </w:pPr>
    </w:p>
  </w:footnote>
  <w:footnote w:id="13">
    <w:p w14:paraId="0E4CFEAE" w14:textId="5B44658C" w:rsidR="004C3596" w:rsidRDefault="00E56E5B" w:rsidP="004C3596">
      <w:pPr>
        <w:pStyle w:val="FootnoteText"/>
      </w:pPr>
      <w:r>
        <w:rPr>
          <w:rStyle w:val="FootnoteReference"/>
        </w:rPr>
        <w:footnoteRef/>
      </w:r>
      <w:r>
        <w:t xml:space="preserve"> </w:t>
      </w:r>
      <w:r w:rsidR="00BC4C97">
        <w:rPr>
          <w:i/>
          <w:iCs/>
        </w:rPr>
        <w:t>The Anglo-Saxon Chronicle</w:t>
      </w:r>
      <w:r w:rsidR="00BC4C97">
        <w:t xml:space="preserve">, J Ingram and J </w:t>
      </w:r>
      <w:proofErr w:type="gramStart"/>
      <w:r w:rsidR="00BC4C97">
        <w:t>A</w:t>
      </w:r>
      <w:proofErr w:type="gramEnd"/>
      <w:r w:rsidR="00BC4C97">
        <w:t xml:space="preserve"> Giles.</w:t>
      </w:r>
    </w:p>
    <w:p w14:paraId="4BE45D52" w14:textId="3AD31BD3" w:rsidR="00E56E5B" w:rsidRDefault="00E56E5B">
      <w:pPr>
        <w:pStyle w:val="FootnoteText"/>
      </w:pPr>
    </w:p>
  </w:footnote>
  <w:footnote w:id="14">
    <w:p w14:paraId="714BC3F1" w14:textId="0AEBC44A" w:rsidR="00E56E5B" w:rsidRDefault="00E56E5B">
      <w:pPr>
        <w:pStyle w:val="FootnoteText"/>
      </w:pPr>
      <w:r>
        <w:rPr>
          <w:rStyle w:val="FootnoteReference"/>
        </w:rPr>
        <w:footnoteRef/>
      </w:r>
      <w:r>
        <w:t xml:space="preserve"> </w:t>
      </w:r>
      <w:r w:rsidR="004E5023">
        <w:rPr>
          <w:i/>
          <w:iCs/>
        </w:rPr>
        <w:t>The Anglo-Saxon Chronicle</w:t>
      </w:r>
      <w:r w:rsidR="004E5023">
        <w:t xml:space="preserve">, J Ingram and J </w:t>
      </w:r>
      <w:proofErr w:type="gramStart"/>
      <w:r w:rsidR="004E5023">
        <w:t>A</w:t>
      </w:r>
      <w:proofErr w:type="gramEnd"/>
      <w:r w:rsidR="004E5023">
        <w:t xml:space="preserve"> Giles.</w:t>
      </w:r>
    </w:p>
    <w:p w14:paraId="5B71AB3C" w14:textId="77777777" w:rsidR="004E5023" w:rsidRDefault="004E5023">
      <w:pPr>
        <w:pStyle w:val="FootnoteText"/>
      </w:pPr>
    </w:p>
  </w:footnote>
  <w:footnote w:id="15">
    <w:p w14:paraId="1096C079" w14:textId="7A5C74CD" w:rsidR="00834CFA" w:rsidRDefault="00834CFA">
      <w:pPr>
        <w:pStyle w:val="FootnoteText"/>
      </w:pPr>
      <w:r>
        <w:rPr>
          <w:rStyle w:val="FootnoteReference"/>
        </w:rPr>
        <w:footnoteRef/>
      </w:r>
      <w:r>
        <w:t xml:space="preserve"> Ibid.</w:t>
      </w:r>
    </w:p>
    <w:p w14:paraId="0817AA67" w14:textId="77777777" w:rsidR="00834CFA" w:rsidRDefault="00834CFA">
      <w:pPr>
        <w:pStyle w:val="FootnoteText"/>
      </w:pPr>
    </w:p>
  </w:footnote>
  <w:footnote w:id="16">
    <w:p w14:paraId="2F34B6E5" w14:textId="3BB06E24" w:rsidR="00964D94" w:rsidRPr="00964D94" w:rsidRDefault="00E56E5B" w:rsidP="00964D94">
      <w:pPr>
        <w:pStyle w:val="FootnoteText"/>
      </w:pPr>
      <w:r>
        <w:rPr>
          <w:rStyle w:val="FootnoteReference"/>
        </w:rPr>
        <w:footnoteRef/>
      </w:r>
      <w:r>
        <w:t xml:space="preserve"> </w:t>
      </w:r>
      <w:r w:rsidR="00964D94">
        <w:t xml:space="preserve">Sally-Anne Huxtable, </w:t>
      </w:r>
      <w:r w:rsidR="00964D94" w:rsidRPr="00964D94">
        <w:rPr>
          <w:i/>
          <w:iCs/>
        </w:rPr>
        <w:t>Wassailing</w:t>
      </w:r>
      <w:r w:rsidR="00554E3E" w:rsidRPr="00964D94">
        <w:rPr>
          <w:i/>
          <w:iCs/>
        </w:rPr>
        <w:t xml:space="preserve">: Ritual </w:t>
      </w:r>
      <w:proofErr w:type="gramStart"/>
      <w:r w:rsidR="00554E3E" w:rsidRPr="00964D94">
        <w:rPr>
          <w:i/>
          <w:iCs/>
        </w:rPr>
        <w:t>And</w:t>
      </w:r>
      <w:proofErr w:type="gramEnd"/>
      <w:r w:rsidR="00554E3E" w:rsidRPr="00964D94">
        <w:rPr>
          <w:i/>
          <w:iCs/>
        </w:rPr>
        <w:t xml:space="preserve"> Revelry</w:t>
      </w:r>
      <w:r w:rsidR="00554E3E">
        <w:t xml:space="preserve"> </w:t>
      </w:r>
    </w:p>
    <w:p w14:paraId="4060BF0B" w14:textId="2C09DB6C" w:rsidR="004C3596" w:rsidRDefault="00554E3E" w:rsidP="004C3596">
      <w:pPr>
        <w:pStyle w:val="FootnoteText"/>
      </w:pPr>
      <w:r>
        <w:t>&lt;</w:t>
      </w:r>
      <w:hyperlink r:id="rId8" w:history="1">
        <w:r w:rsidRPr="00D565FA">
          <w:rPr>
            <w:rStyle w:val="Hyperlink"/>
          </w:rPr>
          <w:t>https://www.nationaltrust.org.uk/discover/history/art-collections/wassailing-ritual-and-revelry</w:t>
        </w:r>
      </w:hyperlink>
      <w:r>
        <w:t>&gt;</w:t>
      </w:r>
      <w:r w:rsidR="004C3596">
        <w:t xml:space="preserve"> </w:t>
      </w:r>
      <w:r w:rsidR="004C3596">
        <w:t>[accessed 2 December 2024]</w:t>
      </w:r>
      <w:r>
        <w:t>.</w:t>
      </w:r>
    </w:p>
    <w:p w14:paraId="107E864F" w14:textId="5A8DE4A2" w:rsidR="00E56E5B" w:rsidRDefault="00E56E5B">
      <w:pPr>
        <w:pStyle w:val="FootnoteText"/>
      </w:pPr>
    </w:p>
  </w:footnote>
  <w:footnote w:id="17">
    <w:p w14:paraId="71F79245" w14:textId="1B83514A" w:rsidR="004C3596" w:rsidRDefault="00E56E5B" w:rsidP="004C3596">
      <w:pPr>
        <w:pStyle w:val="FootnoteText"/>
      </w:pPr>
      <w:r>
        <w:rPr>
          <w:rStyle w:val="FootnoteReference"/>
        </w:rPr>
        <w:footnoteRef/>
      </w:r>
      <w:r>
        <w:t xml:space="preserve"> </w:t>
      </w:r>
      <w:r w:rsidR="00554E3E">
        <w:rPr>
          <w:i/>
          <w:iCs/>
        </w:rPr>
        <w:t>The Anglo-Saxon Chronicle</w:t>
      </w:r>
      <w:r w:rsidR="00554E3E">
        <w:t xml:space="preserve">, J Ingram and J </w:t>
      </w:r>
      <w:proofErr w:type="gramStart"/>
      <w:r w:rsidR="00554E3E">
        <w:t>A</w:t>
      </w:r>
      <w:proofErr w:type="gramEnd"/>
      <w:r w:rsidR="00554E3E">
        <w:t xml:space="preserve"> Giles.</w:t>
      </w:r>
    </w:p>
    <w:p w14:paraId="61393FBD" w14:textId="41B35EA5" w:rsidR="00E56E5B" w:rsidRDefault="00E56E5B">
      <w:pPr>
        <w:pStyle w:val="FootnoteText"/>
      </w:pPr>
    </w:p>
  </w:footnote>
  <w:footnote w:id="18">
    <w:p w14:paraId="325662E1" w14:textId="4DD1E201" w:rsidR="004C3596" w:rsidRDefault="00E56E5B" w:rsidP="004C3596">
      <w:pPr>
        <w:pStyle w:val="FootnoteText"/>
      </w:pPr>
      <w:r>
        <w:rPr>
          <w:rStyle w:val="FootnoteReference"/>
        </w:rPr>
        <w:footnoteRef/>
      </w:r>
      <w:r>
        <w:t xml:space="preserve"> </w:t>
      </w:r>
      <w:r w:rsidR="00554E3E">
        <w:t xml:space="preserve">Ibid. </w:t>
      </w:r>
    </w:p>
    <w:p w14:paraId="028DB7AB" w14:textId="371C12DA" w:rsidR="00E56E5B" w:rsidRDefault="00E56E5B">
      <w:pPr>
        <w:pStyle w:val="FootnoteText"/>
      </w:pPr>
    </w:p>
  </w:footnote>
  <w:footnote w:id="19">
    <w:p w14:paraId="1BA62133" w14:textId="7F612918" w:rsidR="00E56E5B" w:rsidRDefault="00E56E5B">
      <w:pPr>
        <w:pStyle w:val="FootnoteText"/>
      </w:pPr>
      <w:r>
        <w:rPr>
          <w:rStyle w:val="FootnoteReference"/>
        </w:rPr>
        <w:footnoteRef/>
      </w:r>
      <w:r w:rsidR="00964D94">
        <w:t xml:space="preserve"> </w:t>
      </w:r>
      <w:r w:rsidR="00554E3E">
        <w:t xml:space="preserve">Jan Bill, </w:t>
      </w:r>
      <w:r w:rsidR="00554E3E" w:rsidRPr="00E4400B">
        <w:rPr>
          <w:i/>
          <w:iCs/>
        </w:rPr>
        <w:t>The Anglo-Saxon Chronicle</w:t>
      </w:r>
      <w:r w:rsidR="00554E3E">
        <w:rPr>
          <w:i/>
          <w:iCs/>
        </w:rPr>
        <w:t>.</w:t>
      </w:r>
    </w:p>
  </w:footnote>
  <w:footnote w:id="20">
    <w:p w14:paraId="1E42EF28" w14:textId="0A93BBAD" w:rsidR="00964D94" w:rsidRPr="00964D94" w:rsidRDefault="00E56E5B" w:rsidP="00964D94">
      <w:pPr>
        <w:pStyle w:val="FootnoteText"/>
        <w:rPr>
          <w:b/>
          <w:bCs/>
        </w:rPr>
      </w:pPr>
      <w:r>
        <w:rPr>
          <w:rStyle w:val="FootnoteReference"/>
        </w:rPr>
        <w:footnoteRef/>
      </w:r>
      <w:r>
        <w:t xml:space="preserve"> </w:t>
      </w:r>
      <w:r w:rsidR="00554E3E">
        <w:t>The Royal Household</w:t>
      </w:r>
      <w:r w:rsidR="00964D94">
        <w:t xml:space="preserve">, </w:t>
      </w:r>
      <w:r w:rsidR="00964D94" w:rsidRPr="00964D94">
        <w:rPr>
          <w:i/>
          <w:iCs/>
        </w:rPr>
        <w:t>Alfred 'The Great</w:t>
      </w:r>
      <w:r w:rsidR="00554E3E">
        <w:rPr>
          <w:i/>
          <w:iCs/>
        </w:rPr>
        <w:t>’</w:t>
      </w:r>
      <w:r w:rsidR="00964D94" w:rsidRPr="00964D94">
        <w:rPr>
          <w:i/>
          <w:iCs/>
        </w:rPr>
        <w:t xml:space="preserve"> (r. 871-899)</w:t>
      </w:r>
    </w:p>
    <w:p w14:paraId="3E7A1901" w14:textId="6CACCBCC" w:rsidR="004C3596" w:rsidRDefault="00554E3E" w:rsidP="004C3596">
      <w:pPr>
        <w:pStyle w:val="FootnoteText"/>
      </w:pPr>
      <w:r>
        <w:t>&lt;</w:t>
      </w:r>
      <w:hyperlink r:id="rId9" w:history="1">
        <w:r w:rsidRPr="00D565FA">
          <w:rPr>
            <w:rStyle w:val="Hyperlink"/>
          </w:rPr>
          <w:t>https://www.royal.uk/alfred-great-r-871-899#:~:text=Like%20ot</w:t>
        </w:r>
        <w:r w:rsidRPr="00D565FA">
          <w:rPr>
            <w:rStyle w:val="Hyperlink"/>
          </w:rPr>
          <w:t>h</w:t>
        </w:r>
        <w:r w:rsidRPr="00D565FA">
          <w:rPr>
            <w:rStyle w:val="Hyperlink"/>
          </w:rPr>
          <w:t>er%20West%20Saxon%20kings,body%20of%20Anglo%2DSaxon%20law</w:t>
        </w:r>
      </w:hyperlink>
      <w:r>
        <w:t>&gt;</w:t>
      </w:r>
      <w:r w:rsidR="004C3596">
        <w:t xml:space="preserve"> </w:t>
      </w:r>
      <w:r w:rsidR="004C3596">
        <w:t>[accessed 2 December 2024]</w:t>
      </w:r>
      <w:r>
        <w:t>.</w:t>
      </w:r>
    </w:p>
    <w:p w14:paraId="49BE3DA6" w14:textId="6D1E023E" w:rsidR="00E56E5B" w:rsidRDefault="00E56E5B">
      <w:pPr>
        <w:pStyle w:val="FootnoteText"/>
      </w:pPr>
    </w:p>
  </w:footnote>
  <w:footnote w:id="21">
    <w:p w14:paraId="124FF071" w14:textId="58BEC990" w:rsidR="004C3596" w:rsidRDefault="00E56E5B" w:rsidP="004C3596">
      <w:pPr>
        <w:pStyle w:val="FootnoteText"/>
      </w:pPr>
      <w:r>
        <w:rPr>
          <w:rStyle w:val="FootnoteReference"/>
        </w:rPr>
        <w:footnoteRef/>
      </w:r>
      <w:r>
        <w:t xml:space="preserve"> </w:t>
      </w:r>
      <w:r w:rsidR="00554E3E">
        <w:t>John Asser</w:t>
      </w:r>
      <w:r w:rsidR="00964D94">
        <w:t xml:space="preserve">, </w:t>
      </w:r>
      <w:r w:rsidR="00964D94">
        <w:rPr>
          <w:i/>
          <w:iCs/>
        </w:rPr>
        <w:t xml:space="preserve">Asser’s Life </w:t>
      </w:r>
      <w:r w:rsidR="00554E3E">
        <w:rPr>
          <w:i/>
          <w:iCs/>
        </w:rPr>
        <w:t>O</w:t>
      </w:r>
      <w:r w:rsidR="00964D94">
        <w:rPr>
          <w:i/>
          <w:iCs/>
        </w:rPr>
        <w:t>f King Alfred</w:t>
      </w:r>
      <w:r w:rsidR="00554E3E">
        <w:rPr>
          <w:i/>
          <w:iCs/>
        </w:rPr>
        <w:t>,</w:t>
      </w:r>
      <w:r w:rsidR="00964D94">
        <w:rPr>
          <w:i/>
          <w:iCs/>
        </w:rPr>
        <w:t xml:space="preserve"> </w:t>
      </w:r>
      <w:r w:rsidR="00554E3E">
        <w:t xml:space="preserve">trans. by </w:t>
      </w:r>
      <w:r w:rsidR="00554E3E">
        <w:t xml:space="preserve">Albert Cook </w:t>
      </w:r>
      <w:r w:rsidR="00554E3E" w:rsidRPr="00E4400B">
        <w:t>(</w:t>
      </w:r>
      <w:r w:rsidR="00554E3E">
        <w:t xml:space="preserve">Project </w:t>
      </w:r>
      <w:proofErr w:type="spellStart"/>
      <w:r w:rsidR="00554E3E">
        <w:t>Gutenburg</w:t>
      </w:r>
      <w:proofErr w:type="spellEnd"/>
      <w:r w:rsidR="00554E3E">
        <w:t>,</w:t>
      </w:r>
      <w:r w:rsidR="00554E3E" w:rsidRPr="00E4400B">
        <w:t xml:space="preserve"> 1996)</w:t>
      </w:r>
      <w:r w:rsidR="004E5023">
        <w:t>, p. 48</w:t>
      </w:r>
      <w:r w:rsidR="00554E3E">
        <w:t xml:space="preserve"> &lt;</w:t>
      </w:r>
      <w:hyperlink r:id="rId10" w:history="1">
        <w:r w:rsidR="00554E3E" w:rsidRPr="00D565FA">
          <w:rPr>
            <w:rStyle w:val="Hyperlink"/>
          </w:rPr>
          <w:t>https://www.gutenberg.org/files/63384/63384-h/63384-h.htm#sec_87</w:t>
        </w:r>
      </w:hyperlink>
      <w:r w:rsidR="00554E3E">
        <w:t>&gt;</w:t>
      </w:r>
      <w:r w:rsidR="004C3596">
        <w:t xml:space="preserve"> </w:t>
      </w:r>
      <w:r w:rsidR="004C3596">
        <w:t>[accessed 2 December 2024]</w:t>
      </w:r>
      <w:r w:rsidR="00554E3E">
        <w:t>.</w:t>
      </w:r>
    </w:p>
    <w:p w14:paraId="1D05CEB0" w14:textId="1FC7E230" w:rsidR="00E56E5B" w:rsidRDefault="00E56E5B">
      <w:pPr>
        <w:pStyle w:val="FootnoteText"/>
      </w:pPr>
    </w:p>
  </w:footnote>
  <w:footnote w:id="22">
    <w:p w14:paraId="0D5BF706" w14:textId="6E5E6469" w:rsidR="004C3596" w:rsidRDefault="00E56E5B" w:rsidP="004C3596">
      <w:pPr>
        <w:pStyle w:val="FootnoteText"/>
      </w:pPr>
      <w:r>
        <w:rPr>
          <w:rStyle w:val="FootnoteReference"/>
        </w:rPr>
        <w:footnoteRef/>
      </w:r>
      <w:r>
        <w:t xml:space="preserve"> </w:t>
      </w:r>
      <w:r w:rsidR="00055453">
        <w:t xml:space="preserve">Simon Keynes, </w:t>
      </w:r>
      <w:r w:rsidR="00055453">
        <w:rPr>
          <w:i/>
          <w:iCs/>
        </w:rPr>
        <w:t xml:space="preserve">Alfred </w:t>
      </w:r>
      <w:r w:rsidR="00554E3E">
        <w:rPr>
          <w:i/>
          <w:iCs/>
        </w:rPr>
        <w:t>T</w:t>
      </w:r>
      <w:r w:rsidR="00055453">
        <w:rPr>
          <w:i/>
          <w:iCs/>
        </w:rPr>
        <w:t xml:space="preserve">he Great </w:t>
      </w:r>
      <w:r w:rsidR="00554E3E">
        <w:rPr>
          <w:i/>
          <w:iCs/>
        </w:rPr>
        <w:t xml:space="preserve">And The Kingdom Of The </w:t>
      </w:r>
      <w:r w:rsidR="00055453">
        <w:rPr>
          <w:i/>
          <w:iCs/>
        </w:rPr>
        <w:t>Anglo</w:t>
      </w:r>
      <w:r w:rsidR="00554E3E">
        <w:rPr>
          <w:i/>
          <w:iCs/>
        </w:rPr>
        <w:t>-</w:t>
      </w:r>
      <w:r w:rsidR="00055453">
        <w:rPr>
          <w:i/>
          <w:iCs/>
        </w:rPr>
        <w:t>Saxons</w:t>
      </w:r>
      <w:r w:rsidR="00554E3E">
        <w:rPr>
          <w:i/>
          <w:iCs/>
        </w:rPr>
        <w:t>,</w:t>
      </w:r>
      <w:r w:rsidR="00055453">
        <w:rPr>
          <w:i/>
          <w:iCs/>
        </w:rPr>
        <w:t xml:space="preserve"> </w:t>
      </w:r>
      <w:r w:rsidR="004E5023">
        <w:t>p. 14</w:t>
      </w:r>
      <w:r w:rsidR="00055453">
        <w:t xml:space="preserve"> </w:t>
      </w:r>
      <w:r w:rsidR="00554E3E">
        <w:t>&lt;</w:t>
      </w:r>
      <w:hyperlink r:id="rId11" w:history="1">
        <w:r w:rsidR="00554E3E" w:rsidRPr="00D565FA">
          <w:rPr>
            <w:rStyle w:val="Hyperlink"/>
          </w:rPr>
          <w:t>https://api.repository.cam.ac.uk/server/api/core/bitstreams/990c6e9b-d04a-</w:t>
        </w:r>
        <w:r w:rsidR="00554E3E" w:rsidRPr="00D565FA">
          <w:rPr>
            <w:rStyle w:val="Hyperlink"/>
          </w:rPr>
          <w:t>4</w:t>
        </w:r>
        <w:r w:rsidR="00554E3E" w:rsidRPr="00D565FA">
          <w:rPr>
            <w:rStyle w:val="Hyperlink"/>
          </w:rPr>
          <w:t>4c9-b3c2-803e17a0f831/content</w:t>
        </w:r>
      </w:hyperlink>
      <w:r w:rsidR="00554E3E">
        <w:t>&gt;</w:t>
      </w:r>
      <w:r w:rsidR="004C3596">
        <w:t xml:space="preserve"> </w:t>
      </w:r>
      <w:r w:rsidR="004C3596">
        <w:t>[accessed 2 December 2024]</w:t>
      </w:r>
      <w:r w:rsidR="00554E3E">
        <w:t>.</w:t>
      </w:r>
    </w:p>
    <w:p w14:paraId="6F5D0531" w14:textId="1C204A9E" w:rsidR="00E56E5B" w:rsidRDefault="00E56E5B">
      <w:pPr>
        <w:pStyle w:val="FootnoteText"/>
      </w:pPr>
    </w:p>
  </w:footnote>
  <w:footnote w:id="23">
    <w:p w14:paraId="049935BD" w14:textId="77777777" w:rsidR="00834CFA" w:rsidRPr="004E5023" w:rsidRDefault="00834CFA" w:rsidP="00834CFA">
      <w:pPr>
        <w:pStyle w:val="FootnoteText"/>
      </w:pPr>
      <w:r>
        <w:rPr>
          <w:rStyle w:val="FootnoteReference"/>
        </w:rPr>
        <w:footnoteRef/>
      </w:r>
      <w:r>
        <w:t xml:space="preserve"> John Asser, </w:t>
      </w:r>
      <w:r>
        <w:rPr>
          <w:i/>
          <w:iCs/>
        </w:rPr>
        <w:t>Asser’s Life of King Alfred</w:t>
      </w:r>
      <w:r>
        <w:t>, p. 15.</w:t>
      </w:r>
    </w:p>
    <w:p w14:paraId="04AF4B7C" w14:textId="77777777" w:rsidR="00834CFA" w:rsidRDefault="00834CFA" w:rsidP="00834CF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C069B" w14:textId="3E74766E" w:rsidR="00E56E5B" w:rsidRDefault="00741C06">
    <w:pPr>
      <w:pStyle w:val="Header"/>
    </w:pPr>
    <w:r>
      <w:t>Chris Guy</w:t>
    </w:r>
    <w:r>
      <w:tab/>
    </w:r>
    <w:hyperlink r:id="rId1" w:history="1">
      <w:r w:rsidRPr="00741C06">
        <w:rPr>
          <w:rStyle w:val="Hyperlink"/>
        </w:rPr>
        <w:t>Academic Skills (HPHP4902)</w:t>
      </w:r>
    </w:hyperlink>
    <w:r w:rsidR="00E56E5B">
      <w:ptab w:relativeTo="margin" w:alignment="right" w:leader="none"/>
    </w:r>
    <w:r>
      <w:t>02/12/2024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454"/>
    <w:rsid w:val="00055453"/>
    <w:rsid w:val="00140AF6"/>
    <w:rsid w:val="0014779A"/>
    <w:rsid w:val="00183CD9"/>
    <w:rsid w:val="001F1291"/>
    <w:rsid w:val="00231FDE"/>
    <w:rsid w:val="003244B1"/>
    <w:rsid w:val="00362379"/>
    <w:rsid w:val="003E0DC5"/>
    <w:rsid w:val="004255E7"/>
    <w:rsid w:val="0044147D"/>
    <w:rsid w:val="00443A8A"/>
    <w:rsid w:val="004C3596"/>
    <w:rsid w:val="004E5023"/>
    <w:rsid w:val="00554E3E"/>
    <w:rsid w:val="005C7C42"/>
    <w:rsid w:val="00741C06"/>
    <w:rsid w:val="00811287"/>
    <w:rsid w:val="00834CFA"/>
    <w:rsid w:val="00856BFA"/>
    <w:rsid w:val="00884EFA"/>
    <w:rsid w:val="00964D94"/>
    <w:rsid w:val="009F33C8"/>
    <w:rsid w:val="00A43454"/>
    <w:rsid w:val="00A83FBA"/>
    <w:rsid w:val="00AA5BC2"/>
    <w:rsid w:val="00B15E1E"/>
    <w:rsid w:val="00B40E59"/>
    <w:rsid w:val="00BA2A6E"/>
    <w:rsid w:val="00BC4C97"/>
    <w:rsid w:val="00CC0E85"/>
    <w:rsid w:val="00D82049"/>
    <w:rsid w:val="00E134EA"/>
    <w:rsid w:val="00E4400B"/>
    <w:rsid w:val="00E56E5B"/>
    <w:rsid w:val="00EC53BD"/>
    <w:rsid w:val="00FF6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3D582"/>
  <w15:chartTrackingRefBased/>
  <w15:docId w15:val="{AA5EC3D7-9F51-4602-9FAC-7B73960C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454"/>
  </w:style>
  <w:style w:type="paragraph" w:styleId="Heading1">
    <w:name w:val="heading 1"/>
    <w:basedOn w:val="Normal"/>
    <w:next w:val="Normal"/>
    <w:link w:val="Heading1Char"/>
    <w:uiPriority w:val="9"/>
    <w:qFormat/>
    <w:rsid w:val="00A434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34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4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4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4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4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4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34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4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4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4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454"/>
    <w:rPr>
      <w:rFonts w:eastAsiaTheme="majorEastAsia" w:cstheme="majorBidi"/>
      <w:color w:val="272727" w:themeColor="text1" w:themeTint="D8"/>
    </w:rPr>
  </w:style>
  <w:style w:type="paragraph" w:styleId="Title">
    <w:name w:val="Title"/>
    <w:basedOn w:val="Normal"/>
    <w:next w:val="Normal"/>
    <w:link w:val="TitleChar"/>
    <w:uiPriority w:val="10"/>
    <w:qFormat/>
    <w:rsid w:val="00A43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4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454"/>
    <w:pPr>
      <w:spacing w:before="160"/>
      <w:jc w:val="center"/>
    </w:pPr>
    <w:rPr>
      <w:i/>
      <w:iCs/>
      <w:color w:val="404040" w:themeColor="text1" w:themeTint="BF"/>
    </w:rPr>
  </w:style>
  <w:style w:type="character" w:customStyle="1" w:styleId="QuoteChar">
    <w:name w:val="Quote Char"/>
    <w:basedOn w:val="DefaultParagraphFont"/>
    <w:link w:val="Quote"/>
    <w:uiPriority w:val="29"/>
    <w:rsid w:val="00A43454"/>
    <w:rPr>
      <w:i/>
      <w:iCs/>
      <w:color w:val="404040" w:themeColor="text1" w:themeTint="BF"/>
    </w:rPr>
  </w:style>
  <w:style w:type="paragraph" w:styleId="ListParagraph">
    <w:name w:val="List Paragraph"/>
    <w:basedOn w:val="Normal"/>
    <w:uiPriority w:val="34"/>
    <w:qFormat/>
    <w:rsid w:val="00A43454"/>
    <w:pPr>
      <w:ind w:left="720"/>
      <w:contextualSpacing/>
    </w:pPr>
  </w:style>
  <w:style w:type="character" w:styleId="IntenseEmphasis">
    <w:name w:val="Intense Emphasis"/>
    <w:basedOn w:val="DefaultParagraphFont"/>
    <w:uiPriority w:val="21"/>
    <w:qFormat/>
    <w:rsid w:val="00A43454"/>
    <w:rPr>
      <w:i/>
      <w:iCs/>
      <w:color w:val="0F4761" w:themeColor="accent1" w:themeShade="BF"/>
    </w:rPr>
  </w:style>
  <w:style w:type="paragraph" w:styleId="IntenseQuote">
    <w:name w:val="Intense Quote"/>
    <w:basedOn w:val="Normal"/>
    <w:next w:val="Normal"/>
    <w:link w:val="IntenseQuoteChar"/>
    <w:uiPriority w:val="30"/>
    <w:qFormat/>
    <w:rsid w:val="00A434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454"/>
    <w:rPr>
      <w:i/>
      <w:iCs/>
      <w:color w:val="0F4761" w:themeColor="accent1" w:themeShade="BF"/>
    </w:rPr>
  </w:style>
  <w:style w:type="character" w:styleId="IntenseReference">
    <w:name w:val="Intense Reference"/>
    <w:basedOn w:val="DefaultParagraphFont"/>
    <w:uiPriority w:val="32"/>
    <w:qFormat/>
    <w:rsid w:val="00A43454"/>
    <w:rPr>
      <w:b/>
      <w:bCs/>
      <w:smallCaps/>
      <w:color w:val="0F4761" w:themeColor="accent1" w:themeShade="BF"/>
      <w:spacing w:val="5"/>
    </w:rPr>
  </w:style>
  <w:style w:type="character" w:styleId="CommentReference">
    <w:name w:val="annotation reference"/>
    <w:basedOn w:val="DefaultParagraphFont"/>
    <w:uiPriority w:val="99"/>
    <w:semiHidden/>
    <w:unhideWhenUsed/>
    <w:rsid w:val="00A43454"/>
    <w:rPr>
      <w:sz w:val="16"/>
      <w:szCs w:val="16"/>
    </w:rPr>
  </w:style>
  <w:style w:type="paragraph" w:styleId="CommentText">
    <w:name w:val="annotation text"/>
    <w:basedOn w:val="Normal"/>
    <w:link w:val="CommentTextChar"/>
    <w:uiPriority w:val="99"/>
    <w:unhideWhenUsed/>
    <w:rsid w:val="00A43454"/>
    <w:pPr>
      <w:spacing w:line="240" w:lineRule="auto"/>
    </w:pPr>
    <w:rPr>
      <w:sz w:val="20"/>
      <w:szCs w:val="20"/>
    </w:rPr>
  </w:style>
  <w:style w:type="character" w:customStyle="1" w:styleId="CommentTextChar">
    <w:name w:val="Comment Text Char"/>
    <w:basedOn w:val="DefaultParagraphFont"/>
    <w:link w:val="CommentText"/>
    <w:uiPriority w:val="99"/>
    <w:rsid w:val="00A43454"/>
    <w:rPr>
      <w:sz w:val="20"/>
      <w:szCs w:val="20"/>
    </w:rPr>
  </w:style>
  <w:style w:type="character" w:styleId="Hyperlink">
    <w:name w:val="Hyperlink"/>
    <w:basedOn w:val="DefaultParagraphFont"/>
    <w:uiPriority w:val="99"/>
    <w:unhideWhenUsed/>
    <w:rsid w:val="00A43454"/>
    <w:rPr>
      <w:color w:val="467886" w:themeColor="hyperlink"/>
      <w:u w:val="single"/>
    </w:rPr>
  </w:style>
  <w:style w:type="paragraph" w:styleId="Revision">
    <w:name w:val="Revision"/>
    <w:hidden/>
    <w:uiPriority w:val="99"/>
    <w:semiHidden/>
    <w:rsid w:val="00A43454"/>
    <w:pPr>
      <w:spacing w:after="0" w:line="240" w:lineRule="auto"/>
    </w:pPr>
  </w:style>
  <w:style w:type="paragraph" w:styleId="CommentSubject">
    <w:name w:val="annotation subject"/>
    <w:basedOn w:val="CommentText"/>
    <w:next w:val="CommentText"/>
    <w:link w:val="CommentSubjectChar"/>
    <w:uiPriority w:val="99"/>
    <w:semiHidden/>
    <w:unhideWhenUsed/>
    <w:rsid w:val="00E134EA"/>
    <w:rPr>
      <w:b/>
      <w:bCs/>
    </w:rPr>
  </w:style>
  <w:style w:type="character" w:customStyle="1" w:styleId="CommentSubjectChar">
    <w:name w:val="Comment Subject Char"/>
    <w:basedOn w:val="CommentTextChar"/>
    <w:link w:val="CommentSubject"/>
    <w:uiPriority w:val="99"/>
    <w:semiHidden/>
    <w:rsid w:val="00E134EA"/>
    <w:rPr>
      <w:b/>
      <w:bCs/>
      <w:sz w:val="20"/>
      <w:szCs w:val="20"/>
    </w:rPr>
  </w:style>
  <w:style w:type="character" w:styleId="UnresolvedMention">
    <w:name w:val="Unresolved Mention"/>
    <w:basedOn w:val="DefaultParagraphFont"/>
    <w:uiPriority w:val="99"/>
    <w:semiHidden/>
    <w:unhideWhenUsed/>
    <w:rsid w:val="00E134EA"/>
    <w:rPr>
      <w:color w:val="605E5C"/>
      <w:shd w:val="clear" w:color="auto" w:fill="E1DFDD"/>
    </w:rPr>
  </w:style>
  <w:style w:type="paragraph" w:styleId="FootnoteText">
    <w:name w:val="footnote text"/>
    <w:basedOn w:val="Normal"/>
    <w:link w:val="FootnoteTextChar"/>
    <w:uiPriority w:val="99"/>
    <w:unhideWhenUsed/>
    <w:rsid w:val="00E56E5B"/>
    <w:pPr>
      <w:spacing w:after="0" w:line="240" w:lineRule="auto"/>
    </w:pPr>
    <w:rPr>
      <w:sz w:val="20"/>
      <w:szCs w:val="20"/>
    </w:rPr>
  </w:style>
  <w:style w:type="character" w:customStyle="1" w:styleId="FootnoteTextChar">
    <w:name w:val="Footnote Text Char"/>
    <w:basedOn w:val="DefaultParagraphFont"/>
    <w:link w:val="FootnoteText"/>
    <w:uiPriority w:val="99"/>
    <w:rsid w:val="00E56E5B"/>
    <w:rPr>
      <w:sz w:val="20"/>
      <w:szCs w:val="20"/>
    </w:rPr>
  </w:style>
  <w:style w:type="character" w:styleId="FootnoteReference">
    <w:name w:val="footnote reference"/>
    <w:basedOn w:val="DefaultParagraphFont"/>
    <w:uiPriority w:val="99"/>
    <w:semiHidden/>
    <w:unhideWhenUsed/>
    <w:rsid w:val="00E56E5B"/>
    <w:rPr>
      <w:vertAlign w:val="superscript"/>
    </w:rPr>
  </w:style>
  <w:style w:type="paragraph" w:styleId="Caption">
    <w:name w:val="caption"/>
    <w:basedOn w:val="Normal"/>
    <w:next w:val="Normal"/>
    <w:uiPriority w:val="35"/>
    <w:unhideWhenUsed/>
    <w:qFormat/>
    <w:rsid w:val="00E56E5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56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E5B"/>
  </w:style>
  <w:style w:type="paragraph" w:styleId="Footer">
    <w:name w:val="footer"/>
    <w:basedOn w:val="Normal"/>
    <w:link w:val="FooterChar"/>
    <w:uiPriority w:val="99"/>
    <w:unhideWhenUsed/>
    <w:rsid w:val="00E56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E5B"/>
  </w:style>
  <w:style w:type="paragraph" w:styleId="NormalWeb">
    <w:name w:val="Normal (Web)"/>
    <w:basedOn w:val="Normal"/>
    <w:uiPriority w:val="99"/>
    <w:semiHidden/>
    <w:unhideWhenUsed/>
    <w:rsid w:val="00E4400B"/>
    <w:rPr>
      <w:rFonts w:ascii="Times New Roman" w:hAnsi="Times New Roman" w:cs="Times New Roman"/>
    </w:rPr>
  </w:style>
  <w:style w:type="character" w:styleId="FollowedHyperlink">
    <w:name w:val="FollowedHyperlink"/>
    <w:basedOn w:val="DefaultParagraphFont"/>
    <w:uiPriority w:val="99"/>
    <w:semiHidden/>
    <w:unhideWhenUsed/>
    <w:rsid w:val="000554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50034">
      <w:bodyDiv w:val="1"/>
      <w:marLeft w:val="0"/>
      <w:marRight w:val="0"/>
      <w:marTop w:val="0"/>
      <w:marBottom w:val="0"/>
      <w:divBdr>
        <w:top w:val="none" w:sz="0" w:space="0" w:color="auto"/>
        <w:left w:val="none" w:sz="0" w:space="0" w:color="auto"/>
        <w:bottom w:val="none" w:sz="0" w:space="0" w:color="auto"/>
        <w:right w:val="none" w:sz="0" w:space="0" w:color="auto"/>
      </w:divBdr>
    </w:div>
    <w:div w:id="24601591">
      <w:bodyDiv w:val="1"/>
      <w:marLeft w:val="0"/>
      <w:marRight w:val="0"/>
      <w:marTop w:val="0"/>
      <w:marBottom w:val="0"/>
      <w:divBdr>
        <w:top w:val="none" w:sz="0" w:space="0" w:color="auto"/>
        <w:left w:val="none" w:sz="0" w:space="0" w:color="auto"/>
        <w:bottom w:val="none" w:sz="0" w:space="0" w:color="auto"/>
        <w:right w:val="none" w:sz="0" w:space="0" w:color="auto"/>
      </w:divBdr>
    </w:div>
    <w:div w:id="87503103">
      <w:bodyDiv w:val="1"/>
      <w:marLeft w:val="0"/>
      <w:marRight w:val="0"/>
      <w:marTop w:val="0"/>
      <w:marBottom w:val="0"/>
      <w:divBdr>
        <w:top w:val="none" w:sz="0" w:space="0" w:color="auto"/>
        <w:left w:val="none" w:sz="0" w:space="0" w:color="auto"/>
        <w:bottom w:val="none" w:sz="0" w:space="0" w:color="auto"/>
        <w:right w:val="none" w:sz="0" w:space="0" w:color="auto"/>
      </w:divBdr>
    </w:div>
    <w:div w:id="116409352">
      <w:bodyDiv w:val="1"/>
      <w:marLeft w:val="0"/>
      <w:marRight w:val="0"/>
      <w:marTop w:val="0"/>
      <w:marBottom w:val="0"/>
      <w:divBdr>
        <w:top w:val="none" w:sz="0" w:space="0" w:color="auto"/>
        <w:left w:val="none" w:sz="0" w:space="0" w:color="auto"/>
        <w:bottom w:val="none" w:sz="0" w:space="0" w:color="auto"/>
        <w:right w:val="none" w:sz="0" w:space="0" w:color="auto"/>
      </w:divBdr>
    </w:div>
    <w:div w:id="504593243">
      <w:bodyDiv w:val="1"/>
      <w:marLeft w:val="0"/>
      <w:marRight w:val="0"/>
      <w:marTop w:val="0"/>
      <w:marBottom w:val="0"/>
      <w:divBdr>
        <w:top w:val="none" w:sz="0" w:space="0" w:color="auto"/>
        <w:left w:val="none" w:sz="0" w:space="0" w:color="auto"/>
        <w:bottom w:val="none" w:sz="0" w:space="0" w:color="auto"/>
        <w:right w:val="none" w:sz="0" w:space="0" w:color="auto"/>
      </w:divBdr>
    </w:div>
    <w:div w:id="514424244">
      <w:bodyDiv w:val="1"/>
      <w:marLeft w:val="0"/>
      <w:marRight w:val="0"/>
      <w:marTop w:val="0"/>
      <w:marBottom w:val="0"/>
      <w:divBdr>
        <w:top w:val="none" w:sz="0" w:space="0" w:color="auto"/>
        <w:left w:val="none" w:sz="0" w:space="0" w:color="auto"/>
        <w:bottom w:val="none" w:sz="0" w:space="0" w:color="auto"/>
        <w:right w:val="none" w:sz="0" w:space="0" w:color="auto"/>
      </w:divBdr>
    </w:div>
    <w:div w:id="710499311">
      <w:bodyDiv w:val="1"/>
      <w:marLeft w:val="0"/>
      <w:marRight w:val="0"/>
      <w:marTop w:val="0"/>
      <w:marBottom w:val="0"/>
      <w:divBdr>
        <w:top w:val="none" w:sz="0" w:space="0" w:color="auto"/>
        <w:left w:val="none" w:sz="0" w:space="0" w:color="auto"/>
        <w:bottom w:val="none" w:sz="0" w:space="0" w:color="auto"/>
        <w:right w:val="none" w:sz="0" w:space="0" w:color="auto"/>
      </w:divBdr>
    </w:div>
    <w:div w:id="833300628">
      <w:bodyDiv w:val="1"/>
      <w:marLeft w:val="0"/>
      <w:marRight w:val="0"/>
      <w:marTop w:val="0"/>
      <w:marBottom w:val="0"/>
      <w:divBdr>
        <w:top w:val="none" w:sz="0" w:space="0" w:color="auto"/>
        <w:left w:val="none" w:sz="0" w:space="0" w:color="auto"/>
        <w:bottom w:val="none" w:sz="0" w:space="0" w:color="auto"/>
        <w:right w:val="none" w:sz="0" w:space="0" w:color="auto"/>
      </w:divBdr>
    </w:div>
    <w:div w:id="938679873">
      <w:bodyDiv w:val="1"/>
      <w:marLeft w:val="0"/>
      <w:marRight w:val="0"/>
      <w:marTop w:val="0"/>
      <w:marBottom w:val="0"/>
      <w:divBdr>
        <w:top w:val="none" w:sz="0" w:space="0" w:color="auto"/>
        <w:left w:val="none" w:sz="0" w:space="0" w:color="auto"/>
        <w:bottom w:val="none" w:sz="0" w:space="0" w:color="auto"/>
        <w:right w:val="none" w:sz="0" w:space="0" w:color="auto"/>
      </w:divBdr>
    </w:div>
    <w:div w:id="990139720">
      <w:bodyDiv w:val="1"/>
      <w:marLeft w:val="0"/>
      <w:marRight w:val="0"/>
      <w:marTop w:val="0"/>
      <w:marBottom w:val="0"/>
      <w:divBdr>
        <w:top w:val="none" w:sz="0" w:space="0" w:color="auto"/>
        <w:left w:val="none" w:sz="0" w:space="0" w:color="auto"/>
        <w:bottom w:val="none" w:sz="0" w:space="0" w:color="auto"/>
        <w:right w:val="none" w:sz="0" w:space="0" w:color="auto"/>
      </w:divBdr>
    </w:div>
    <w:div w:id="1025785194">
      <w:bodyDiv w:val="1"/>
      <w:marLeft w:val="0"/>
      <w:marRight w:val="0"/>
      <w:marTop w:val="0"/>
      <w:marBottom w:val="0"/>
      <w:divBdr>
        <w:top w:val="none" w:sz="0" w:space="0" w:color="auto"/>
        <w:left w:val="none" w:sz="0" w:space="0" w:color="auto"/>
        <w:bottom w:val="none" w:sz="0" w:space="0" w:color="auto"/>
        <w:right w:val="none" w:sz="0" w:space="0" w:color="auto"/>
      </w:divBdr>
    </w:div>
    <w:div w:id="1417286219">
      <w:bodyDiv w:val="1"/>
      <w:marLeft w:val="0"/>
      <w:marRight w:val="0"/>
      <w:marTop w:val="0"/>
      <w:marBottom w:val="0"/>
      <w:divBdr>
        <w:top w:val="none" w:sz="0" w:space="0" w:color="auto"/>
        <w:left w:val="none" w:sz="0" w:space="0" w:color="auto"/>
        <w:bottom w:val="none" w:sz="0" w:space="0" w:color="auto"/>
        <w:right w:val="none" w:sz="0" w:space="0" w:color="auto"/>
      </w:divBdr>
    </w:div>
    <w:div w:id="1430389049">
      <w:bodyDiv w:val="1"/>
      <w:marLeft w:val="0"/>
      <w:marRight w:val="0"/>
      <w:marTop w:val="0"/>
      <w:marBottom w:val="0"/>
      <w:divBdr>
        <w:top w:val="none" w:sz="0" w:space="0" w:color="auto"/>
        <w:left w:val="none" w:sz="0" w:space="0" w:color="auto"/>
        <w:bottom w:val="none" w:sz="0" w:space="0" w:color="auto"/>
        <w:right w:val="none" w:sz="0" w:space="0" w:color="auto"/>
      </w:divBdr>
    </w:div>
    <w:div w:id="1438408434">
      <w:bodyDiv w:val="1"/>
      <w:marLeft w:val="0"/>
      <w:marRight w:val="0"/>
      <w:marTop w:val="0"/>
      <w:marBottom w:val="0"/>
      <w:divBdr>
        <w:top w:val="none" w:sz="0" w:space="0" w:color="auto"/>
        <w:left w:val="none" w:sz="0" w:space="0" w:color="auto"/>
        <w:bottom w:val="none" w:sz="0" w:space="0" w:color="auto"/>
        <w:right w:val="none" w:sz="0" w:space="0" w:color="auto"/>
      </w:divBdr>
    </w:div>
    <w:div w:id="1572618018">
      <w:bodyDiv w:val="1"/>
      <w:marLeft w:val="0"/>
      <w:marRight w:val="0"/>
      <w:marTop w:val="0"/>
      <w:marBottom w:val="0"/>
      <w:divBdr>
        <w:top w:val="none" w:sz="0" w:space="0" w:color="auto"/>
        <w:left w:val="none" w:sz="0" w:space="0" w:color="auto"/>
        <w:bottom w:val="none" w:sz="0" w:space="0" w:color="auto"/>
        <w:right w:val="none" w:sz="0" w:space="0" w:color="auto"/>
      </w:divBdr>
    </w:div>
    <w:div w:id="1632250716">
      <w:bodyDiv w:val="1"/>
      <w:marLeft w:val="0"/>
      <w:marRight w:val="0"/>
      <w:marTop w:val="0"/>
      <w:marBottom w:val="0"/>
      <w:divBdr>
        <w:top w:val="none" w:sz="0" w:space="0" w:color="auto"/>
        <w:left w:val="none" w:sz="0" w:space="0" w:color="auto"/>
        <w:bottom w:val="none" w:sz="0" w:space="0" w:color="auto"/>
        <w:right w:val="none" w:sz="0" w:space="0" w:color="auto"/>
      </w:divBdr>
    </w:div>
    <w:div w:id="1716388175">
      <w:bodyDiv w:val="1"/>
      <w:marLeft w:val="0"/>
      <w:marRight w:val="0"/>
      <w:marTop w:val="0"/>
      <w:marBottom w:val="0"/>
      <w:divBdr>
        <w:top w:val="none" w:sz="0" w:space="0" w:color="auto"/>
        <w:left w:val="none" w:sz="0" w:space="0" w:color="auto"/>
        <w:bottom w:val="none" w:sz="0" w:space="0" w:color="auto"/>
        <w:right w:val="none" w:sz="0" w:space="0" w:color="auto"/>
      </w:divBdr>
    </w:div>
    <w:div w:id="1975017348">
      <w:bodyDiv w:val="1"/>
      <w:marLeft w:val="0"/>
      <w:marRight w:val="0"/>
      <w:marTop w:val="0"/>
      <w:marBottom w:val="0"/>
      <w:divBdr>
        <w:top w:val="none" w:sz="0" w:space="0" w:color="auto"/>
        <w:left w:val="none" w:sz="0" w:space="0" w:color="auto"/>
        <w:bottom w:val="none" w:sz="0" w:space="0" w:color="auto"/>
        <w:right w:val="none" w:sz="0" w:space="0" w:color="auto"/>
      </w:divBdr>
    </w:div>
    <w:div w:id="2086413733">
      <w:bodyDiv w:val="1"/>
      <w:marLeft w:val="0"/>
      <w:marRight w:val="0"/>
      <w:marTop w:val="0"/>
      <w:marBottom w:val="0"/>
      <w:divBdr>
        <w:top w:val="none" w:sz="0" w:space="0" w:color="auto"/>
        <w:left w:val="none" w:sz="0" w:space="0" w:color="auto"/>
        <w:bottom w:val="none" w:sz="0" w:space="0" w:color="auto"/>
        <w:right w:val="none" w:sz="0" w:space="0" w:color="auto"/>
      </w:divBdr>
    </w:div>
    <w:div w:id="213012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files/63384/63384-h/63384-h.htm#sec_87" TargetMode="External"/><Relationship Id="rId13" Type="http://schemas.openxmlformats.org/officeDocument/2006/relationships/hyperlink" Target="https://www.myartprints.co.uk/a/english-school/alfred-the-great-849-99-a.html" TargetMode="External"/><Relationship Id="rId18" Type="http://schemas.openxmlformats.org/officeDocument/2006/relationships/hyperlink" Target="https://www.valeofeveshamhistory.org.uk/alfred-the-grea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ritannica.com/topic/Anglo-Saxon-Chronicle" TargetMode="External"/><Relationship Id="rId17" Type="http://schemas.openxmlformats.org/officeDocument/2006/relationships/hyperlink" Target="https://www.royal.uk/alfred-great-r-871-899#:~:text=Like%20other%20West%20Saxon%20kings,body%20of%20Anglo%2DSaxon%20law" TargetMode="External"/><Relationship Id="rId2" Type="http://schemas.openxmlformats.org/officeDocument/2006/relationships/styles" Target="styles.xml"/><Relationship Id="rId16" Type="http://schemas.openxmlformats.org/officeDocument/2006/relationships/hyperlink" Target="https://www.gutenberg.org/cache/epub/657/pg657-image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hroniconchronicon.home.blog/2019/05/17/a-tale-of-two-cousins-aethelwold-and-edward-the-elder/" TargetMode="External"/><Relationship Id="rId5" Type="http://schemas.openxmlformats.org/officeDocument/2006/relationships/footnotes" Target="footnotes.xml"/><Relationship Id="rId15" Type="http://schemas.openxmlformats.org/officeDocument/2006/relationships/hyperlink" Target="https://api.repository.cam.ac.uk/server/api/core/bitstreams/990c6e9b-d04a-44c9-b3c2-803e17a0f831/content" TargetMode="External"/><Relationship Id="rId10" Type="http://schemas.openxmlformats.org/officeDocument/2006/relationships/hyperlink" Target="https://www.vikingeskibsmuseet.dk/en/professions/education/the-longships/the-historical-sources/the-anglo-saxon-chronicl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istoric-uk.com/HistoryUK/HistoryofEngland/Alfred-the-Great/" TargetMode="External"/><Relationship Id="rId14" Type="http://schemas.openxmlformats.org/officeDocument/2006/relationships/hyperlink" Target="https://www.nationaltrust.org.uk/discover/history/art-collections/wassailing-ritual-and-revelr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trust.org.uk/discover/history/art-collections/wassailing-ritual-and-revelry" TargetMode="External"/><Relationship Id="rId3" Type="http://schemas.openxmlformats.org/officeDocument/2006/relationships/hyperlink" Target="https://www.vikingeskibsmuseet.dk/en/professions/education/the-longships/the-historical-sources/the-anglo-saxon-chronicle" TargetMode="External"/><Relationship Id="rId7" Type="http://schemas.openxmlformats.org/officeDocument/2006/relationships/hyperlink" Target="https://chroniconchronicon.home.blog/2019/05/17/a-tale-of-two-cousins-aethelwold-and-edward-the-elder/" TargetMode="External"/><Relationship Id="rId2" Type="http://schemas.openxmlformats.org/officeDocument/2006/relationships/hyperlink" Target="https://www.myartprints.co.uk/a/english-school/alfred-the-great-849-99-a.html" TargetMode="External"/><Relationship Id="rId1" Type="http://schemas.openxmlformats.org/officeDocument/2006/relationships/hyperlink" Target="https://www.historic-uk.com/HistoryUK/HistoryofEngland/Alfred-the-Great/" TargetMode="External"/><Relationship Id="rId6" Type="http://schemas.openxmlformats.org/officeDocument/2006/relationships/hyperlink" Target="https://www.valeofeveshamhistory.org.uk/alfred-the-great" TargetMode="External"/><Relationship Id="rId11" Type="http://schemas.openxmlformats.org/officeDocument/2006/relationships/hyperlink" Target="https://api.repository.cam.ac.uk/server/api/core/bitstreams/990c6e9b-d04a-44c9-b3c2-803e17a0f831/content" TargetMode="External"/><Relationship Id="rId5" Type="http://schemas.openxmlformats.org/officeDocument/2006/relationships/hyperlink" Target="https://www.britannica.com/topic/Anglo-Saxon-Chronicle" TargetMode="External"/><Relationship Id="rId10" Type="http://schemas.openxmlformats.org/officeDocument/2006/relationships/hyperlink" Target="https://www.gutenberg.org/files/63384/63384-h/63384-h.htm#sec_87" TargetMode="External"/><Relationship Id="rId4" Type="http://schemas.openxmlformats.org/officeDocument/2006/relationships/hyperlink" Target="https://www.gutenberg.org/cache/epub/657/pg657-images.html" TargetMode="External"/><Relationship Id="rId9" Type="http://schemas.openxmlformats.org/officeDocument/2006/relationships/hyperlink" Target="https://www.royal.uk/alfred-great-r-871-899#:~:text=Like%20other%20West%20Saxon%20kings,body%20of%20Anglo%2DSaxon%20law"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C74CE2-F286-4589-B60C-585A98525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4</cp:revision>
  <dcterms:created xsi:type="dcterms:W3CDTF">2024-12-01T14:38:00Z</dcterms:created>
  <dcterms:modified xsi:type="dcterms:W3CDTF">2024-12-02T21:22:00Z</dcterms:modified>
</cp:coreProperties>
</file>