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7275B" w14:textId="77777777" w:rsidR="00102C9E" w:rsidRPr="006E3649" w:rsidRDefault="00102C9E" w:rsidP="008C569A">
      <w:pPr>
        <w:spacing w:after="120" w:line="360" w:lineRule="auto"/>
        <w:jc w:val="both"/>
        <w:rPr>
          <w:rFonts w:ascii="Arial" w:hAnsi="Arial" w:cs="Arial"/>
          <w:b/>
          <w:bCs/>
          <w:sz w:val="22"/>
          <w:szCs w:val="22"/>
        </w:rPr>
      </w:pPr>
    </w:p>
    <w:p w14:paraId="36F1260F" w14:textId="5851931E" w:rsidR="00102C9E" w:rsidRPr="006E3649" w:rsidRDefault="00102C9E" w:rsidP="008C569A">
      <w:pPr>
        <w:spacing w:after="120" w:line="360" w:lineRule="auto"/>
        <w:jc w:val="center"/>
        <w:rPr>
          <w:rFonts w:ascii="Arial" w:hAnsi="Arial" w:cs="Arial"/>
          <w:b/>
          <w:bCs/>
          <w:sz w:val="22"/>
          <w:szCs w:val="22"/>
        </w:rPr>
      </w:pPr>
      <w:r w:rsidRPr="006E3649">
        <w:rPr>
          <w:rFonts w:ascii="Arial" w:hAnsi="Arial" w:cs="Arial"/>
          <w:noProof/>
        </w:rPr>
        <w:drawing>
          <wp:inline distT="0" distB="0" distL="0" distR="0" wp14:anchorId="4C85CA60" wp14:editId="43B1B4F8">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319DEB5A" w14:textId="77777777" w:rsidR="00102C9E" w:rsidRPr="006E3649" w:rsidRDefault="00102C9E" w:rsidP="008C569A">
      <w:pPr>
        <w:spacing w:after="120" w:line="360" w:lineRule="auto"/>
        <w:jc w:val="both"/>
        <w:rPr>
          <w:rFonts w:ascii="Arial" w:hAnsi="Arial" w:cs="Arial"/>
          <w:b/>
          <w:bCs/>
          <w:sz w:val="22"/>
          <w:szCs w:val="22"/>
        </w:rPr>
      </w:pPr>
    </w:p>
    <w:p w14:paraId="0AE74037" w14:textId="52E23A82"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NAME:</w:t>
      </w:r>
      <w:r w:rsidR="00102C9E" w:rsidRPr="006E3649">
        <w:rPr>
          <w:rFonts w:ascii="Arial" w:hAnsi="Arial" w:cs="Arial"/>
          <w:b/>
          <w:bCs/>
          <w:sz w:val="22"/>
          <w:szCs w:val="22"/>
        </w:rPr>
        <w:t xml:space="preserve"> AG</w:t>
      </w:r>
      <w:r w:rsidR="00843319">
        <w:rPr>
          <w:rFonts w:ascii="Arial" w:hAnsi="Arial" w:cs="Arial"/>
          <w:b/>
          <w:bCs/>
          <w:sz w:val="22"/>
          <w:szCs w:val="22"/>
        </w:rPr>
        <w:t>OMUO</w:t>
      </w:r>
      <w:r w:rsidR="00102C9E" w:rsidRPr="006E3649">
        <w:rPr>
          <w:rFonts w:ascii="Arial" w:hAnsi="Arial" w:cs="Arial"/>
          <w:b/>
          <w:bCs/>
          <w:sz w:val="22"/>
          <w:szCs w:val="22"/>
        </w:rPr>
        <w:t xml:space="preserve"> ONUOHA</w:t>
      </w:r>
      <w:r w:rsidR="00364770">
        <w:rPr>
          <w:rFonts w:ascii="Arial" w:hAnsi="Arial" w:cs="Arial"/>
          <w:b/>
          <w:bCs/>
          <w:sz w:val="22"/>
          <w:szCs w:val="22"/>
        </w:rPr>
        <w:t xml:space="preserve"> CONFIDENCE CHINONYEREM</w:t>
      </w:r>
    </w:p>
    <w:p w14:paraId="1978DC93" w14:textId="544287EA"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STUDENT NUMBER:</w:t>
      </w:r>
      <w:r w:rsidR="00364770">
        <w:rPr>
          <w:rFonts w:ascii="Arial" w:hAnsi="Arial" w:cs="Arial"/>
          <w:b/>
          <w:bCs/>
          <w:sz w:val="22"/>
          <w:szCs w:val="22"/>
        </w:rPr>
        <w:t xml:space="preserve"> 2244624</w:t>
      </w:r>
    </w:p>
    <w:p w14:paraId="690E2C8B" w14:textId="26897F92"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MODULE TITLE:</w:t>
      </w:r>
      <w:r w:rsidR="00C6003A" w:rsidRPr="006E3649">
        <w:rPr>
          <w:rFonts w:ascii="Arial" w:hAnsi="Arial" w:cs="Arial"/>
          <w:b/>
          <w:bCs/>
          <w:sz w:val="22"/>
          <w:szCs w:val="22"/>
        </w:rPr>
        <w:t xml:space="preserve"> Health, Wellbeing and Sustainable Development</w:t>
      </w:r>
    </w:p>
    <w:p w14:paraId="63533568" w14:textId="1217AE37"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MODULE CODE:</w:t>
      </w:r>
      <w:r w:rsidR="00C6003A" w:rsidRPr="006E3649">
        <w:rPr>
          <w:rFonts w:ascii="Arial" w:hAnsi="Arial" w:cs="Arial"/>
          <w:b/>
          <w:bCs/>
          <w:sz w:val="22"/>
          <w:szCs w:val="22"/>
        </w:rPr>
        <w:t xml:space="preserve"> BMHP6030</w:t>
      </w:r>
    </w:p>
    <w:p w14:paraId="0491CBB8" w14:textId="53077AE1"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LECTURER’S NAME:</w:t>
      </w:r>
      <w:r w:rsidR="00C6003A" w:rsidRPr="006E3649">
        <w:rPr>
          <w:rFonts w:ascii="Arial" w:hAnsi="Arial" w:cs="Arial"/>
          <w:b/>
          <w:bCs/>
          <w:sz w:val="22"/>
          <w:szCs w:val="22"/>
        </w:rPr>
        <w:t xml:space="preserve"> Dr </w:t>
      </w:r>
      <w:proofErr w:type="spellStart"/>
      <w:r w:rsidR="00C6003A" w:rsidRPr="006E3649">
        <w:rPr>
          <w:rFonts w:ascii="Arial" w:hAnsi="Arial" w:cs="Arial"/>
          <w:b/>
          <w:bCs/>
          <w:sz w:val="22"/>
          <w:szCs w:val="22"/>
        </w:rPr>
        <w:t>Itse</w:t>
      </w:r>
      <w:proofErr w:type="spellEnd"/>
      <w:r w:rsidR="00C6003A" w:rsidRPr="006E3649">
        <w:rPr>
          <w:rFonts w:ascii="Arial" w:hAnsi="Arial" w:cs="Arial"/>
          <w:b/>
          <w:bCs/>
          <w:sz w:val="22"/>
          <w:szCs w:val="22"/>
        </w:rPr>
        <w:t xml:space="preserve"> Olaoye</w:t>
      </w:r>
    </w:p>
    <w:p w14:paraId="0B74F83B" w14:textId="6AC1F13C" w:rsidR="003E1442" w:rsidRPr="006E3649" w:rsidRDefault="003E1442" w:rsidP="008C569A">
      <w:pPr>
        <w:spacing w:after="120" w:line="360" w:lineRule="auto"/>
        <w:jc w:val="both"/>
        <w:rPr>
          <w:rFonts w:ascii="Arial" w:hAnsi="Arial" w:cs="Arial"/>
          <w:b/>
          <w:bCs/>
          <w:sz w:val="22"/>
          <w:szCs w:val="22"/>
        </w:rPr>
      </w:pPr>
      <w:r w:rsidRPr="006E3649">
        <w:rPr>
          <w:rFonts w:ascii="Arial" w:hAnsi="Arial" w:cs="Arial"/>
          <w:b/>
          <w:bCs/>
          <w:sz w:val="22"/>
          <w:szCs w:val="22"/>
        </w:rPr>
        <w:t>ASSIGNMENT TITLE:</w:t>
      </w:r>
      <w:r w:rsidR="00C6003A" w:rsidRPr="006E3649">
        <w:rPr>
          <w:rFonts w:ascii="Arial" w:hAnsi="Arial" w:cs="Arial"/>
          <w:b/>
          <w:bCs/>
          <w:sz w:val="22"/>
          <w:szCs w:val="22"/>
        </w:rPr>
        <w:t xml:space="preserve"> Component 2: Written Assignment (Report)</w:t>
      </w:r>
    </w:p>
    <w:p w14:paraId="1A874231" w14:textId="77777777" w:rsidR="003E1442" w:rsidRPr="006E3649" w:rsidRDefault="003E1442" w:rsidP="008C569A">
      <w:pPr>
        <w:spacing w:after="120" w:line="360" w:lineRule="auto"/>
        <w:jc w:val="both"/>
        <w:rPr>
          <w:rFonts w:ascii="Arial" w:hAnsi="Arial" w:cs="Arial"/>
          <w:b/>
          <w:bCs/>
          <w:sz w:val="22"/>
          <w:szCs w:val="22"/>
        </w:rPr>
      </w:pPr>
    </w:p>
    <w:p w14:paraId="5A7534E0" w14:textId="77777777" w:rsidR="003E1442" w:rsidRPr="006E3649" w:rsidRDefault="003E1442" w:rsidP="008C569A">
      <w:pPr>
        <w:spacing w:after="120" w:line="360" w:lineRule="auto"/>
        <w:jc w:val="both"/>
        <w:rPr>
          <w:rFonts w:ascii="Arial" w:hAnsi="Arial" w:cs="Arial"/>
          <w:b/>
          <w:bCs/>
          <w:sz w:val="22"/>
          <w:szCs w:val="22"/>
        </w:rPr>
      </w:pPr>
    </w:p>
    <w:p w14:paraId="3A6B6990" w14:textId="77777777" w:rsidR="003E1442" w:rsidRPr="006E3649" w:rsidRDefault="003E1442" w:rsidP="008C569A">
      <w:pPr>
        <w:spacing w:after="120" w:line="360" w:lineRule="auto"/>
        <w:jc w:val="both"/>
        <w:rPr>
          <w:rFonts w:ascii="Arial" w:hAnsi="Arial" w:cs="Arial"/>
          <w:b/>
          <w:bCs/>
          <w:sz w:val="22"/>
          <w:szCs w:val="22"/>
        </w:rPr>
      </w:pPr>
    </w:p>
    <w:p w14:paraId="159D8704" w14:textId="77777777" w:rsidR="003E1442" w:rsidRPr="006E3649" w:rsidRDefault="003E1442" w:rsidP="008C569A">
      <w:pPr>
        <w:spacing w:after="120" w:line="360" w:lineRule="auto"/>
        <w:jc w:val="both"/>
        <w:rPr>
          <w:rFonts w:ascii="Arial" w:hAnsi="Arial" w:cs="Arial"/>
          <w:b/>
          <w:bCs/>
          <w:sz w:val="22"/>
          <w:szCs w:val="22"/>
        </w:rPr>
      </w:pPr>
    </w:p>
    <w:p w14:paraId="65A462C5" w14:textId="77777777" w:rsidR="003E1442" w:rsidRPr="006E3649" w:rsidRDefault="003E1442" w:rsidP="008C569A">
      <w:pPr>
        <w:spacing w:after="120" w:line="360" w:lineRule="auto"/>
        <w:jc w:val="both"/>
        <w:rPr>
          <w:rFonts w:ascii="Arial" w:hAnsi="Arial" w:cs="Arial"/>
          <w:b/>
          <w:bCs/>
          <w:sz w:val="22"/>
          <w:szCs w:val="22"/>
        </w:rPr>
      </w:pPr>
    </w:p>
    <w:p w14:paraId="0FCBB101" w14:textId="77777777" w:rsidR="003E1442" w:rsidRPr="006E3649" w:rsidRDefault="003E1442" w:rsidP="008C569A">
      <w:pPr>
        <w:spacing w:after="120" w:line="360" w:lineRule="auto"/>
        <w:jc w:val="both"/>
        <w:rPr>
          <w:rFonts w:ascii="Arial" w:hAnsi="Arial" w:cs="Arial"/>
          <w:b/>
          <w:bCs/>
          <w:sz w:val="22"/>
          <w:szCs w:val="22"/>
        </w:rPr>
      </w:pPr>
    </w:p>
    <w:p w14:paraId="2E135E81" w14:textId="77777777" w:rsidR="003E1442" w:rsidRPr="006E3649" w:rsidRDefault="003E1442" w:rsidP="008C569A">
      <w:pPr>
        <w:spacing w:after="120" w:line="360" w:lineRule="auto"/>
        <w:jc w:val="both"/>
        <w:rPr>
          <w:rFonts w:ascii="Arial" w:hAnsi="Arial" w:cs="Arial"/>
          <w:b/>
          <w:bCs/>
          <w:sz w:val="22"/>
          <w:szCs w:val="22"/>
        </w:rPr>
      </w:pPr>
    </w:p>
    <w:p w14:paraId="55D4AB41" w14:textId="77777777" w:rsidR="003E1442" w:rsidRPr="006E3649" w:rsidRDefault="003E1442" w:rsidP="008C569A">
      <w:pPr>
        <w:spacing w:after="120" w:line="360" w:lineRule="auto"/>
        <w:jc w:val="both"/>
        <w:rPr>
          <w:rFonts w:ascii="Arial" w:hAnsi="Arial" w:cs="Arial"/>
          <w:b/>
          <w:bCs/>
          <w:sz w:val="22"/>
          <w:szCs w:val="22"/>
        </w:rPr>
      </w:pPr>
    </w:p>
    <w:p w14:paraId="4A4C36EA" w14:textId="77777777" w:rsidR="003E1442" w:rsidRPr="006E3649" w:rsidRDefault="003E1442" w:rsidP="008C569A">
      <w:pPr>
        <w:spacing w:after="120" w:line="360" w:lineRule="auto"/>
        <w:jc w:val="both"/>
        <w:rPr>
          <w:rFonts w:ascii="Arial" w:hAnsi="Arial" w:cs="Arial"/>
          <w:b/>
          <w:bCs/>
          <w:sz w:val="22"/>
          <w:szCs w:val="22"/>
        </w:rPr>
      </w:pPr>
    </w:p>
    <w:p w14:paraId="79FA960A" w14:textId="77777777" w:rsidR="003E1442" w:rsidRPr="006E3649" w:rsidRDefault="003E1442" w:rsidP="008C569A">
      <w:pPr>
        <w:spacing w:after="120" w:line="360" w:lineRule="auto"/>
        <w:jc w:val="both"/>
        <w:rPr>
          <w:rFonts w:ascii="Arial" w:hAnsi="Arial" w:cs="Arial"/>
          <w:b/>
          <w:bCs/>
          <w:sz w:val="22"/>
          <w:szCs w:val="22"/>
        </w:rPr>
      </w:pPr>
    </w:p>
    <w:p w14:paraId="44226B03" w14:textId="77777777" w:rsidR="003E1442" w:rsidRPr="006E3649" w:rsidRDefault="003E1442" w:rsidP="008C569A">
      <w:pPr>
        <w:spacing w:after="120" w:line="360" w:lineRule="auto"/>
        <w:jc w:val="both"/>
        <w:rPr>
          <w:rFonts w:ascii="Arial" w:hAnsi="Arial" w:cs="Arial"/>
          <w:b/>
          <w:bCs/>
          <w:sz w:val="22"/>
          <w:szCs w:val="22"/>
        </w:rPr>
      </w:pPr>
    </w:p>
    <w:p w14:paraId="2291DAD2" w14:textId="77777777" w:rsidR="003E1442" w:rsidRPr="006E3649" w:rsidRDefault="003E1442" w:rsidP="008C569A">
      <w:pPr>
        <w:spacing w:after="120" w:line="360" w:lineRule="auto"/>
        <w:jc w:val="both"/>
        <w:rPr>
          <w:rFonts w:ascii="Arial" w:hAnsi="Arial" w:cs="Arial"/>
          <w:b/>
          <w:bCs/>
          <w:sz w:val="22"/>
          <w:szCs w:val="22"/>
        </w:rPr>
      </w:pPr>
    </w:p>
    <w:p w14:paraId="02D42572" w14:textId="77777777" w:rsidR="003E1442" w:rsidRPr="006E3649" w:rsidRDefault="003E1442" w:rsidP="008C569A">
      <w:pPr>
        <w:spacing w:after="120" w:line="360" w:lineRule="auto"/>
        <w:jc w:val="both"/>
        <w:rPr>
          <w:rFonts w:ascii="Arial" w:hAnsi="Arial" w:cs="Arial"/>
          <w:b/>
          <w:bCs/>
          <w:sz w:val="22"/>
          <w:szCs w:val="22"/>
        </w:rPr>
      </w:pPr>
    </w:p>
    <w:p w14:paraId="53A9B078" w14:textId="77777777" w:rsidR="003E1442" w:rsidRPr="006E3649" w:rsidRDefault="003E1442" w:rsidP="008C569A">
      <w:pPr>
        <w:spacing w:after="120" w:line="360" w:lineRule="auto"/>
        <w:jc w:val="both"/>
        <w:rPr>
          <w:rFonts w:ascii="Arial" w:hAnsi="Arial" w:cs="Arial"/>
          <w:b/>
          <w:bCs/>
          <w:sz w:val="22"/>
          <w:szCs w:val="22"/>
        </w:rPr>
      </w:pPr>
    </w:p>
    <w:p w14:paraId="4E8A76F9" w14:textId="77777777" w:rsidR="003E1442" w:rsidRPr="006E3649" w:rsidRDefault="003E1442" w:rsidP="008C569A">
      <w:pPr>
        <w:spacing w:after="120" w:line="360" w:lineRule="auto"/>
        <w:jc w:val="both"/>
        <w:rPr>
          <w:rFonts w:ascii="Arial" w:hAnsi="Arial" w:cs="Arial"/>
          <w:b/>
          <w:bCs/>
          <w:sz w:val="22"/>
          <w:szCs w:val="22"/>
        </w:rPr>
      </w:pPr>
    </w:p>
    <w:p w14:paraId="04A932C2" w14:textId="77777777" w:rsidR="003E1442" w:rsidRPr="006E3649" w:rsidRDefault="003E1442" w:rsidP="008C569A">
      <w:pPr>
        <w:spacing w:after="120" w:line="360" w:lineRule="auto"/>
        <w:jc w:val="both"/>
        <w:rPr>
          <w:rFonts w:ascii="Arial" w:hAnsi="Arial" w:cs="Arial"/>
          <w:b/>
          <w:bCs/>
          <w:sz w:val="22"/>
          <w:szCs w:val="22"/>
        </w:rPr>
      </w:pPr>
    </w:p>
    <w:p w14:paraId="3D29B444" w14:textId="561EBD64" w:rsidR="00023A89" w:rsidRPr="00364770" w:rsidRDefault="00023A89" w:rsidP="008C569A">
      <w:pPr>
        <w:spacing w:after="0" w:line="360" w:lineRule="auto"/>
        <w:jc w:val="both"/>
        <w:rPr>
          <w:rFonts w:ascii="Arial" w:hAnsi="Arial" w:cs="Arial"/>
          <w:b/>
          <w:bCs/>
          <w:sz w:val="28"/>
          <w:szCs w:val="28"/>
        </w:rPr>
      </w:pPr>
      <w:r w:rsidRPr="00364770">
        <w:rPr>
          <w:rFonts w:ascii="Arial" w:hAnsi="Arial" w:cs="Arial"/>
          <w:b/>
          <w:bCs/>
          <w:sz w:val="28"/>
          <w:szCs w:val="28"/>
        </w:rPr>
        <w:lastRenderedPageBreak/>
        <w:t>Introduction</w:t>
      </w:r>
    </w:p>
    <w:p w14:paraId="0325F012" w14:textId="77777777" w:rsidR="00364770" w:rsidRPr="006E3649" w:rsidRDefault="00364770" w:rsidP="008C569A">
      <w:pPr>
        <w:spacing w:after="0" w:line="360" w:lineRule="auto"/>
        <w:jc w:val="both"/>
        <w:rPr>
          <w:rFonts w:ascii="Arial" w:hAnsi="Arial" w:cs="Arial"/>
          <w:b/>
          <w:bCs/>
          <w:sz w:val="22"/>
          <w:szCs w:val="22"/>
        </w:rPr>
      </w:pPr>
    </w:p>
    <w:p w14:paraId="326DC8D1" w14:textId="6E1775AB" w:rsidR="008B3E50" w:rsidRPr="006E3649" w:rsidRDefault="008C41DB" w:rsidP="008C569A">
      <w:pPr>
        <w:spacing w:after="0" w:line="360" w:lineRule="auto"/>
        <w:jc w:val="both"/>
        <w:rPr>
          <w:rFonts w:ascii="Arial" w:hAnsi="Arial" w:cs="Arial"/>
          <w:sz w:val="22"/>
          <w:szCs w:val="22"/>
        </w:rPr>
      </w:pPr>
      <w:r w:rsidRPr="006E3649">
        <w:rPr>
          <w:rFonts w:ascii="Arial" w:hAnsi="Arial" w:cs="Arial"/>
          <w:sz w:val="22"/>
          <w:szCs w:val="22"/>
        </w:rPr>
        <w:t>Health and well-being extend beyond the absence of disease and are central to sustainable development (</w:t>
      </w:r>
      <w:r w:rsidR="00364770" w:rsidRPr="006E3649">
        <w:rPr>
          <w:rFonts w:ascii="Arial" w:hAnsi="Arial" w:cs="Arial"/>
          <w:sz w:val="22"/>
          <w:szCs w:val="22"/>
        </w:rPr>
        <w:t>Schramm</w:t>
      </w:r>
      <w:r w:rsidRPr="006E3649">
        <w:rPr>
          <w:rFonts w:ascii="Arial" w:hAnsi="Arial" w:cs="Arial"/>
          <w:sz w:val="22"/>
          <w:szCs w:val="22"/>
        </w:rPr>
        <w:t>, 2023). The 2030 Agenda introduced 17 Sustainable Development Goals (SDGs)</w:t>
      </w:r>
      <w:r w:rsidR="006E3649" w:rsidRPr="006E3649">
        <w:rPr>
          <w:rFonts w:ascii="Arial" w:hAnsi="Arial" w:cs="Arial"/>
          <w:sz w:val="22"/>
          <w:szCs w:val="22"/>
        </w:rPr>
        <w:t xml:space="preserve"> that link</w:t>
      </w:r>
      <w:r w:rsidRPr="006E3649">
        <w:rPr>
          <w:rFonts w:ascii="Arial" w:hAnsi="Arial" w:cs="Arial"/>
          <w:sz w:val="22"/>
          <w:szCs w:val="22"/>
        </w:rPr>
        <w:t xml:space="preserve"> health, equity, and sustainability (United Nations Development Programme, 2026). SDG 3 focuses on health, while SDG 10 addresses inequalities that shape health outcomes (United Nations Sustainable Development Group, 2019). This report examines these impacts at global, national, and local levels, using England and Birmingham as case studies. It draws on the Dahlgren and Whitehead model and Marmot’s social gradient theory to assess policies and propose recommendations (World Health </w:t>
      </w:r>
      <w:r w:rsidR="00912321">
        <w:rPr>
          <w:rFonts w:ascii="Arial" w:hAnsi="Arial" w:cs="Arial"/>
          <w:sz w:val="22"/>
          <w:szCs w:val="22"/>
        </w:rPr>
        <w:t>Organisation, 2010</w:t>
      </w:r>
      <w:r w:rsidRPr="006E3649">
        <w:rPr>
          <w:rFonts w:ascii="Arial" w:hAnsi="Arial" w:cs="Arial"/>
          <w:sz w:val="22"/>
          <w:szCs w:val="22"/>
        </w:rPr>
        <w:t>).</w:t>
      </w:r>
    </w:p>
    <w:p w14:paraId="76DF338D" w14:textId="77777777" w:rsidR="008C41DB" w:rsidRPr="00364770" w:rsidRDefault="008C41DB" w:rsidP="008C569A">
      <w:pPr>
        <w:spacing w:after="0" w:line="360" w:lineRule="auto"/>
        <w:jc w:val="both"/>
        <w:rPr>
          <w:rFonts w:ascii="Arial" w:eastAsia="Times New Roman" w:hAnsi="Arial" w:cs="Arial"/>
          <w:b/>
          <w:bCs/>
          <w:sz w:val="28"/>
          <w:szCs w:val="28"/>
        </w:rPr>
      </w:pPr>
    </w:p>
    <w:p w14:paraId="506BDB7E" w14:textId="2995E782" w:rsidR="00023A89" w:rsidRPr="00364770" w:rsidRDefault="007A28D4" w:rsidP="008C569A">
      <w:pPr>
        <w:spacing w:after="0" w:line="360" w:lineRule="auto"/>
        <w:jc w:val="both"/>
        <w:rPr>
          <w:rFonts w:ascii="Arial" w:hAnsi="Arial" w:cs="Arial"/>
          <w:color w:val="000000"/>
          <w:sz w:val="28"/>
          <w:szCs w:val="28"/>
        </w:rPr>
      </w:pPr>
      <w:r w:rsidRPr="00364770">
        <w:rPr>
          <w:rFonts w:ascii="Arial" w:eastAsia="Times New Roman" w:hAnsi="Arial" w:cs="Arial"/>
          <w:b/>
          <w:bCs/>
          <w:sz w:val="28"/>
          <w:szCs w:val="28"/>
        </w:rPr>
        <w:t>S</w:t>
      </w:r>
      <w:r w:rsidR="0022706D" w:rsidRPr="00364770">
        <w:rPr>
          <w:rFonts w:ascii="Arial" w:eastAsia="Times New Roman" w:hAnsi="Arial" w:cs="Arial"/>
          <w:b/>
          <w:bCs/>
          <w:sz w:val="28"/>
          <w:szCs w:val="28"/>
        </w:rPr>
        <w:t>DG</w:t>
      </w:r>
      <w:r w:rsidRPr="00364770">
        <w:rPr>
          <w:rFonts w:ascii="Arial" w:eastAsia="Times New Roman" w:hAnsi="Arial" w:cs="Arial"/>
          <w:b/>
          <w:bCs/>
          <w:sz w:val="28"/>
          <w:szCs w:val="28"/>
        </w:rPr>
        <w:t xml:space="preserve"> 3: Good Health and Well</w:t>
      </w:r>
      <w:r w:rsidRPr="00364770">
        <w:rPr>
          <w:rFonts w:ascii="Arial" w:hAnsi="Arial" w:cs="Arial"/>
          <w:sz w:val="28"/>
          <w:szCs w:val="28"/>
        </w:rPr>
        <w:t>-</w:t>
      </w:r>
      <w:r w:rsidRPr="00364770">
        <w:rPr>
          <w:rFonts w:ascii="Arial" w:eastAsia="Times New Roman" w:hAnsi="Arial" w:cs="Arial"/>
          <w:b/>
          <w:bCs/>
          <w:sz w:val="28"/>
          <w:szCs w:val="28"/>
        </w:rPr>
        <w:t>Being</w:t>
      </w:r>
      <w:r w:rsidRPr="00364770">
        <w:rPr>
          <w:rFonts w:ascii="Arial" w:hAnsi="Arial" w:cs="Arial"/>
          <w:sz w:val="28"/>
          <w:szCs w:val="28"/>
        </w:rPr>
        <w:t xml:space="preserve">: </w:t>
      </w:r>
      <w:r w:rsidRPr="00364770">
        <w:rPr>
          <w:rFonts w:ascii="Arial" w:eastAsia="Times New Roman" w:hAnsi="Arial" w:cs="Arial"/>
          <w:b/>
          <w:bCs/>
          <w:sz w:val="28"/>
          <w:szCs w:val="28"/>
        </w:rPr>
        <w:t>Global Framework and Impact</w:t>
      </w:r>
    </w:p>
    <w:p w14:paraId="239B06CB" w14:textId="5B19684A" w:rsidR="00194511" w:rsidRDefault="00194511" w:rsidP="008C569A">
      <w:pPr>
        <w:spacing w:after="0" w:line="360" w:lineRule="auto"/>
        <w:jc w:val="both"/>
        <w:rPr>
          <w:rFonts w:ascii="Arial" w:hAnsi="Arial" w:cs="Arial"/>
          <w:sz w:val="22"/>
          <w:szCs w:val="22"/>
        </w:rPr>
      </w:pPr>
      <w:r w:rsidRPr="006E3649">
        <w:rPr>
          <w:rFonts w:ascii="Arial" w:hAnsi="Arial" w:cs="Arial"/>
          <w:sz w:val="22"/>
          <w:szCs w:val="22"/>
        </w:rPr>
        <w:t xml:space="preserve">SDG 3 commits countries to ensuring healthy lives and promoting </w:t>
      </w:r>
      <w:r w:rsidR="006E3649" w:rsidRPr="006E3649">
        <w:rPr>
          <w:rFonts w:ascii="Arial" w:hAnsi="Arial" w:cs="Arial"/>
          <w:sz w:val="22"/>
          <w:szCs w:val="22"/>
        </w:rPr>
        <w:t>well-being</w:t>
      </w:r>
      <w:r w:rsidRPr="006E3649">
        <w:rPr>
          <w:rFonts w:ascii="Arial" w:hAnsi="Arial" w:cs="Arial"/>
          <w:sz w:val="22"/>
          <w:szCs w:val="22"/>
        </w:rPr>
        <w:t xml:space="preserve"> for all at all ages (UNICEF, 2026). It comprises 13 targets, ranging from reducing maternal mortality and ending epidemics of communicable diseases to achieving universal health coverage (UHC) and strengthening health systems (World Health Organization, 2026). The World Health Organization (2022) identifies UHC as the central pathway through which SDG 3 can transform population health, as it enables access to essential services without exposing individuals to financial hardship (United Nations, 2026).</w:t>
      </w:r>
    </w:p>
    <w:p w14:paraId="31D0701B" w14:textId="77777777" w:rsidR="00912321" w:rsidRPr="006E3649" w:rsidRDefault="00912321" w:rsidP="008C569A">
      <w:pPr>
        <w:spacing w:after="0" w:line="360" w:lineRule="auto"/>
        <w:jc w:val="both"/>
        <w:rPr>
          <w:rFonts w:ascii="Arial" w:hAnsi="Arial" w:cs="Arial"/>
          <w:sz w:val="22"/>
          <w:szCs w:val="22"/>
        </w:rPr>
      </w:pPr>
    </w:p>
    <w:p w14:paraId="4581C11B" w14:textId="77777777" w:rsidR="00194511" w:rsidRDefault="00194511" w:rsidP="008C569A">
      <w:pPr>
        <w:spacing w:after="0" w:line="360" w:lineRule="auto"/>
        <w:jc w:val="both"/>
        <w:rPr>
          <w:rFonts w:ascii="Arial" w:hAnsi="Arial" w:cs="Arial"/>
          <w:sz w:val="22"/>
          <w:szCs w:val="22"/>
        </w:rPr>
      </w:pPr>
      <w:r w:rsidRPr="006E3649">
        <w:rPr>
          <w:rFonts w:ascii="Arial" w:hAnsi="Arial" w:cs="Arial"/>
          <w:sz w:val="22"/>
          <w:szCs w:val="22"/>
        </w:rPr>
        <w:t>Progress towards SDG 3 has been uneven. By 2023, 133 countries had achieved the under-five mortality target, and expanded HIV treatment has led to a 50% reduction in AIDS-related deaths since 2010 (United Nations Department of Economic and Social Affairs (UN DESA), 2025). However, overall momentum remains insufficient. The 2025 SDG Report indicates that the target of reducing premature mortality from non-communicable diseases (NCDs) by one-third by 2030 is off track, with approximately 18 million deaths among people under 70 recorded in 2021 alone (UN DESA, 2025).</w:t>
      </w:r>
    </w:p>
    <w:p w14:paraId="2615377B" w14:textId="77777777" w:rsidR="00912321" w:rsidRPr="006E3649" w:rsidRDefault="00912321" w:rsidP="008C569A">
      <w:pPr>
        <w:spacing w:after="0" w:line="360" w:lineRule="auto"/>
        <w:jc w:val="both"/>
        <w:rPr>
          <w:rFonts w:ascii="Arial" w:hAnsi="Arial" w:cs="Arial"/>
          <w:sz w:val="22"/>
          <w:szCs w:val="22"/>
        </w:rPr>
      </w:pPr>
    </w:p>
    <w:p w14:paraId="5011A710" w14:textId="3E6A4F6E" w:rsidR="00194511" w:rsidRPr="006E3649" w:rsidRDefault="00194511" w:rsidP="008C569A">
      <w:pPr>
        <w:spacing w:after="0" w:line="360" w:lineRule="auto"/>
        <w:jc w:val="both"/>
        <w:rPr>
          <w:rFonts w:ascii="Arial" w:hAnsi="Arial" w:cs="Arial"/>
          <w:sz w:val="22"/>
          <w:szCs w:val="22"/>
        </w:rPr>
      </w:pPr>
      <w:r w:rsidRPr="006E3649">
        <w:rPr>
          <w:rFonts w:ascii="Arial" w:hAnsi="Arial" w:cs="Arial"/>
          <w:sz w:val="22"/>
          <w:szCs w:val="22"/>
        </w:rPr>
        <w:t xml:space="preserve">The COVID-19 pandemic further exposed and intensified systemic weaknesses: childhood immunization rates declined, tuberculosis and malaria cases rose above pre-pandemic levels, and health inequalities widened, particularly in low- and middle-income countries (United Nations, 2026; UN DESA, 2025). These patterns point to a structurally imbalanced global health system, where gains in high-income settings can obscure stagnation or regression </w:t>
      </w:r>
      <w:r w:rsidR="006E3649" w:rsidRPr="006E3649">
        <w:rPr>
          <w:rFonts w:ascii="Arial" w:hAnsi="Arial" w:cs="Arial"/>
          <w:sz w:val="22"/>
          <w:szCs w:val="22"/>
        </w:rPr>
        <w:t>in other settings</w:t>
      </w:r>
      <w:r w:rsidRPr="006E3649">
        <w:rPr>
          <w:rFonts w:ascii="Arial" w:hAnsi="Arial" w:cs="Arial"/>
          <w:sz w:val="22"/>
          <w:szCs w:val="22"/>
        </w:rPr>
        <w:t>.</w:t>
      </w:r>
    </w:p>
    <w:p w14:paraId="31A6E08C" w14:textId="2254B967" w:rsidR="00194511" w:rsidRPr="006E3649" w:rsidRDefault="00194511" w:rsidP="008C569A">
      <w:pPr>
        <w:spacing w:after="0" w:line="360" w:lineRule="auto"/>
        <w:jc w:val="both"/>
        <w:rPr>
          <w:rFonts w:ascii="Arial" w:hAnsi="Arial" w:cs="Arial"/>
          <w:sz w:val="22"/>
          <w:szCs w:val="22"/>
        </w:rPr>
      </w:pPr>
      <w:r w:rsidRPr="006E3649">
        <w:rPr>
          <w:rFonts w:ascii="Arial" w:hAnsi="Arial" w:cs="Arial"/>
          <w:sz w:val="22"/>
          <w:szCs w:val="22"/>
        </w:rPr>
        <w:t xml:space="preserve">From a theoretical perspective, the Dahlgren and Whitehead model offers a useful lens for interpreting these trends (Dahlgren and Whitehead, 2021). It conceptualizes health as being </w:t>
      </w:r>
      <w:r w:rsidRPr="006E3649">
        <w:rPr>
          <w:rFonts w:ascii="Arial" w:hAnsi="Arial" w:cs="Arial"/>
          <w:sz w:val="22"/>
          <w:szCs w:val="22"/>
        </w:rPr>
        <w:lastRenderedPageBreak/>
        <w:t xml:space="preserve">shaped by multiple, interacting layers, from individual </w:t>
      </w:r>
      <w:proofErr w:type="spellStart"/>
      <w:r w:rsidRPr="006E3649">
        <w:rPr>
          <w:rFonts w:ascii="Arial" w:hAnsi="Arial" w:cs="Arial"/>
          <w:sz w:val="22"/>
          <w:szCs w:val="22"/>
        </w:rPr>
        <w:t>behaviors</w:t>
      </w:r>
      <w:proofErr w:type="spellEnd"/>
      <w:r w:rsidRPr="006E3649">
        <w:rPr>
          <w:rFonts w:ascii="Arial" w:hAnsi="Arial" w:cs="Arial"/>
          <w:sz w:val="22"/>
          <w:szCs w:val="22"/>
        </w:rPr>
        <w:t xml:space="preserve"> and social networks to living conditions and broader socio-economic, cultural, and environmental contexts (Dahlgren and Whitehead, 2021). While SDG 3 largely targets the inner layers, such as healthcare access and disease control, it pays comparatively less attention to the structural determinants that underpin health inequalities (United Nations Development Programme, 2026; UNICEF, 2026).</w:t>
      </w:r>
    </w:p>
    <w:p w14:paraId="0E035393" w14:textId="06321310" w:rsidR="00194511" w:rsidRPr="006E3649" w:rsidRDefault="00194511" w:rsidP="008C569A">
      <w:pPr>
        <w:spacing w:after="0" w:line="360" w:lineRule="auto"/>
        <w:jc w:val="both"/>
        <w:rPr>
          <w:rFonts w:ascii="Arial" w:hAnsi="Arial" w:cs="Arial"/>
          <w:sz w:val="22"/>
          <w:szCs w:val="22"/>
        </w:rPr>
      </w:pPr>
      <w:r w:rsidRPr="006E3649">
        <w:rPr>
          <w:rFonts w:ascii="Arial" w:hAnsi="Arial" w:cs="Arial"/>
          <w:sz w:val="22"/>
          <w:szCs w:val="22"/>
        </w:rPr>
        <w:t xml:space="preserve">Building on this, Marmot (2005) </w:t>
      </w:r>
      <w:r w:rsidR="006E3649">
        <w:rPr>
          <w:rFonts w:ascii="Arial" w:hAnsi="Arial" w:cs="Arial"/>
          <w:sz w:val="22"/>
          <w:szCs w:val="22"/>
        </w:rPr>
        <w:t>emphasises the existence of a social gradient in health, in which</w:t>
      </w:r>
      <w:r w:rsidRPr="006E3649">
        <w:rPr>
          <w:rFonts w:ascii="Arial" w:hAnsi="Arial" w:cs="Arial"/>
          <w:sz w:val="22"/>
          <w:szCs w:val="22"/>
        </w:rPr>
        <w:t xml:space="preserve"> health outcomes progressively decline at each step down the socioeconomic hierarchy, not only among the poorest groups. This gradient, observable across both high- and low-income countries, underscores the need for policies that address income distribution, power structures, and broader social conditions, extending beyond the predominantly biomedical focus of SDG 3 interventions.</w:t>
      </w:r>
    </w:p>
    <w:p w14:paraId="416F8525" w14:textId="77777777" w:rsidR="00C93F22" w:rsidRPr="006E3649" w:rsidRDefault="00C93F22" w:rsidP="008C569A">
      <w:pPr>
        <w:spacing w:after="0" w:line="360" w:lineRule="auto"/>
        <w:jc w:val="both"/>
        <w:rPr>
          <w:rFonts w:ascii="Arial" w:hAnsi="Arial" w:cs="Arial"/>
          <w:b/>
          <w:bCs/>
          <w:sz w:val="22"/>
          <w:szCs w:val="22"/>
        </w:rPr>
      </w:pPr>
    </w:p>
    <w:p w14:paraId="7F6C1091" w14:textId="2F5CCA19" w:rsidR="00BB25E9" w:rsidRPr="00364770" w:rsidRDefault="00BB25E9" w:rsidP="008C569A">
      <w:pPr>
        <w:spacing w:after="0" w:line="360" w:lineRule="auto"/>
        <w:jc w:val="both"/>
        <w:rPr>
          <w:rFonts w:ascii="Arial" w:hAnsi="Arial" w:cs="Arial"/>
          <w:b/>
          <w:bCs/>
          <w:sz w:val="28"/>
          <w:szCs w:val="28"/>
        </w:rPr>
      </w:pPr>
      <w:r w:rsidRPr="00364770">
        <w:rPr>
          <w:rFonts w:ascii="Arial" w:hAnsi="Arial" w:cs="Arial"/>
          <w:b/>
          <w:bCs/>
          <w:sz w:val="28"/>
          <w:szCs w:val="28"/>
        </w:rPr>
        <w:t xml:space="preserve">SDG 10: Reduced Inequalities: Linkages to Health and </w:t>
      </w:r>
      <w:r w:rsidR="006E3649" w:rsidRPr="00364770">
        <w:rPr>
          <w:rFonts w:ascii="Arial" w:hAnsi="Arial" w:cs="Arial"/>
          <w:b/>
          <w:bCs/>
          <w:sz w:val="28"/>
          <w:szCs w:val="28"/>
        </w:rPr>
        <w:t>Well-being</w:t>
      </w:r>
    </w:p>
    <w:p w14:paraId="4744AB83" w14:textId="77777777" w:rsidR="00194511"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SDG 10 aims to reduce inequalities in income, opportunity, and outcomes both within and between countries (MDG Monitor, 2016). Its connection to health is immediate and well established: disparities in income, education, housing, and social protection are strong predictors of unequal health outcomes (MDG Monitor, 2016). The World Health Organization (2023) highlights a striking 31-year gap in life expectancy between countries with the lowest and highest life expectancies, illustrating how deeply structural inequalities, targeted by SDG 10, shape population health (World Health Organization, 2023).</w:t>
      </w:r>
    </w:p>
    <w:p w14:paraId="3B5DFC33" w14:textId="77777777" w:rsidR="006E3649" w:rsidRPr="006E3649" w:rsidRDefault="006E3649" w:rsidP="008C569A">
      <w:pPr>
        <w:tabs>
          <w:tab w:val="left" w:pos="7080"/>
        </w:tabs>
        <w:spacing w:after="0" w:line="360" w:lineRule="auto"/>
        <w:jc w:val="both"/>
        <w:rPr>
          <w:rFonts w:ascii="Arial" w:hAnsi="Arial" w:cs="Arial"/>
          <w:sz w:val="22"/>
          <w:szCs w:val="22"/>
        </w:rPr>
      </w:pPr>
    </w:p>
    <w:p w14:paraId="307499AE" w14:textId="40FC64F5" w:rsidR="00194511"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The COVID-19 pandemic further exposed the health implications of inequality. The World Bank (2022) reported that the pandemic widened global income disparities, disproportionately affecting low-income populations and countries (World Bank, 202</w:t>
      </w:r>
      <w:r w:rsidR="003D078E" w:rsidRPr="006E3649">
        <w:rPr>
          <w:rFonts w:ascii="Arial" w:hAnsi="Arial" w:cs="Arial"/>
          <w:sz w:val="22"/>
          <w:szCs w:val="22"/>
        </w:rPr>
        <w:t>2</w:t>
      </w:r>
      <w:r w:rsidR="00912321">
        <w:rPr>
          <w:rFonts w:ascii="Arial" w:hAnsi="Arial" w:cs="Arial"/>
          <w:sz w:val="22"/>
          <w:szCs w:val="22"/>
        </w:rPr>
        <w:t>)</w:t>
      </w:r>
      <w:r w:rsidRPr="006E3649">
        <w:rPr>
          <w:rFonts w:ascii="Arial" w:hAnsi="Arial" w:cs="Arial"/>
          <w:sz w:val="22"/>
          <w:szCs w:val="22"/>
        </w:rPr>
        <w:t xml:space="preserve">. In England, Marmot et al. (2020) observed a decline in life expectancy among the most deprived 10% of the population, while those in the least deprived areas continued to experience gains (Marmot et al., 2020). This widening gap reflects a “health divide” driven not </w:t>
      </w:r>
      <w:r w:rsidR="006E3649">
        <w:rPr>
          <w:rFonts w:ascii="Arial" w:hAnsi="Arial" w:cs="Arial"/>
          <w:sz w:val="22"/>
          <w:szCs w:val="22"/>
        </w:rPr>
        <w:t xml:space="preserve">only by biomedical factors, but also </w:t>
      </w:r>
      <w:r w:rsidRPr="006E3649">
        <w:rPr>
          <w:rFonts w:ascii="Arial" w:hAnsi="Arial" w:cs="Arial"/>
          <w:sz w:val="22"/>
          <w:szCs w:val="22"/>
        </w:rPr>
        <w:t>by underlying social and political conditions (Marmot et al., 2020).</w:t>
      </w:r>
    </w:p>
    <w:p w14:paraId="7ABD2F0C" w14:textId="77777777" w:rsidR="006E3649" w:rsidRPr="006E3649" w:rsidRDefault="006E3649" w:rsidP="008C569A">
      <w:pPr>
        <w:tabs>
          <w:tab w:val="left" w:pos="7080"/>
        </w:tabs>
        <w:spacing w:after="0" w:line="360" w:lineRule="auto"/>
        <w:jc w:val="both"/>
        <w:rPr>
          <w:rFonts w:ascii="Arial" w:hAnsi="Arial" w:cs="Arial"/>
          <w:sz w:val="22"/>
          <w:szCs w:val="22"/>
        </w:rPr>
      </w:pPr>
    </w:p>
    <w:p w14:paraId="043880EE" w14:textId="117862A6" w:rsidR="00194511" w:rsidRPr="006E3649"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Evidence from the NHS Race and Health Observatory (2022) reveals persistent ethnic inequalities in access to and experiences of healthcare services, including mental health and maternity care (NHS Race and Health Observatory, 202</w:t>
      </w:r>
      <w:r w:rsidR="003D078E" w:rsidRPr="006E3649">
        <w:rPr>
          <w:rFonts w:ascii="Arial" w:hAnsi="Arial" w:cs="Arial"/>
          <w:sz w:val="22"/>
          <w:szCs w:val="22"/>
        </w:rPr>
        <w:t>2</w:t>
      </w:r>
      <w:r w:rsidRPr="006E3649">
        <w:rPr>
          <w:rFonts w:ascii="Arial" w:hAnsi="Arial" w:cs="Arial"/>
          <w:sz w:val="22"/>
          <w:szCs w:val="22"/>
        </w:rPr>
        <w:t>). Similarly, data from the Office for National Statistics (202</w:t>
      </w:r>
      <w:r w:rsidR="006C28AC" w:rsidRPr="006E3649">
        <w:rPr>
          <w:rFonts w:ascii="Arial" w:hAnsi="Arial" w:cs="Arial"/>
          <w:sz w:val="22"/>
          <w:szCs w:val="22"/>
        </w:rPr>
        <w:t>6</w:t>
      </w:r>
      <w:r w:rsidRPr="006E3649">
        <w:rPr>
          <w:rFonts w:ascii="Arial" w:hAnsi="Arial" w:cs="Arial"/>
          <w:sz w:val="22"/>
          <w:szCs w:val="22"/>
        </w:rPr>
        <w:t xml:space="preserve">) show that infant mortality among Black infants is more than twice that of White infants in England and Wales (Fu et al., 2022) (Akanni et al., 2024). In addition, individuals living in the most deprived areas are over twice as likely to die prematurely from cardiovascular disease compared to those in the least deprived areas (Fu et al., 2022). These </w:t>
      </w:r>
      <w:r w:rsidRPr="006E3649">
        <w:rPr>
          <w:rFonts w:ascii="Arial" w:hAnsi="Arial" w:cs="Arial"/>
          <w:sz w:val="22"/>
          <w:szCs w:val="22"/>
        </w:rPr>
        <w:lastRenderedPageBreak/>
        <w:t>patterns underscore that SDG 10 is not peripheral to SDG 3; rather, it is foundational. Without addressing inequality, efforts toward universal health coverage risk benefiting those already advantaged, leaving the most vulnerable underserved.</w:t>
      </w:r>
    </w:p>
    <w:p w14:paraId="13505285" w14:textId="5C2AD794" w:rsidR="00194511" w:rsidRPr="006E3649"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The relationship between SDG 3 and SDG 10 is therefore mutually reinforcing. While SDG 3, through universal health coverage, has the potential to reduce health disparities, its effectiveness depends on equitable design and implementation. At the same time, SDG 10 interventions, such as social protection systems, progressive taxation, and anti-discrimination policies, establish the broader conditions necessary for good health. This interdependence is captured in Michael Marmot’s concept of the social gradient, which emphasizes that improving overall population health without addressing underlying inequalities will continue to leave the most marginalized groups behind (NHS Race and Health Observatory, 202</w:t>
      </w:r>
      <w:r w:rsidR="003D6ABA" w:rsidRPr="006E3649">
        <w:rPr>
          <w:rFonts w:ascii="Arial" w:hAnsi="Arial" w:cs="Arial"/>
          <w:sz w:val="22"/>
          <w:szCs w:val="22"/>
        </w:rPr>
        <w:t>2</w:t>
      </w:r>
      <w:r w:rsidRPr="006E3649">
        <w:rPr>
          <w:rFonts w:ascii="Arial" w:hAnsi="Arial" w:cs="Arial"/>
          <w:sz w:val="22"/>
          <w:szCs w:val="22"/>
        </w:rPr>
        <w:t>).</w:t>
      </w:r>
    </w:p>
    <w:p w14:paraId="19E13839" w14:textId="77777777" w:rsidR="00C93F22" w:rsidRPr="006E3649" w:rsidRDefault="00C93F22" w:rsidP="008C569A">
      <w:pPr>
        <w:tabs>
          <w:tab w:val="left" w:pos="7080"/>
        </w:tabs>
        <w:spacing w:after="0" w:line="360" w:lineRule="auto"/>
        <w:jc w:val="both"/>
        <w:rPr>
          <w:rFonts w:ascii="Arial" w:hAnsi="Arial" w:cs="Arial"/>
          <w:b/>
          <w:bCs/>
          <w:sz w:val="22"/>
          <w:szCs w:val="22"/>
        </w:rPr>
      </w:pPr>
    </w:p>
    <w:p w14:paraId="57270B0F" w14:textId="6E53A4AB" w:rsidR="00023A89" w:rsidRPr="00364770" w:rsidRDefault="001B1725" w:rsidP="008C569A">
      <w:pPr>
        <w:tabs>
          <w:tab w:val="left" w:pos="7080"/>
        </w:tabs>
        <w:spacing w:after="0" w:line="360" w:lineRule="auto"/>
        <w:jc w:val="both"/>
        <w:rPr>
          <w:rFonts w:ascii="Arial" w:hAnsi="Arial" w:cs="Arial"/>
          <w:b/>
          <w:bCs/>
          <w:sz w:val="28"/>
          <w:szCs w:val="28"/>
        </w:rPr>
      </w:pPr>
      <w:r w:rsidRPr="00364770">
        <w:rPr>
          <w:rFonts w:ascii="Arial" w:hAnsi="Arial" w:cs="Arial"/>
          <w:b/>
          <w:bCs/>
          <w:sz w:val="28"/>
          <w:szCs w:val="28"/>
        </w:rPr>
        <w:t>National Initiatives in England: Effectiveness and Limitations</w:t>
      </w:r>
    </w:p>
    <w:p w14:paraId="12983D52" w14:textId="1993AEF8" w:rsidR="001B1725" w:rsidRPr="00364770" w:rsidRDefault="001B1725" w:rsidP="008C569A">
      <w:pPr>
        <w:tabs>
          <w:tab w:val="left" w:pos="7080"/>
        </w:tabs>
        <w:spacing w:after="0" w:line="360" w:lineRule="auto"/>
        <w:jc w:val="both"/>
        <w:rPr>
          <w:rFonts w:ascii="Arial" w:hAnsi="Arial" w:cs="Arial"/>
          <w:b/>
          <w:bCs/>
          <w:sz w:val="28"/>
          <w:szCs w:val="28"/>
        </w:rPr>
      </w:pPr>
      <w:r w:rsidRPr="00364770">
        <w:rPr>
          <w:rFonts w:ascii="Arial" w:hAnsi="Arial" w:cs="Arial"/>
          <w:b/>
          <w:bCs/>
          <w:sz w:val="28"/>
          <w:szCs w:val="28"/>
        </w:rPr>
        <w:t>NHS Long Term Plan (2019)</w:t>
      </w:r>
    </w:p>
    <w:p w14:paraId="3515522B" w14:textId="2F76BC32" w:rsidR="006E3649"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The National Health Service</w:t>
      </w:r>
      <w:r w:rsidR="006E3649">
        <w:rPr>
          <w:rFonts w:ascii="Arial" w:hAnsi="Arial" w:cs="Arial"/>
          <w:sz w:val="22"/>
          <w:szCs w:val="22"/>
        </w:rPr>
        <w:t xml:space="preserve"> in England</w:t>
      </w:r>
      <w:r w:rsidRPr="006E3649">
        <w:rPr>
          <w:rFonts w:ascii="Arial" w:hAnsi="Arial" w:cs="Arial"/>
          <w:sz w:val="22"/>
          <w:szCs w:val="22"/>
        </w:rPr>
        <w:t xml:space="preserve"> serves as England’s primary domestic strategy for advancing Sustainable Development Goal 3 (NHS, 2019). It outlines commitments to expand mental health services, enhance early cancer diagnosis, promote prevention through population-wide interventions, and reduce health inequalities (NHS, 2019). Central to the plan is a more systematic approach to tackling disparities in care and directing additional resources to areas experiencing the greatest health inequalities (NHS, 2019). Building on this, the Core20PLUS5 framework, introduced by NHS England in 2021 and reaffirmed in subsequent operational guidance, </w:t>
      </w:r>
      <w:r w:rsidR="006E3649">
        <w:rPr>
          <w:rFonts w:ascii="Arial" w:hAnsi="Arial" w:cs="Arial"/>
          <w:sz w:val="22"/>
          <w:szCs w:val="22"/>
        </w:rPr>
        <w:t xml:space="preserve">serves as the NHS’s main mechanism for operationalising Sustainable Development Goals 3 and </w:t>
      </w:r>
      <w:r w:rsidRPr="006E3649">
        <w:rPr>
          <w:rFonts w:ascii="Arial" w:hAnsi="Arial" w:cs="Arial"/>
          <w:sz w:val="22"/>
          <w:szCs w:val="22"/>
        </w:rPr>
        <w:t xml:space="preserve">10 at the system level (NHS, 2019; NHS England, 2022). </w:t>
      </w:r>
    </w:p>
    <w:p w14:paraId="68B7F3F5" w14:textId="77777777" w:rsidR="006E3649" w:rsidRDefault="006E3649" w:rsidP="008C569A">
      <w:pPr>
        <w:tabs>
          <w:tab w:val="left" w:pos="7080"/>
        </w:tabs>
        <w:spacing w:after="0" w:line="360" w:lineRule="auto"/>
        <w:jc w:val="both"/>
        <w:rPr>
          <w:rFonts w:ascii="Arial" w:hAnsi="Arial" w:cs="Arial"/>
          <w:sz w:val="22"/>
          <w:szCs w:val="22"/>
        </w:rPr>
      </w:pPr>
    </w:p>
    <w:p w14:paraId="0FF27B3E" w14:textId="12ACB5D1" w:rsidR="00194511"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The framework identifies the most deprived 20% of the population (“Core20”) using the Index of Multiple Deprivation, extends focus to marginalized groups (“PLUS”), and prioritizes five clinical areas for accelerated improvement: maternity, severe mental illness, chronic respiratory disease, early cancer diagnosis, and hypertension case-finding (NHS England, 2022). Complementing this, the Health and Care Act 2022 established 42 Integrated Care Systems (ICSs) to coordinate services across health, local government, and community actors, reflecting the multi-sectoral governance emphasis of Sustainable Development Goal 10 (</w:t>
      </w:r>
      <w:proofErr w:type="spellStart"/>
      <w:r w:rsidR="00843319">
        <w:rPr>
          <w:rFonts w:ascii="Arial" w:hAnsi="Arial" w:cs="Arial"/>
          <w:sz w:val="22"/>
          <w:szCs w:val="22"/>
        </w:rPr>
        <w:t>Alderwick</w:t>
      </w:r>
      <w:proofErr w:type="spellEnd"/>
      <w:r w:rsidRPr="006E3649">
        <w:rPr>
          <w:rFonts w:ascii="Arial" w:hAnsi="Arial" w:cs="Arial"/>
          <w:sz w:val="22"/>
          <w:szCs w:val="22"/>
        </w:rPr>
        <w:t>, Hutchings and Mays, 2024).</w:t>
      </w:r>
    </w:p>
    <w:p w14:paraId="517096A4" w14:textId="77777777" w:rsidR="006E3649" w:rsidRPr="006E3649" w:rsidRDefault="006E3649" w:rsidP="008C569A">
      <w:pPr>
        <w:tabs>
          <w:tab w:val="left" w:pos="7080"/>
        </w:tabs>
        <w:spacing w:after="0" w:line="360" w:lineRule="auto"/>
        <w:jc w:val="both"/>
        <w:rPr>
          <w:rFonts w:ascii="Arial" w:hAnsi="Arial" w:cs="Arial"/>
          <w:sz w:val="22"/>
          <w:szCs w:val="22"/>
        </w:rPr>
      </w:pPr>
    </w:p>
    <w:p w14:paraId="04D5CBD7" w14:textId="136B80AB" w:rsidR="00194511"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 xml:space="preserve">Despite these structured approaches, important limitations persist. Evidence suggests that while the Core20PLUS5 framework provides conceptual clarity, implementation remains uneven, particularly regarding action on the wider determinants of health. A 2023 analysis of </w:t>
      </w:r>
      <w:r w:rsidRPr="006E3649">
        <w:rPr>
          <w:rFonts w:ascii="Arial" w:hAnsi="Arial" w:cs="Arial"/>
          <w:sz w:val="22"/>
          <w:szCs w:val="22"/>
        </w:rPr>
        <w:lastRenderedPageBreak/>
        <w:t>ICS plans found limited engagement with areas such as housing, education, green spaces, and active transport, highlighting an enduring bias toward biomedical interventions rather than broader social determinants (Elliott et al., 2025). This aligns with critiques</w:t>
      </w:r>
      <w:r w:rsidR="0071451D" w:rsidRPr="006E3649">
        <w:rPr>
          <w:rFonts w:ascii="Arial" w:hAnsi="Arial" w:cs="Arial"/>
          <w:sz w:val="22"/>
          <w:szCs w:val="22"/>
        </w:rPr>
        <w:t xml:space="preserve"> </w:t>
      </w:r>
      <w:r w:rsidRPr="006E3649">
        <w:rPr>
          <w:rFonts w:ascii="Arial" w:hAnsi="Arial" w:cs="Arial"/>
          <w:sz w:val="22"/>
          <w:szCs w:val="22"/>
        </w:rPr>
        <w:t>that the NHS Long Term Plan remains primarily a healthcare strategy rather than a comprehensive population health framework, lacking sufficient mechanisms to address structural inequalities (Elliott et al., 2025). Furthermore, reductions in public health funding have constrained local authorities, the actors best positioned to address these wider determinants (NHS Support Federation, 2025).</w:t>
      </w:r>
    </w:p>
    <w:p w14:paraId="018E27F5" w14:textId="77777777" w:rsidR="006E3649" w:rsidRPr="006E3649" w:rsidRDefault="006E3649" w:rsidP="008C569A">
      <w:pPr>
        <w:tabs>
          <w:tab w:val="left" w:pos="7080"/>
        </w:tabs>
        <w:spacing w:after="0" w:line="360" w:lineRule="auto"/>
        <w:jc w:val="both"/>
        <w:rPr>
          <w:rFonts w:ascii="Arial" w:hAnsi="Arial" w:cs="Arial"/>
          <w:sz w:val="22"/>
          <w:szCs w:val="22"/>
        </w:rPr>
      </w:pPr>
    </w:p>
    <w:p w14:paraId="3CCFCAC7" w14:textId="77777777" w:rsidR="00194511"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Longitudinal evidence reinforces these concerns. Marmot et al. (2020), in their review, found that health inequalities in England had widened, national gains in life expectancy had stalled, and life expectancy among women in the most deprived areas had declined (Marmot et al., 2020). They concluded that England had effectively “lost a decade” in advancing health equity, attributing this to prolonged austerity measures that undermined the social conditions necessary for good health (Marmot et al., 2020).</w:t>
      </w:r>
    </w:p>
    <w:p w14:paraId="18640845" w14:textId="77777777" w:rsidR="006E3649" w:rsidRPr="006E3649" w:rsidRDefault="006E3649" w:rsidP="008C569A">
      <w:pPr>
        <w:tabs>
          <w:tab w:val="left" w:pos="7080"/>
        </w:tabs>
        <w:spacing w:after="0" w:line="360" w:lineRule="auto"/>
        <w:jc w:val="both"/>
        <w:rPr>
          <w:rFonts w:ascii="Arial" w:hAnsi="Arial" w:cs="Arial"/>
          <w:sz w:val="22"/>
          <w:szCs w:val="22"/>
        </w:rPr>
      </w:pPr>
    </w:p>
    <w:p w14:paraId="4F524251" w14:textId="70369F2C" w:rsidR="008C569A" w:rsidRPr="00364770" w:rsidRDefault="008C569A" w:rsidP="008C569A">
      <w:pPr>
        <w:tabs>
          <w:tab w:val="left" w:pos="7080"/>
        </w:tabs>
        <w:spacing w:after="0" w:line="360" w:lineRule="auto"/>
        <w:jc w:val="both"/>
        <w:rPr>
          <w:rFonts w:ascii="Arial" w:hAnsi="Arial" w:cs="Arial"/>
          <w:b/>
          <w:bCs/>
          <w:sz w:val="28"/>
          <w:szCs w:val="28"/>
        </w:rPr>
      </w:pPr>
      <w:r w:rsidRPr="00364770">
        <w:rPr>
          <w:rFonts w:ascii="Arial" w:hAnsi="Arial" w:cs="Arial"/>
          <w:b/>
          <w:bCs/>
          <w:sz w:val="28"/>
          <w:szCs w:val="28"/>
        </w:rPr>
        <w:t>Recommendation</w:t>
      </w:r>
    </w:p>
    <w:p w14:paraId="1ADA4A1A" w14:textId="38F9684E" w:rsidR="00194511" w:rsidRPr="006E3649" w:rsidRDefault="00194511"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 xml:space="preserve">National </w:t>
      </w:r>
      <w:r w:rsidR="006E3649">
        <w:rPr>
          <w:rFonts w:ascii="Arial" w:hAnsi="Arial" w:cs="Arial"/>
          <w:sz w:val="22"/>
          <w:szCs w:val="22"/>
        </w:rPr>
        <w:t>well-being</w:t>
      </w:r>
      <w:r w:rsidRPr="006E3649">
        <w:rPr>
          <w:rFonts w:ascii="Arial" w:hAnsi="Arial" w:cs="Arial"/>
          <w:sz w:val="22"/>
          <w:szCs w:val="22"/>
        </w:rPr>
        <w:t xml:space="preserve"> requires a shift from healthcare-focused policy to </w:t>
      </w:r>
      <w:r w:rsidR="00FD7B1F">
        <w:rPr>
          <w:rFonts w:ascii="Arial" w:hAnsi="Arial" w:cs="Arial"/>
          <w:sz w:val="22"/>
          <w:szCs w:val="22"/>
        </w:rPr>
        <w:t>one that addresses</w:t>
      </w:r>
      <w:r w:rsidRPr="006E3649">
        <w:rPr>
          <w:rFonts w:ascii="Arial" w:hAnsi="Arial" w:cs="Arial"/>
          <w:sz w:val="22"/>
          <w:szCs w:val="22"/>
        </w:rPr>
        <w:t xml:space="preserve"> social determinants. Government should restore public health funding, embed housing, education, and employment targets within Integrated Care Systems, and strengthen cross-sector collaboration. Expanding Core20PLUS5 with accountability measures will ensure equitable access and reduce persistent health inequalities across England.</w:t>
      </w:r>
    </w:p>
    <w:p w14:paraId="1BECD953" w14:textId="77777777" w:rsidR="00794E40" w:rsidRPr="006E3649" w:rsidRDefault="00794E40" w:rsidP="008C569A">
      <w:pPr>
        <w:tabs>
          <w:tab w:val="left" w:pos="7080"/>
        </w:tabs>
        <w:spacing w:after="0" w:line="360" w:lineRule="auto"/>
        <w:jc w:val="both"/>
        <w:rPr>
          <w:rFonts w:ascii="Arial" w:hAnsi="Arial" w:cs="Arial"/>
          <w:b/>
          <w:bCs/>
          <w:sz w:val="22"/>
          <w:szCs w:val="22"/>
        </w:rPr>
      </w:pPr>
    </w:p>
    <w:p w14:paraId="02B72071" w14:textId="2B84ACFB" w:rsidR="00056F5C" w:rsidRPr="006E3649" w:rsidRDefault="00056F5C" w:rsidP="008C569A">
      <w:pPr>
        <w:tabs>
          <w:tab w:val="left" w:pos="7080"/>
        </w:tabs>
        <w:spacing w:after="0" w:line="360" w:lineRule="auto"/>
        <w:jc w:val="both"/>
        <w:rPr>
          <w:rFonts w:ascii="Arial" w:hAnsi="Arial" w:cs="Arial"/>
          <w:b/>
          <w:bCs/>
          <w:sz w:val="22"/>
          <w:szCs w:val="22"/>
        </w:rPr>
      </w:pPr>
      <w:r w:rsidRPr="006E3649">
        <w:rPr>
          <w:rFonts w:ascii="Arial" w:hAnsi="Arial" w:cs="Arial"/>
          <w:b/>
          <w:bCs/>
          <w:sz w:val="22"/>
          <w:szCs w:val="22"/>
        </w:rPr>
        <w:t>Local Initiatives: Birmingham as a Case Study</w:t>
      </w:r>
    </w:p>
    <w:p w14:paraId="717AB452" w14:textId="77777777" w:rsidR="008C569A" w:rsidRDefault="008C569A"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Birmingham offers a compelling case study of how local health policy is implemented at the intersection of SDG 3 (health) and SDG 10 (reduced inequalities). As England’s second-largest city, it contains some of the country’s most deprived communities, alongside large and diverse ethnic minority populations that experience layered health disadvantages (Birmingham City Council, 2019; Birmingham City Council, 2025; Birmingham City Council, 2025). Within this context, the Birmingham and Solihull Integrated Care System, one of the 42 systems created under the 2022 Health and Care Act, has developed targeted strategies to reduce health inequalities, aligned with the Core20PLUS5 framework (Technical Team, 2025).</w:t>
      </w:r>
    </w:p>
    <w:p w14:paraId="49EA50ED" w14:textId="77777777" w:rsidR="006E3649" w:rsidRPr="006E3649" w:rsidRDefault="006E3649" w:rsidP="008C569A">
      <w:pPr>
        <w:tabs>
          <w:tab w:val="left" w:pos="7080"/>
        </w:tabs>
        <w:spacing w:after="0" w:line="360" w:lineRule="auto"/>
        <w:jc w:val="both"/>
        <w:rPr>
          <w:rFonts w:ascii="Arial" w:hAnsi="Arial" w:cs="Arial"/>
          <w:sz w:val="22"/>
          <w:szCs w:val="22"/>
        </w:rPr>
      </w:pPr>
    </w:p>
    <w:p w14:paraId="10A774DC" w14:textId="77777777" w:rsidR="00912321" w:rsidRDefault="008C569A"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A prominent example is the Birmingham Asthma-Friendly Schools program</w:t>
      </w:r>
      <w:r w:rsidR="006E3649">
        <w:rPr>
          <w:rFonts w:ascii="Arial" w:hAnsi="Arial" w:cs="Arial"/>
          <w:sz w:val="22"/>
          <w:szCs w:val="22"/>
        </w:rPr>
        <w:t>,</w:t>
      </w:r>
      <w:r w:rsidRPr="006E3649">
        <w:rPr>
          <w:rFonts w:ascii="Arial" w:hAnsi="Arial" w:cs="Arial"/>
          <w:sz w:val="22"/>
          <w:szCs w:val="22"/>
        </w:rPr>
        <w:t xml:space="preserve"> which equips children with asthma with personalized care plans, raises awareness among teachers and families, and addresses environmental triggers such as air quality (Haringey Council, 2026; </w:t>
      </w:r>
      <w:r w:rsidRPr="006E3649">
        <w:rPr>
          <w:rFonts w:ascii="Arial" w:hAnsi="Arial" w:cs="Arial"/>
          <w:sz w:val="22"/>
          <w:szCs w:val="22"/>
        </w:rPr>
        <w:lastRenderedPageBreak/>
        <w:t>Harris et al., 2019). This initiative connects health protection goals under SDG 3 with broader social and environmental determinants, reflecting the equity focus of SDG 10. As such, it illustrates a shift from purely clinical care to preventive, community-based approaches, consistent with Dahlgren and Whitehead’s model of the social determinants of health (Dahlgren and Whitehead, 2021).</w:t>
      </w:r>
    </w:p>
    <w:p w14:paraId="02E6F5A6" w14:textId="77777777" w:rsidR="00912321" w:rsidRDefault="00912321" w:rsidP="008C569A">
      <w:pPr>
        <w:tabs>
          <w:tab w:val="left" w:pos="7080"/>
        </w:tabs>
        <w:spacing w:after="0" w:line="360" w:lineRule="auto"/>
        <w:jc w:val="both"/>
        <w:rPr>
          <w:rFonts w:ascii="Arial" w:hAnsi="Arial" w:cs="Arial"/>
          <w:sz w:val="22"/>
          <w:szCs w:val="22"/>
        </w:rPr>
      </w:pPr>
    </w:p>
    <w:p w14:paraId="1F8EA444" w14:textId="77777777" w:rsidR="00912321" w:rsidRDefault="008C569A"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 xml:space="preserve"> It is central to national efforts to tackle ethnic health inequalities. Evidence from the NHS Race and Health Observatory (2022), co-produced with the University of Birmingham, highlights that Black, Asian and minority ethnic communities face disproportionate challenges in areas such as mental health, maternity services, and digital access to care (Kapadia et al., 2022). In response, the local Integrated Care System has embedded the NHS England Equality Delivery System (2022) and introduced community connectors within the Core20PLUS5 framework, ensuring that lived experiences inform service design (NHS England, 2022).</w:t>
      </w:r>
    </w:p>
    <w:p w14:paraId="6E03B913" w14:textId="77777777" w:rsidR="00364770" w:rsidRDefault="00364770" w:rsidP="008C569A">
      <w:pPr>
        <w:tabs>
          <w:tab w:val="left" w:pos="7080"/>
        </w:tabs>
        <w:spacing w:after="0" w:line="360" w:lineRule="auto"/>
        <w:jc w:val="both"/>
        <w:rPr>
          <w:rFonts w:ascii="Arial" w:hAnsi="Arial" w:cs="Arial"/>
          <w:sz w:val="22"/>
          <w:szCs w:val="22"/>
        </w:rPr>
      </w:pPr>
    </w:p>
    <w:p w14:paraId="2D9F5B9D" w14:textId="1FDFF096" w:rsidR="008C569A" w:rsidRDefault="008C569A"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 xml:space="preserve">Despite these innovations, local efforts are constrained by structural challenges. In 2023, Birmingham City Council effectively declared insolvency, leading to substantial reductions in funding for public health and social care (Birmingham City Council, 2025). This reflects a wider national trend </w:t>
      </w:r>
      <w:r w:rsidR="00912321">
        <w:rPr>
          <w:rFonts w:ascii="Arial" w:hAnsi="Arial" w:cs="Arial"/>
          <w:sz w:val="22"/>
          <w:szCs w:val="22"/>
        </w:rPr>
        <w:t xml:space="preserve">in which local authorities, key to addressing the </w:t>
      </w:r>
      <w:r w:rsidRPr="006E3649">
        <w:rPr>
          <w:rFonts w:ascii="Arial" w:hAnsi="Arial" w:cs="Arial"/>
          <w:sz w:val="22"/>
          <w:szCs w:val="22"/>
        </w:rPr>
        <w:t>social determinants of health, are under-resourced relative to need. The Marmot Review highlights the importance of place, showing that health outcomes in deprived areas of the North and Midlands are often worse than in similarly deprived areas of London (Marmot et al., 2020). This underscores that local financial and institutional capacity is not merely contextual but fundamentally shapes the prospects for achieving health equity.</w:t>
      </w:r>
    </w:p>
    <w:p w14:paraId="7581DEE7" w14:textId="77777777" w:rsidR="00912321" w:rsidRPr="006E3649" w:rsidRDefault="00912321" w:rsidP="008C569A">
      <w:pPr>
        <w:tabs>
          <w:tab w:val="left" w:pos="7080"/>
        </w:tabs>
        <w:spacing w:after="0" w:line="360" w:lineRule="auto"/>
        <w:jc w:val="both"/>
        <w:rPr>
          <w:rFonts w:ascii="Arial" w:hAnsi="Arial" w:cs="Arial"/>
          <w:sz w:val="22"/>
          <w:szCs w:val="22"/>
        </w:rPr>
      </w:pPr>
    </w:p>
    <w:p w14:paraId="4CD87BC5" w14:textId="02039EA6" w:rsidR="008C569A" w:rsidRPr="00364770" w:rsidRDefault="008C569A" w:rsidP="008C569A">
      <w:pPr>
        <w:tabs>
          <w:tab w:val="left" w:pos="7080"/>
        </w:tabs>
        <w:spacing w:after="0" w:line="360" w:lineRule="auto"/>
        <w:jc w:val="both"/>
        <w:rPr>
          <w:rFonts w:ascii="Arial" w:hAnsi="Arial" w:cs="Arial"/>
          <w:b/>
          <w:bCs/>
          <w:sz w:val="28"/>
          <w:szCs w:val="28"/>
        </w:rPr>
      </w:pPr>
      <w:r w:rsidRPr="00364770">
        <w:rPr>
          <w:rFonts w:ascii="Arial" w:hAnsi="Arial" w:cs="Arial"/>
          <w:b/>
          <w:bCs/>
          <w:sz w:val="28"/>
          <w:szCs w:val="28"/>
        </w:rPr>
        <w:t>Recommendation</w:t>
      </w:r>
    </w:p>
    <w:p w14:paraId="5BF28C19" w14:textId="5B52885A" w:rsidR="008C569A" w:rsidRDefault="008C569A"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 xml:space="preserve">Improving </w:t>
      </w:r>
      <w:r w:rsidR="00912321">
        <w:rPr>
          <w:rFonts w:ascii="Arial" w:hAnsi="Arial" w:cs="Arial"/>
          <w:sz w:val="22"/>
          <w:szCs w:val="22"/>
        </w:rPr>
        <w:t>well-being</w:t>
      </w:r>
      <w:r w:rsidRPr="006E3649">
        <w:rPr>
          <w:rFonts w:ascii="Arial" w:hAnsi="Arial" w:cs="Arial"/>
          <w:sz w:val="22"/>
          <w:szCs w:val="22"/>
        </w:rPr>
        <w:t xml:space="preserve"> in Birmingham requires strengthening community-led prevention. Increased funding for local public health programs, expansion of community connectors, and stronger partnerships across housing, environmental, and health sectors are essential. Enhanced data monitoring at </w:t>
      </w:r>
      <w:r w:rsidR="00912321">
        <w:rPr>
          <w:rFonts w:ascii="Arial" w:hAnsi="Arial" w:cs="Arial"/>
          <w:sz w:val="22"/>
          <w:szCs w:val="22"/>
        </w:rPr>
        <w:t>the neighbourhood</w:t>
      </w:r>
      <w:r w:rsidRPr="006E3649">
        <w:rPr>
          <w:rFonts w:ascii="Arial" w:hAnsi="Arial" w:cs="Arial"/>
          <w:sz w:val="22"/>
          <w:szCs w:val="22"/>
        </w:rPr>
        <w:t xml:space="preserve"> level will enable targeted interventions and reduce health inequalities in the most deprived communities.</w:t>
      </w:r>
    </w:p>
    <w:p w14:paraId="5230B0B3" w14:textId="77777777" w:rsidR="00912321" w:rsidRDefault="00912321" w:rsidP="008C569A">
      <w:pPr>
        <w:tabs>
          <w:tab w:val="left" w:pos="7080"/>
        </w:tabs>
        <w:spacing w:after="0" w:line="360" w:lineRule="auto"/>
        <w:jc w:val="both"/>
        <w:rPr>
          <w:rFonts w:ascii="Arial" w:hAnsi="Arial" w:cs="Arial"/>
          <w:sz w:val="22"/>
          <w:szCs w:val="22"/>
        </w:rPr>
      </w:pPr>
    </w:p>
    <w:p w14:paraId="25B1692D" w14:textId="77777777" w:rsidR="00912321" w:rsidRDefault="00912321" w:rsidP="008C569A">
      <w:pPr>
        <w:tabs>
          <w:tab w:val="left" w:pos="7080"/>
        </w:tabs>
        <w:spacing w:after="0" w:line="360" w:lineRule="auto"/>
        <w:jc w:val="both"/>
        <w:rPr>
          <w:rFonts w:ascii="Arial" w:hAnsi="Arial" w:cs="Arial"/>
          <w:sz w:val="22"/>
          <w:szCs w:val="22"/>
        </w:rPr>
      </w:pPr>
    </w:p>
    <w:p w14:paraId="41BE2131" w14:textId="77777777" w:rsidR="00912321" w:rsidRDefault="00912321" w:rsidP="008C569A">
      <w:pPr>
        <w:tabs>
          <w:tab w:val="left" w:pos="7080"/>
        </w:tabs>
        <w:spacing w:after="0" w:line="360" w:lineRule="auto"/>
        <w:jc w:val="both"/>
        <w:rPr>
          <w:rFonts w:ascii="Arial" w:hAnsi="Arial" w:cs="Arial"/>
          <w:sz w:val="22"/>
          <w:szCs w:val="22"/>
        </w:rPr>
      </w:pPr>
    </w:p>
    <w:p w14:paraId="09835C7E" w14:textId="77777777" w:rsidR="00912321" w:rsidRDefault="00912321" w:rsidP="008C569A">
      <w:pPr>
        <w:tabs>
          <w:tab w:val="left" w:pos="7080"/>
        </w:tabs>
        <w:spacing w:after="0" w:line="360" w:lineRule="auto"/>
        <w:jc w:val="both"/>
        <w:rPr>
          <w:rFonts w:ascii="Arial" w:hAnsi="Arial" w:cs="Arial"/>
          <w:sz w:val="22"/>
          <w:szCs w:val="22"/>
        </w:rPr>
      </w:pPr>
    </w:p>
    <w:p w14:paraId="3A69C0B1" w14:textId="77777777" w:rsidR="00912321" w:rsidRDefault="00912321" w:rsidP="008C569A">
      <w:pPr>
        <w:tabs>
          <w:tab w:val="left" w:pos="7080"/>
        </w:tabs>
        <w:spacing w:after="0" w:line="360" w:lineRule="auto"/>
        <w:jc w:val="both"/>
        <w:rPr>
          <w:rFonts w:ascii="Arial" w:hAnsi="Arial" w:cs="Arial"/>
          <w:sz w:val="22"/>
          <w:szCs w:val="22"/>
        </w:rPr>
      </w:pPr>
    </w:p>
    <w:p w14:paraId="01B267E2" w14:textId="77777777" w:rsidR="00912321" w:rsidRDefault="00912321" w:rsidP="008C569A">
      <w:pPr>
        <w:tabs>
          <w:tab w:val="left" w:pos="7080"/>
        </w:tabs>
        <w:spacing w:after="0" w:line="360" w:lineRule="auto"/>
        <w:jc w:val="both"/>
        <w:rPr>
          <w:rFonts w:ascii="Arial" w:hAnsi="Arial" w:cs="Arial"/>
          <w:sz w:val="22"/>
          <w:szCs w:val="22"/>
        </w:rPr>
      </w:pPr>
    </w:p>
    <w:p w14:paraId="469803A0" w14:textId="77777777" w:rsidR="00912321" w:rsidRDefault="00912321" w:rsidP="008C569A">
      <w:pPr>
        <w:tabs>
          <w:tab w:val="left" w:pos="7080"/>
        </w:tabs>
        <w:spacing w:after="0" w:line="360" w:lineRule="auto"/>
        <w:jc w:val="both"/>
        <w:rPr>
          <w:rFonts w:ascii="Arial" w:hAnsi="Arial" w:cs="Arial"/>
          <w:sz w:val="22"/>
          <w:szCs w:val="22"/>
        </w:rPr>
      </w:pPr>
    </w:p>
    <w:p w14:paraId="5198ACDF" w14:textId="77777777" w:rsidR="00912321" w:rsidRDefault="00912321" w:rsidP="008C569A">
      <w:pPr>
        <w:tabs>
          <w:tab w:val="left" w:pos="7080"/>
        </w:tabs>
        <w:spacing w:after="0" w:line="360" w:lineRule="auto"/>
        <w:jc w:val="both"/>
        <w:rPr>
          <w:rFonts w:ascii="Arial" w:hAnsi="Arial" w:cs="Arial"/>
          <w:sz w:val="22"/>
          <w:szCs w:val="22"/>
        </w:rPr>
      </w:pPr>
    </w:p>
    <w:p w14:paraId="73E6C8C3" w14:textId="77777777" w:rsidR="00912321" w:rsidRDefault="00912321" w:rsidP="008C569A">
      <w:pPr>
        <w:tabs>
          <w:tab w:val="left" w:pos="7080"/>
        </w:tabs>
        <w:spacing w:after="0" w:line="360" w:lineRule="auto"/>
        <w:jc w:val="both"/>
        <w:rPr>
          <w:rFonts w:ascii="Arial" w:hAnsi="Arial" w:cs="Arial"/>
          <w:sz w:val="22"/>
          <w:szCs w:val="22"/>
        </w:rPr>
      </w:pPr>
    </w:p>
    <w:p w14:paraId="56F87D47" w14:textId="77777777" w:rsidR="00912321" w:rsidRPr="006E3649" w:rsidRDefault="00912321" w:rsidP="008C569A">
      <w:pPr>
        <w:tabs>
          <w:tab w:val="left" w:pos="7080"/>
        </w:tabs>
        <w:spacing w:after="0" w:line="360" w:lineRule="auto"/>
        <w:jc w:val="both"/>
        <w:rPr>
          <w:rFonts w:ascii="Arial" w:hAnsi="Arial" w:cs="Arial"/>
          <w:sz w:val="22"/>
          <w:szCs w:val="22"/>
        </w:rPr>
      </w:pPr>
    </w:p>
    <w:p w14:paraId="616CEA16" w14:textId="77777777" w:rsidR="00794E40" w:rsidRDefault="00794E40" w:rsidP="008C569A">
      <w:pPr>
        <w:tabs>
          <w:tab w:val="left" w:pos="7080"/>
        </w:tabs>
        <w:spacing w:after="0" w:line="360" w:lineRule="auto"/>
        <w:jc w:val="both"/>
        <w:rPr>
          <w:rFonts w:ascii="Arial" w:hAnsi="Arial" w:cs="Arial"/>
          <w:b/>
          <w:bCs/>
          <w:sz w:val="22"/>
          <w:szCs w:val="22"/>
        </w:rPr>
      </w:pPr>
    </w:p>
    <w:p w14:paraId="39683ED2" w14:textId="77777777" w:rsidR="00912321" w:rsidRDefault="00912321" w:rsidP="008C569A">
      <w:pPr>
        <w:tabs>
          <w:tab w:val="left" w:pos="7080"/>
        </w:tabs>
        <w:spacing w:after="0" w:line="360" w:lineRule="auto"/>
        <w:jc w:val="both"/>
        <w:rPr>
          <w:rFonts w:ascii="Arial" w:hAnsi="Arial" w:cs="Arial"/>
          <w:b/>
          <w:bCs/>
          <w:sz w:val="22"/>
          <w:szCs w:val="22"/>
        </w:rPr>
      </w:pPr>
    </w:p>
    <w:p w14:paraId="56C894C0" w14:textId="77777777" w:rsidR="00912321" w:rsidRDefault="00912321" w:rsidP="008C569A">
      <w:pPr>
        <w:tabs>
          <w:tab w:val="left" w:pos="7080"/>
        </w:tabs>
        <w:spacing w:after="0" w:line="360" w:lineRule="auto"/>
        <w:jc w:val="both"/>
        <w:rPr>
          <w:rFonts w:ascii="Arial" w:hAnsi="Arial" w:cs="Arial"/>
          <w:b/>
          <w:bCs/>
          <w:sz w:val="22"/>
          <w:szCs w:val="22"/>
        </w:rPr>
      </w:pPr>
    </w:p>
    <w:p w14:paraId="77550747" w14:textId="77777777" w:rsidR="00912321" w:rsidRDefault="00912321" w:rsidP="008C569A">
      <w:pPr>
        <w:tabs>
          <w:tab w:val="left" w:pos="7080"/>
        </w:tabs>
        <w:spacing w:after="0" w:line="360" w:lineRule="auto"/>
        <w:jc w:val="both"/>
        <w:rPr>
          <w:rFonts w:ascii="Arial" w:hAnsi="Arial" w:cs="Arial"/>
          <w:b/>
          <w:bCs/>
          <w:sz w:val="22"/>
          <w:szCs w:val="22"/>
        </w:rPr>
      </w:pPr>
    </w:p>
    <w:p w14:paraId="223FA88C" w14:textId="77777777" w:rsidR="00912321" w:rsidRDefault="00912321" w:rsidP="008C569A">
      <w:pPr>
        <w:tabs>
          <w:tab w:val="left" w:pos="7080"/>
        </w:tabs>
        <w:spacing w:after="0" w:line="360" w:lineRule="auto"/>
        <w:jc w:val="both"/>
        <w:rPr>
          <w:rFonts w:ascii="Arial" w:hAnsi="Arial" w:cs="Arial"/>
          <w:b/>
          <w:bCs/>
          <w:sz w:val="22"/>
          <w:szCs w:val="22"/>
        </w:rPr>
      </w:pPr>
    </w:p>
    <w:p w14:paraId="3243A65F" w14:textId="77777777" w:rsidR="00912321" w:rsidRPr="00FD7B1F" w:rsidRDefault="00912321" w:rsidP="008C569A">
      <w:pPr>
        <w:tabs>
          <w:tab w:val="left" w:pos="7080"/>
        </w:tabs>
        <w:spacing w:after="0" w:line="360" w:lineRule="auto"/>
        <w:jc w:val="both"/>
        <w:rPr>
          <w:rFonts w:ascii="Arial" w:hAnsi="Arial" w:cs="Arial"/>
          <w:b/>
          <w:bCs/>
          <w:sz w:val="28"/>
          <w:szCs w:val="28"/>
        </w:rPr>
      </w:pPr>
    </w:p>
    <w:p w14:paraId="520F6353" w14:textId="685A0B35" w:rsidR="007A28D4" w:rsidRPr="00FD7B1F" w:rsidRDefault="007A28D4" w:rsidP="008C569A">
      <w:pPr>
        <w:tabs>
          <w:tab w:val="left" w:pos="7080"/>
        </w:tabs>
        <w:spacing w:after="0" w:line="360" w:lineRule="auto"/>
        <w:jc w:val="both"/>
        <w:rPr>
          <w:rFonts w:ascii="Arial" w:hAnsi="Arial" w:cs="Arial"/>
          <w:b/>
          <w:bCs/>
          <w:sz w:val="28"/>
          <w:szCs w:val="28"/>
        </w:rPr>
      </w:pPr>
      <w:r w:rsidRPr="00FD7B1F">
        <w:rPr>
          <w:rFonts w:ascii="Arial" w:hAnsi="Arial" w:cs="Arial"/>
          <w:b/>
          <w:bCs/>
          <w:sz w:val="28"/>
          <w:szCs w:val="28"/>
        </w:rPr>
        <w:t>Conclusion</w:t>
      </w:r>
    </w:p>
    <w:p w14:paraId="2F13D81F" w14:textId="77777777" w:rsidR="00FD7B1F" w:rsidRPr="006E3649" w:rsidRDefault="00FD7B1F" w:rsidP="008C569A">
      <w:pPr>
        <w:tabs>
          <w:tab w:val="left" w:pos="7080"/>
        </w:tabs>
        <w:spacing w:after="0" w:line="360" w:lineRule="auto"/>
        <w:jc w:val="both"/>
        <w:rPr>
          <w:rFonts w:ascii="Arial" w:hAnsi="Arial" w:cs="Arial"/>
          <w:b/>
          <w:bCs/>
          <w:sz w:val="22"/>
          <w:szCs w:val="22"/>
        </w:rPr>
      </w:pPr>
    </w:p>
    <w:p w14:paraId="31E2D6BE" w14:textId="77777777" w:rsidR="00C87129" w:rsidRDefault="00C87129" w:rsidP="008C569A">
      <w:pPr>
        <w:tabs>
          <w:tab w:val="left" w:pos="7080"/>
        </w:tabs>
        <w:spacing w:after="0" w:line="360" w:lineRule="auto"/>
        <w:jc w:val="both"/>
        <w:rPr>
          <w:rFonts w:ascii="Arial" w:hAnsi="Arial" w:cs="Arial"/>
          <w:sz w:val="22"/>
          <w:szCs w:val="22"/>
        </w:rPr>
      </w:pPr>
      <w:r w:rsidRPr="006E3649">
        <w:rPr>
          <w:rFonts w:ascii="Arial" w:hAnsi="Arial" w:cs="Arial"/>
          <w:sz w:val="22"/>
          <w:szCs w:val="22"/>
        </w:rPr>
        <w:t>This report shows that SDG 3 and SDG 10 are interconnected pillars of sustainable development. The Dahlgren and Whitehead model and Marmot’s social gradient theory highlight structural drivers of health inequality, including poverty, discrimination, and underinvestment in public services. In England, policies such as the NHS Long Term Plan and Core20PLUS5 show progress, but their impact is limited by reduced public health funding, a biomedical focus, and weak cross-sector coordination. Local efforts in Birmingham demonstrate innovation alongside persistent barriers to equity. Reducing health inequalities requires improved healthcare and broader social and political action as the 2030 SDG deadline approaches.</w:t>
      </w:r>
    </w:p>
    <w:p w14:paraId="711FD531" w14:textId="77777777" w:rsidR="00912321" w:rsidRDefault="00912321" w:rsidP="008C569A">
      <w:pPr>
        <w:tabs>
          <w:tab w:val="left" w:pos="7080"/>
        </w:tabs>
        <w:spacing w:after="0" w:line="360" w:lineRule="auto"/>
        <w:jc w:val="both"/>
        <w:rPr>
          <w:rFonts w:ascii="Arial" w:hAnsi="Arial" w:cs="Arial"/>
          <w:sz w:val="22"/>
          <w:szCs w:val="22"/>
        </w:rPr>
      </w:pPr>
    </w:p>
    <w:p w14:paraId="316A4803" w14:textId="77777777" w:rsidR="00912321" w:rsidRDefault="00912321" w:rsidP="008C569A">
      <w:pPr>
        <w:tabs>
          <w:tab w:val="left" w:pos="7080"/>
        </w:tabs>
        <w:spacing w:after="0" w:line="360" w:lineRule="auto"/>
        <w:jc w:val="both"/>
        <w:rPr>
          <w:rFonts w:ascii="Arial" w:hAnsi="Arial" w:cs="Arial"/>
          <w:sz w:val="22"/>
          <w:szCs w:val="22"/>
        </w:rPr>
      </w:pPr>
    </w:p>
    <w:p w14:paraId="611EC034" w14:textId="77777777" w:rsidR="00912321" w:rsidRDefault="00912321" w:rsidP="008C569A">
      <w:pPr>
        <w:tabs>
          <w:tab w:val="left" w:pos="7080"/>
        </w:tabs>
        <w:spacing w:after="0" w:line="360" w:lineRule="auto"/>
        <w:jc w:val="both"/>
        <w:rPr>
          <w:rFonts w:ascii="Arial" w:hAnsi="Arial" w:cs="Arial"/>
          <w:sz w:val="22"/>
          <w:szCs w:val="22"/>
        </w:rPr>
      </w:pPr>
    </w:p>
    <w:p w14:paraId="3A82C1F7" w14:textId="77777777" w:rsidR="00912321" w:rsidRDefault="00912321" w:rsidP="008C569A">
      <w:pPr>
        <w:tabs>
          <w:tab w:val="left" w:pos="7080"/>
        </w:tabs>
        <w:spacing w:after="0" w:line="360" w:lineRule="auto"/>
        <w:jc w:val="both"/>
        <w:rPr>
          <w:rFonts w:ascii="Arial" w:hAnsi="Arial" w:cs="Arial"/>
          <w:sz w:val="22"/>
          <w:szCs w:val="22"/>
        </w:rPr>
      </w:pPr>
    </w:p>
    <w:p w14:paraId="57BF2C8B" w14:textId="77777777" w:rsidR="00912321" w:rsidRDefault="00912321" w:rsidP="008C569A">
      <w:pPr>
        <w:tabs>
          <w:tab w:val="left" w:pos="7080"/>
        </w:tabs>
        <w:spacing w:after="0" w:line="360" w:lineRule="auto"/>
        <w:jc w:val="both"/>
        <w:rPr>
          <w:rFonts w:ascii="Arial" w:hAnsi="Arial" w:cs="Arial"/>
          <w:sz w:val="22"/>
          <w:szCs w:val="22"/>
        </w:rPr>
      </w:pPr>
    </w:p>
    <w:p w14:paraId="532CB200" w14:textId="77777777" w:rsidR="00912321" w:rsidRDefault="00912321" w:rsidP="008C569A">
      <w:pPr>
        <w:tabs>
          <w:tab w:val="left" w:pos="7080"/>
        </w:tabs>
        <w:spacing w:after="0" w:line="360" w:lineRule="auto"/>
        <w:jc w:val="both"/>
        <w:rPr>
          <w:rFonts w:ascii="Arial" w:hAnsi="Arial" w:cs="Arial"/>
          <w:sz w:val="22"/>
          <w:szCs w:val="22"/>
        </w:rPr>
      </w:pPr>
    </w:p>
    <w:p w14:paraId="7205A6FB" w14:textId="77777777" w:rsidR="00912321" w:rsidRDefault="00912321" w:rsidP="008C569A">
      <w:pPr>
        <w:tabs>
          <w:tab w:val="left" w:pos="7080"/>
        </w:tabs>
        <w:spacing w:after="0" w:line="360" w:lineRule="auto"/>
        <w:jc w:val="both"/>
        <w:rPr>
          <w:rFonts w:ascii="Arial" w:hAnsi="Arial" w:cs="Arial"/>
          <w:sz w:val="22"/>
          <w:szCs w:val="22"/>
        </w:rPr>
      </w:pPr>
    </w:p>
    <w:p w14:paraId="0CA47CE3" w14:textId="77777777" w:rsidR="00912321" w:rsidRDefault="00912321" w:rsidP="008C569A">
      <w:pPr>
        <w:tabs>
          <w:tab w:val="left" w:pos="7080"/>
        </w:tabs>
        <w:spacing w:after="0" w:line="360" w:lineRule="auto"/>
        <w:jc w:val="both"/>
        <w:rPr>
          <w:rFonts w:ascii="Arial" w:hAnsi="Arial" w:cs="Arial"/>
          <w:sz w:val="22"/>
          <w:szCs w:val="22"/>
        </w:rPr>
      </w:pPr>
    </w:p>
    <w:p w14:paraId="4B0D65D6" w14:textId="77777777" w:rsidR="00912321" w:rsidRDefault="00912321" w:rsidP="008C569A">
      <w:pPr>
        <w:tabs>
          <w:tab w:val="left" w:pos="7080"/>
        </w:tabs>
        <w:spacing w:after="0" w:line="360" w:lineRule="auto"/>
        <w:jc w:val="both"/>
        <w:rPr>
          <w:rFonts w:ascii="Arial" w:hAnsi="Arial" w:cs="Arial"/>
          <w:sz w:val="22"/>
          <w:szCs w:val="22"/>
        </w:rPr>
      </w:pPr>
    </w:p>
    <w:p w14:paraId="4F8047EA" w14:textId="77777777" w:rsidR="00912321" w:rsidRDefault="00912321" w:rsidP="008C569A">
      <w:pPr>
        <w:tabs>
          <w:tab w:val="left" w:pos="7080"/>
        </w:tabs>
        <w:spacing w:after="0" w:line="360" w:lineRule="auto"/>
        <w:jc w:val="both"/>
        <w:rPr>
          <w:rFonts w:ascii="Arial" w:hAnsi="Arial" w:cs="Arial"/>
          <w:sz w:val="22"/>
          <w:szCs w:val="22"/>
        </w:rPr>
      </w:pPr>
    </w:p>
    <w:p w14:paraId="33821FD7" w14:textId="77777777" w:rsidR="00912321" w:rsidRDefault="00912321" w:rsidP="008C569A">
      <w:pPr>
        <w:tabs>
          <w:tab w:val="left" w:pos="7080"/>
        </w:tabs>
        <w:spacing w:after="0" w:line="360" w:lineRule="auto"/>
        <w:jc w:val="both"/>
        <w:rPr>
          <w:rFonts w:ascii="Arial" w:hAnsi="Arial" w:cs="Arial"/>
          <w:sz w:val="22"/>
          <w:szCs w:val="22"/>
        </w:rPr>
      </w:pPr>
    </w:p>
    <w:p w14:paraId="4A49A5F2" w14:textId="77777777" w:rsidR="00912321" w:rsidRDefault="00912321" w:rsidP="008C569A">
      <w:pPr>
        <w:tabs>
          <w:tab w:val="left" w:pos="7080"/>
        </w:tabs>
        <w:spacing w:after="0" w:line="360" w:lineRule="auto"/>
        <w:jc w:val="both"/>
        <w:rPr>
          <w:rFonts w:ascii="Arial" w:hAnsi="Arial" w:cs="Arial"/>
          <w:sz w:val="22"/>
          <w:szCs w:val="22"/>
        </w:rPr>
      </w:pPr>
    </w:p>
    <w:p w14:paraId="12FE7EC8" w14:textId="77777777" w:rsidR="00912321" w:rsidRDefault="00912321" w:rsidP="008C569A">
      <w:pPr>
        <w:tabs>
          <w:tab w:val="left" w:pos="7080"/>
        </w:tabs>
        <w:spacing w:after="0" w:line="360" w:lineRule="auto"/>
        <w:jc w:val="both"/>
        <w:rPr>
          <w:rFonts w:ascii="Arial" w:hAnsi="Arial" w:cs="Arial"/>
          <w:sz w:val="22"/>
          <w:szCs w:val="22"/>
        </w:rPr>
      </w:pPr>
    </w:p>
    <w:p w14:paraId="1EA0AC23" w14:textId="77777777" w:rsidR="00912321" w:rsidRDefault="00912321" w:rsidP="008C569A">
      <w:pPr>
        <w:tabs>
          <w:tab w:val="left" w:pos="7080"/>
        </w:tabs>
        <w:spacing w:after="0" w:line="360" w:lineRule="auto"/>
        <w:jc w:val="both"/>
        <w:rPr>
          <w:rFonts w:ascii="Arial" w:hAnsi="Arial" w:cs="Arial"/>
          <w:sz w:val="22"/>
          <w:szCs w:val="22"/>
        </w:rPr>
      </w:pPr>
    </w:p>
    <w:p w14:paraId="1C2922A3" w14:textId="77777777" w:rsidR="00912321" w:rsidRDefault="00912321" w:rsidP="008C569A">
      <w:pPr>
        <w:tabs>
          <w:tab w:val="left" w:pos="7080"/>
        </w:tabs>
        <w:spacing w:after="0" w:line="360" w:lineRule="auto"/>
        <w:jc w:val="both"/>
        <w:rPr>
          <w:rFonts w:ascii="Arial" w:hAnsi="Arial" w:cs="Arial"/>
          <w:sz w:val="22"/>
          <w:szCs w:val="22"/>
        </w:rPr>
      </w:pPr>
    </w:p>
    <w:p w14:paraId="13CC0839" w14:textId="77777777" w:rsidR="00912321" w:rsidRDefault="00912321" w:rsidP="008C569A">
      <w:pPr>
        <w:tabs>
          <w:tab w:val="left" w:pos="7080"/>
        </w:tabs>
        <w:spacing w:after="0" w:line="360" w:lineRule="auto"/>
        <w:jc w:val="both"/>
        <w:rPr>
          <w:rFonts w:ascii="Arial" w:hAnsi="Arial" w:cs="Arial"/>
          <w:sz w:val="22"/>
          <w:szCs w:val="22"/>
        </w:rPr>
      </w:pPr>
    </w:p>
    <w:p w14:paraId="422A52EF" w14:textId="77777777" w:rsidR="00912321" w:rsidRDefault="00912321" w:rsidP="008C569A">
      <w:pPr>
        <w:tabs>
          <w:tab w:val="left" w:pos="7080"/>
        </w:tabs>
        <w:spacing w:after="0" w:line="360" w:lineRule="auto"/>
        <w:jc w:val="both"/>
        <w:rPr>
          <w:rFonts w:ascii="Arial" w:hAnsi="Arial" w:cs="Arial"/>
          <w:sz w:val="22"/>
          <w:szCs w:val="22"/>
        </w:rPr>
      </w:pPr>
    </w:p>
    <w:p w14:paraId="140E185B" w14:textId="77777777" w:rsidR="00912321" w:rsidRDefault="00912321" w:rsidP="008C569A">
      <w:pPr>
        <w:tabs>
          <w:tab w:val="left" w:pos="7080"/>
        </w:tabs>
        <w:spacing w:after="0" w:line="360" w:lineRule="auto"/>
        <w:jc w:val="both"/>
        <w:rPr>
          <w:rFonts w:ascii="Arial" w:hAnsi="Arial" w:cs="Arial"/>
          <w:sz w:val="22"/>
          <w:szCs w:val="22"/>
        </w:rPr>
      </w:pPr>
    </w:p>
    <w:p w14:paraId="6D8F94CC" w14:textId="77777777" w:rsidR="00912321" w:rsidRDefault="00912321" w:rsidP="008C569A">
      <w:pPr>
        <w:tabs>
          <w:tab w:val="left" w:pos="7080"/>
        </w:tabs>
        <w:spacing w:after="0" w:line="360" w:lineRule="auto"/>
        <w:jc w:val="both"/>
        <w:rPr>
          <w:rFonts w:ascii="Arial" w:hAnsi="Arial" w:cs="Arial"/>
          <w:sz w:val="22"/>
          <w:szCs w:val="22"/>
        </w:rPr>
      </w:pPr>
    </w:p>
    <w:p w14:paraId="62C9161E" w14:textId="77777777" w:rsidR="00912321" w:rsidRDefault="00912321" w:rsidP="008C569A">
      <w:pPr>
        <w:tabs>
          <w:tab w:val="left" w:pos="7080"/>
        </w:tabs>
        <w:spacing w:after="0" w:line="360" w:lineRule="auto"/>
        <w:jc w:val="both"/>
        <w:rPr>
          <w:rFonts w:ascii="Arial" w:hAnsi="Arial" w:cs="Arial"/>
          <w:sz w:val="22"/>
          <w:szCs w:val="22"/>
        </w:rPr>
      </w:pPr>
    </w:p>
    <w:p w14:paraId="77D94673" w14:textId="77777777" w:rsidR="00912321" w:rsidRDefault="00912321" w:rsidP="008C569A">
      <w:pPr>
        <w:tabs>
          <w:tab w:val="left" w:pos="7080"/>
        </w:tabs>
        <w:spacing w:after="0" w:line="360" w:lineRule="auto"/>
        <w:jc w:val="both"/>
        <w:rPr>
          <w:rFonts w:ascii="Arial" w:hAnsi="Arial" w:cs="Arial"/>
          <w:sz w:val="22"/>
          <w:szCs w:val="22"/>
        </w:rPr>
      </w:pPr>
    </w:p>
    <w:p w14:paraId="2FA8A32C" w14:textId="77777777" w:rsidR="00912321" w:rsidRDefault="00912321" w:rsidP="008C569A">
      <w:pPr>
        <w:tabs>
          <w:tab w:val="left" w:pos="7080"/>
        </w:tabs>
        <w:spacing w:after="0" w:line="360" w:lineRule="auto"/>
        <w:jc w:val="both"/>
        <w:rPr>
          <w:rFonts w:ascii="Arial" w:hAnsi="Arial" w:cs="Arial"/>
          <w:sz w:val="22"/>
          <w:szCs w:val="22"/>
        </w:rPr>
      </w:pPr>
    </w:p>
    <w:p w14:paraId="5D820FA8" w14:textId="77777777" w:rsidR="00912321" w:rsidRDefault="00912321" w:rsidP="008C569A">
      <w:pPr>
        <w:tabs>
          <w:tab w:val="left" w:pos="7080"/>
        </w:tabs>
        <w:spacing w:after="0" w:line="360" w:lineRule="auto"/>
        <w:jc w:val="both"/>
        <w:rPr>
          <w:rFonts w:ascii="Arial" w:hAnsi="Arial" w:cs="Arial"/>
          <w:sz w:val="22"/>
          <w:szCs w:val="22"/>
        </w:rPr>
      </w:pPr>
    </w:p>
    <w:p w14:paraId="42A23D2D" w14:textId="77777777" w:rsidR="00912321" w:rsidRDefault="00912321" w:rsidP="008C569A">
      <w:pPr>
        <w:tabs>
          <w:tab w:val="left" w:pos="7080"/>
        </w:tabs>
        <w:spacing w:after="0" w:line="360" w:lineRule="auto"/>
        <w:jc w:val="both"/>
        <w:rPr>
          <w:rFonts w:ascii="Arial" w:hAnsi="Arial" w:cs="Arial"/>
          <w:sz w:val="22"/>
          <w:szCs w:val="22"/>
        </w:rPr>
      </w:pPr>
    </w:p>
    <w:p w14:paraId="52FA87C6" w14:textId="77777777" w:rsidR="00912321" w:rsidRDefault="00912321" w:rsidP="008C569A">
      <w:pPr>
        <w:tabs>
          <w:tab w:val="left" w:pos="7080"/>
        </w:tabs>
        <w:spacing w:after="0" w:line="360" w:lineRule="auto"/>
        <w:jc w:val="both"/>
        <w:rPr>
          <w:rFonts w:ascii="Arial" w:hAnsi="Arial" w:cs="Arial"/>
          <w:sz w:val="22"/>
          <w:szCs w:val="22"/>
        </w:rPr>
      </w:pPr>
    </w:p>
    <w:p w14:paraId="1FAB1C61" w14:textId="77777777" w:rsidR="00912321" w:rsidRPr="006E3649" w:rsidRDefault="00912321" w:rsidP="008C569A">
      <w:pPr>
        <w:tabs>
          <w:tab w:val="left" w:pos="7080"/>
        </w:tabs>
        <w:spacing w:after="0" w:line="360" w:lineRule="auto"/>
        <w:jc w:val="both"/>
        <w:rPr>
          <w:rFonts w:ascii="Arial" w:hAnsi="Arial" w:cs="Arial"/>
          <w:sz w:val="22"/>
          <w:szCs w:val="22"/>
        </w:rPr>
      </w:pPr>
    </w:p>
    <w:p w14:paraId="54CD9108" w14:textId="77777777" w:rsidR="00794E40" w:rsidRPr="006E3649" w:rsidRDefault="00794E40" w:rsidP="008C569A">
      <w:pPr>
        <w:tabs>
          <w:tab w:val="left" w:pos="7080"/>
        </w:tabs>
        <w:spacing w:after="0" w:line="360" w:lineRule="auto"/>
        <w:jc w:val="both"/>
        <w:rPr>
          <w:rFonts w:ascii="Arial" w:hAnsi="Arial" w:cs="Arial"/>
          <w:b/>
          <w:bCs/>
          <w:sz w:val="22"/>
          <w:szCs w:val="22"/>
        </w:rPr>
      </w:pPr>
    </w:p>
    <w:p w14:paraId="6866609A" w14:textId="2A5D352C" w:rsidR="00C87129" w:rsidRPr="00FD7B1F" w:rsidRDefault="00C6003A" w:rsidP="008C569A">
      <w:pPr>
        <w:tabs>
          <w:tab w:val="left" w:pos="7080"/>
        </w:tabs>
        <w:spacing w:after="0" w:line="360" w:lineRule="auto"/>
        <w:jc w:val="both"/>
        <w:rPr>
          <w:rFonts w:ascii="Arial" w:hAnsi="Arial" w:cs="Arial"/>
          <w:b/>
          <w:bCs/>
          <w:sz w:val="28"/>
          <w:szCs w:val="28"/>
        </w:rPr>
      </w:pPr>
      <w:r w:rsidRPr="00FD7B1F">
        <w:rPr>
          <w:rFonts w:ascii="Arial" w:hAnsi="Arial" w:cs="Arial"/>
          <w:b/>
          <w:bCs/>
          <w:sz w:val="28"/>
          <w:szCs w:val="28"/>
        </w:rPr>
        <w:t>References</w:t>
      </w:r>
    </w:p>
    <w:p w14:paraId="2E737C96" w14:textId="77777777" w:rsidR="00FD7B1F" w:rsidRPr="006E3649" w:rsidRDefault="00FD7B1F" w:rsidP="008C569A">
      <w:pPr>
        <w:tabs>
          <w:tab w:val="left" w:pos="7080"/>
        </w:tabs>
        <w:spacing w:after="0" w:line="360" w:lineRule="auto"/>
        <w:jc w:val="both"/>
        <w:rPr>
          <w:rFonts w:ascii="Arial" w:hAnsi="Arial" w:cs="Arial"/>
          <w:b/>
          <w:bCs/>
          <w:sz w:val="22"/>
          <w:szCs w:val="22"/>
        </w:rPr>
      </w:pPr>
    </w:p>
    <w:p w14:paraId="67ABA6C9" w14:textId="77777777" w:rsidR="00FD7B1F" w:rsidRPr="006E3649" w:rsidRDefault="00FD7B1F" w:rsidP="00FD7B1F">
      <w:pPr>
        <w:spacing w:after="0" w:line="360" w:lineRule="auto"/>
        <w:jc w:val="both"/>
        <w:rPr>
          <w:rFonts w:ascii="Arial" w:eastAsia="Calibri" w:hAnsi="Arial" w:cs="Arial"/>
          <w:sz w:val="22"/>
          <w:szCs w:val="22"/>
        </w:rPr>
      </w:pPr>
    </w:p>
    <w:p w14:paraId="3F2A50F9" w14:textId="77777777" w:rsidR="00FD7B1F" w:rsidRPr="00E26170" w:rsidRDefault="00FD7B1F" w:rsidP="00FD7B1F">
      <w:pPr>
        <w:tabs>
          <w:tab w:val="left" w:pos="7080"/>
        </w:tabs>
        <w:spacing w:after="120" w:line="360" w:lineRule="auto"/>
        <w:jc w:val="both"/>
        <w:rPr>
          <w:rFonts w:ascii="Arial" w:hAnsi="Arial" w:cs="Arial"/>
          <w:b/>
          <w:bCs/>
          <w:sz w:val="22"/>
          <w:szCs w:val="22"/>
        </w:rPr>
      </w:pPr>
    </w:p>
    <w:p w14:paraId="55714622"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A conceptual framework for action on the social determinants of health: debates, policy &amp; practice, case studies (2010) </w:t>
      </w:r>
      <w:r w:rsidRPr="006E3649">
        <w:rPr>
          <w:rFonts w:ascii="Arial" w:eastAsia="Calibri" w:hAnsi="Arial" w:cs="Arial"/>
          <w:i/>
          <w:iCs/>
          <w:sz w:val="22"/>
          <w:szCs w:val="22"/>
        </w:rPr>
        <w:t>World Health Organization</w:t>
      </w:r>
      <w:r w:rsidRPr="006E3649">
        <w:rPr>
          <w:rFonts w:ascii="Arial" w:eastAsia="Calibri" w:hAnsi="Arial" w:cs="Arial"/>
          <w:sz w:val="22"/>
          <w:szCs w:val="22"/>
        </w:rPr>
        <w:t xml:space="preserve">. Available at: </w:t>
      </w:r>
      <w:hyperlink r:id="rId7" w:tgtFrame="_new" w:history="1">
        <w:r w:rsidRPr="006E3649">
          <w:rPr>
            <w:rFonts w:ascii="Arial" w:eastAsia="Calibri" w:hAnsi="Arial" w:cs="Arial"/>
            <w:color w:val="0563C1"/>
            <w:sz w:val="22"/>
            <w:szCs w:val="22"/>
            <w:u w:val="single"/>
          </w:rPr>
          <w:t>https://iris.who.int/</w:t>
        </w:r>
      </w:hyperlink>
      <w:r w:rsidRPr="006E3649">
        <w:rPr>
          <w:rFonts w:ascii="Arial" w:eastAsia="Calibri" w:hAnsi="Arial" w:cs="Arial"/>
          <w:sz w:val="22"/>
          <w:szCs w:val="22"/>
        </w:rPr>
        <w:t xml:space="preserve"> (Accessed: 2 April 2026). </w:t>
      </w:r>
    </w:p>
    <w:p w14:paraId="759C72D8"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Akanni, L. </w:t>
      </w:r>
      <w:r w:rsidRPr="006E3649">
        <w:rPr>
          <w:rFonts w:ascii="Arial" w:eastAsia="Calibri" w:hAnsi="Arial" w:cs="Arial"/>
          <w:i/>
          <w:iCs/>
          <w:sz w:val="22"/>
          <w:szCs w:val="22"/>
        </w:rPr>
        <w:t>et al.</w:t>
      </w:r>
      <w:r w:rsidRPr="006E3649">
        <w:rPr>
          <w:rFonts w:ascii="Arial" w:eastAsia="Calibri" w:hAnsi="Arial" w:cs="Arial"/>
          <w:sz w:val="22"/>
          <w:szCs w:val="22"/>
        </w:rPr>
        <w:t xml:space="preserve"> (2024) </w:t>
      </w:r>
      <w:r w:rsidRPr="006E3649">
        <w:rPr>
          <w:rFonts w:ascii="Arial" w:eastAsia="Calibri" w:hAnsi="Arial" w:cs="Arial"/>
          <w:i/>
          <w:iCs/>
          <w:sz w:val="22"/>
          <w:szCs w:val="22"/>
        </w:rPr>
        <w:t>Infant mortality in England, August 2024</w:t>
      </w:r>
      <w:r w:rsidRPr="006E3649">
        <w:rPr>
          <w:rFonts w:ascii="Arial" w:eastAsia="Calibri" w:hAnsi="Arial" w:cs="Arial"/>
          <w:sz w:val="22"/>
          <w:szCs w:val="22"/>
        </w:rPr>
        <w:t xml:space="preserve">. Available at: </w:t>
      </w:r>
      <w:hyperlink r:id="rId8" w:tgtFrame="_new" w:history="1">
        <w:r w:rsidRPr="006E3649">
          <w:rPr>
            <w:rFonts w:ascii="Arial" w:eastAsia="Calibri" w:hAnsi="Arial" w:cs="Arial"/>
            <w:color w:val="0563C1"/>
            <w:sz w:val="22"/>
            <w:szCs w:val="22"/>
            <w:u w:val="single"/>
          </w:rPr>
          <w:t>www.healthequitynorth.co.uk</w:t>
        </w:r>
      </w:hyperlink>
      <w:r w:rsidRPr="006E3649">
        <w:rPr>
          <w:rFonts w:ascii="Arial" w:eastAsia="Calibri" w:hAnsi="Arial" w:cs="Arial"/>
          <w:sz w:val="22"/>
          <w:szCs w:val="22"/>
        </w:rPr>
        <w:t xml:space="preserve"> (Accessed: 3 April 2026).</w:t>
      </w:r>
    </w:p>
    <w:p w14:paraId="0DEEC946" w14:textId="77777777" w:rsidR="00FD7B1F" w:rsidRPr="006E3649" w:rsidRDefault="00FD7B1F" w:rsidP="00FD7B1F">
      <w:pPr>
        <w:spacing w:after="0" w:line="360" w:lineRule="auto"/>
        <w:jc w:val="both"/>
        <w:rPr>
          <w:rFonts w:ascii="Arial" w:eastAsia="Calibri" w:hAnsi="Arial" w:cs="Arial"/>
          <w:sz w:val="22"/>
          <w:szCs w:val="22"/>
        </w:rPr>
      </w:pPr>
      <w:proofErr w:type="spellStart"/>
      <w:r w:rsidRPr="006E3649">
        <w:rPr>
          <w:rFonts w:ascii="Arial" w:eastAsia="Calibri" w:hAnsi="Arial" w:cs="Arial"/>
          <w:sz w:val="22"/>
          <w:szCs w:val="22"/>
        </w:rPr>
        <w:t>Alderwick</w:t>
      </w:r>
      <w:proofErr w:type="spellEnd"/>
      <w:r w:rsidRPr="006E3649">
        <w:rPr>
          <w:rFonts w:ascii="Arial" w:eastAsia="Calibri" w:hAnsi="Arial" w:cs="Arial"/>
          <w:sz w:val="22"/>
          <w:szCs w:val="22"/>
        </w:rPr>
        <w:t xml:space="preserve">, H., Hutchings, A. and Mays, N. (2024) ‘Cross-sector collaboration to reduce health inequalities: a qualitative study of local collaboration between health care, social services, and other sectors under health system reforms in England’, </w:t>
      </w:r>
      <w:r w:rsidRPr="006E3649">
        <w:rPr>
          <w:rFonts w:ascii="Arial" w:eastAsia="Calibri" w:hAnsi="Arial" w:cs="Arial"/>
          <w:i/>
          <w:iCs/>
          <w:sz w:val="22"/>
          <w:szCs w:val="22"/>
        </w:rPr>
        <w:t>BMC Public Health</w:t>
      </w:r>
      <w:r w:rsidRPr="006E3649">
        <w:rPr>
          <w:rFonts w:ascii="Arial" w:eastAsia="Calibri" w:hAnsi="Arial" w:cs="Arial"/>
          <w:sz w:val="22"/>
          <w:szCs w:val="22"/>
        </w:rPr>
        <w:t>, 24(1), p. 2613. doi:10.1186/s12889-024-20089-5.</w:t>
      </w:r>
    </w:p>
    <w:p w14:paraId="1CAC3F33" w14:textId="77777777" w:rsidR="00FD7B1F" w:rsidRPr="006E3649" w:rsidRDefault="00FD7B1F" w:rsidP="00FD7B1F">
      <w:pPr>
        <w:spacing w:after="0" w:line="360" w:lineRule="auto"/>
        <w:jc w:val="both"/>
        <w:rPr>
          <w:rFonts w:ascii="Arial" w:eastAsia="Calibri" w:hAnsi="Arial" w:cs="Arial"/>
          <w:sz w:val="22"/>
          <w:szCs w:val="22"/>
        </w:rPr>
      </w:pPr>
      <w:proofErr w:type="spellStart"/>
      <w:r w:rsidRPr="006E3649">
        <w:rPr>
          <w:rFonts w:ascii="Arial" w:eastAsia="Calibri" w:hAnsi="Arial" w:cs="Arial"/>
          <w:sz w:val="22"/>
          <w:szCs w:val="22"/>
        </w:rPr>
        <w:t>Badarinza</w:t>
      </w:r>
      <w:proofErr w:type="spellEnd"/>
      <w:r w:rsidRPr="006E3649">
        <w:rPr>
          <w:rFonts w:ascii="Arial" w:eastAsia="Calibri" w:hAnsi="Arial" w:cs="Arial"/>
          <w:sz w:val="22"/>
          <w:szCs w:val="22"/>
        </w:rPr>
        <w:t xml:space="preserve">, C., Balasubramaniam, V. and </w:t>
      </w:r>
      <w:proofErr w:type="spellStart"/>
      <w:r w:rsidRPr="006E3649">
        <w:rPr>
          <w:rFonts w:ascii="Arial" w:eastAsia="Calibri" w:hAnsi="Arial" w:cs="Arial"/>
          <w:sz w:val="22"/>
          <w:szCs w:val="22"/>
        </w:rPr>
        <w:t>Ramadorai</w:t>
      </w:r>
      <w:proofErr w:type="spellEnd"/>
      <w:r w:rsidRPr="006E3649">
        <w:rPr>
          <w:rFonts w:ascii="Arial" w:eastAsia="Calibri" w:hAnsi="Arial" w:cs="Arial"/>
          <w:sz w:val="22"/>
          <w:szCs w:val="22"/>
        </w:rPr>
        <w:t xml:space="preserve">, T. (2019) ‘The household finance landscape in emerging economies’, </w:t>
      </w:r>
      <w:r w:rsidRPr="006E3649">
        <w:rPr>
          <w:rFonts w:ascii="Arial" w:eastAsia="Calibri" w:hAnsi="Arial" w:cs="Arial"/>
          <w:i/>
          <w:iCs/>
          <w:sz w:val="22"/>
          <w:szCs w:val="22"/>
        </w:rPr>
        <w:t>Annual Review of Financial Economics</w:t>
      </w:r>
      <w:r w:rsidRPr="006E3649">
        <w:rPr>
          <w:rFonts w:ascii="Arial" w:eastAsia="Calibri" w:hAnsi="Arial" w:cs="Arial"/>
          <w:sz w:val="22"/>
          <w:szCs w:val="22"/>
        </w:rPr>
        <w:t>, 11, pp. 109–129. doi:10.1146/annurev-financial-110118-123106.</w:t>
      </w:r>
    </w:p>
    <w:p w14:paraId="170146EB"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Bailey-McHale, R., Whaley, V. and Bailey-McHale, J. (2020) ‘Social determinants of health’, in Good Health and Well-Being, edited by W. Leal Filho, T. Wall, A.M. Azul, L. Brandli and P.G. Özuyar. Cham: Springer, pp. 647–657. doi:10.1007/978-3-319-95681-7_9 Birmingham City Council (2019) </w:t>
      </w:r>
      <w:r w:rsidRPr="006E3649">
        <w:rPr>
          <w:rFonts w:ascii="Arial" w:eastAsia="Calibri" w:hAnsi="Arial" w:cs="Arial"/>
          <w:i/>
          <w:iCs/>
          <w:sz w:val="22"/>
          <w:szCs w:val="22"/>
        </w:rPr>
        <w:t>Birmingham Public Health Green Paper</w:t>
      </w:r>
      <w:r w:rsidRPr="006E3649">
        <w:rPr>
          <w:rFonts w:ascii="Arial" w:eastAsia="Calibri" w:hAnsi="Arial" w:cs="Arial"/>
          <w:sz w:val="22"/>
          <w:szCs w:val="22"/>
        </w:rPr>
        <w:t>.</w:t>
      </w:r>
    </w:p>
    <w:p w14:paraId="270A7279"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Birmingham City Council (2025) </w:t>
      </w:r>
      <w:r w:rsidRPr="006E3649">
        <w:rPr>
          <w:rFonts w:ascii="Arial" w:eastAsia="Calibri" w:hAnsi="Arial" w:cs="Arial"/>
          <w:i/>
          <w:iCs/>
          <w:sz w:val="22"/>
          <w:szCs w:val="22"/>
        </w:rPr>
        <w:t xml:space="preserve">Health and </w:t>
      </w:r>
      <w:r>
        <w:rPr>
          <w:rFonts w:ascii="Arial" w:eastAsia="Calibri" w:hAnsi="Arial" w:cs="Arial"/>
          <w:i/>
          <w:iCs/>
          <w:sz w:val="22"/>
          <w:szCs w:val="22"/>
        </w:rPr>
        <w:t>Wellbeing Strategy</w:t>
      </w:r>
      <w:r w:rsidRPr="006E3649">
        <w:rPr>
          <w:rFonts w:ascii="Arial" w:eastAsia="Calibri" w:hAnsi="Arial" w:cs="Arial"/>
          <w:sz w:val="22"/>
          <w:szCs w:val="22"/>
        </w:rPr>
        <w:t xml:space="preserve">. Available at: </w:t>
      </w:r>
      <w:hyperlink r:id="rId9" w:tgtFrame="_new" w:history="1">
        <w:r w:rsidRPr="006E3649">
          <w:rPr>
            <w:rFonts w:ascii="Arial" w:eastAsia="Calibri" w:hAnsi="Arial" w:cs="Arial"/>
            <w:color w:val="0563C1"/>
            <w:sz w:val="22"/>
            <w:szCs w:val="22"/>
            <w:u w:val="single"/>
          </w:rPr>
          <w:t>https://www.birmingham.gov.uk/info/50119/health_and_wellbeing_board/1300/health_and_wellbeing_strategy</w:t>
        </w:r>
      </w:hyperlink>
      <w:r w:rsidRPr="006E3649">
        <w:rPr>
          <w:rFonts w:ascii="Arial" w:eastAsia="Calibri" w:hAnsi="Arial" w:cs="Arial"/>
          <w:sz w:val="22"/>
          <w:szCs w:val="22"/>
        </w:rPr>
        <w:t xml:space="preserve"> (Accessed: 3 April 2026).</w:t>
      </w:r>
    </w:p>
    <w:p w14:paraId="56D66246"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lastRenderedPageBreak/>
        <w:t xml:space="preserve">Dahlgren, G. and Whitehead, M. (2021) ‘The Dahlgren-Whitehead model of health determinants: 30 years on and still chasing rainbows’, </w:t>
      </w:r>
      <w:r w:rsidRPr="006E3649">
        <w:rPr>
          <w:rFonts w:ascii="Arial" w:eastAsia="Calibri" w:hAnsi="Arial" w:cs="Arial"/>
          <w:i/>
          <w:iCs/>
          <w:sz w:val="22"/>
          <w:szCs w:val="22"/>
        </w:rPr>
        <w:t>Public Health</w:t>
      </w:r>
      <w:r w:rsidRPr="006E3649">
        <w:rPr>
          <w:rFonts w:ascii="Arial" w:eastAsia="Calibri" w:hAnsi="Arial" w:cs="Arial"/>
          <w:sz w:val="22"/>
          <w:szCs w:val="22"/>
        </w:rPr>
        <w:t xml:space="preserve">, 199, pp. 20–24. </w:t>
      </w:r>
      <w:proofErr w:type="spellStart"/>
      <w:r w:rsidRPr="006E3649">
        <w:rPr>
          <w:rFonts w:ascii="Arial" w:eastAsia="Calibri" w:hAnsi="Arial" w:cs="Arial"/>
          <w:sz w:val="22"/>
          <w:szCs w:val="22"/>
        </w:rPr>
        <w:t>doi</w:t>
      </w:r>
      <w:proofErr w:type="spellEnd"/>
      <w:r w:rsidRPr="006E3649">
        <w:rPr>
          <w:rFonts w:ascii="Arial" w:eastAsia="Calibri" w:hAnsi="Arial" w:cs="Arial"/>
          <w:sz w:val="22"/>
          <w:szCs w:val="22"/>
        </w:rPr>
        <w:t>: 10.1016/j.puhe.2021.08.009.</w:t>
      </w:r>
    </w:p>
    <w:p w14:paraId="7984FADB"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Elliott, H. </w:t>
      </w:r>
      <w:r w:rsidRPr="006E3649">
        <w:rPr>
          <w:rFonts w:ascii="Arial" w:eastAsia="Calibri" w:hAnsi="Arial" w:cs="Arial"/>
          <w:i/>
          <w:iCs/>
          <w:sz w:val="22"/>
          <w:szCs w:val="22"/>
        </w:rPr>
        <w:t>et al.</w:t>
      </w:r>
      <w:r w:rsidRPr="006E3649">
        <w:rPr>
          <w:rFonts w:ascii="Arial" w:eastAsia="Calibri" w:hAnsi="Arial" w:cs="Arial"/>
          <w:sz w:val="22"/>
          <w:szCs w:val="22"/>
        </w:rPr>
        <w:t xml:space="preserve"> (2025) ‘From policy to action: a document content analysis reviewing the adoption of the healthcare inequalities programme in local health system plans in England’, </w:t>
      </w:r>
      <w:r w:rsidRPr="006E3649">
        <w:rPr>
          <w:rFonts w:ascii="Arial" w:eastAsia="Calibri" w:hAnsi="Arial" w:cs="Arial"/>
          <w:i/>
          <w:iCs/>
          <w:sz w:val="22"/>
          <w:szCs w:val="22"/>
        </w:rPr>
        <w:t>BMJ Open</w:t>
      </w:r>
      <w:r w:rsidRPr="006E3649">
        <w:rPr>
          <w:rFonts w:ascii="Arial" w:eastAsia="Calibri" w:hAnsi="Arial" w:cs="Arial"/>
          <w:sz w:val="22"/>
          <w:szCs w:val="22"/>
        </w:rPr>
        <w:t>, 15(10), p. e102163. doi:10.1136/bmjopen-2025-102163.</w:t>
      </w:r>
    </w:p>
    <w:p w14:paraId="7D98A52E"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Fu, Y. </w:t>
      </w:r>
      <w:r w:rsidRPr="006E3649">
        <w:rPr>
          <w:rFonts w:ascii="Arial" w:eastAsia="Calibri" w:hAnsi="Arial" w:cs="Arial"/>
          <w:i/>
          <w:iCs/>
          <w:sz w:val="22"/>
          <w:szCs w:val="22"/>
        </w:rPr>
        <w:t>et al.</w:t>
      </w:r>
      <w:r w:rsidRPr="006E3649">
        <w:rPr>
          <w:rFonts w:ascii="Arial" w:eastAsia="Calibri" w:hAnsi="Arial" w:cs="Arial"/>
          <w:sz w:val="22"/>
          <w:szCs w:val="22"/>
        </w:rPr>
        <w:t xml:space="preserve"> (2022) ‘Cardiovascular-related conditions and risk factors in primary care for deprived communities before and during the COVID-19 pandemic: an observational study in Northern England’, </w:t>
      </w:r>
      <w:r w:rsidRPr="006E3649">
        <w:rPr>
          <w:rFonts w:ascii="Arial" w:eastAsia="Calibri" w:hAnsi="Arial" w:cs="Arial"/>
          <w:i/>
          <w:iCs/>
          <w:sz w:val="22"/>
          <w:szCs w:val="22"/>
        </w:rPr>
        <w:t>BMJ Open</w:t>
      </w:r>
      <w:r w:rsidRPr="006E3649">
        <w:rPr>
          <w:rFonts w:ascii="Arial" w:eastAsia="Calibri" w:hAnsi="Arial" w:cs="Arial"/>
          <w:sz w:val="22"/>
          <w:szCs w:val="22"/>
        </w:rPr>
        <w:t>, 12(11), p. e066868. doi:10.1136/bmjopen-2022-066868.</w:t>
      </w:r>
    </w:p>
    <w:p w14:paraId="6405DF34"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Haringey Council (2026)</w:t>
      </w:r>
      <w:r>
        <w:rPr>
          <w:rFonts w:ascii="Arial" w:eastAsia="Calibri" w:hAnsi="Arial" w:cs="Arial"/>
          <w:sz w:val="22"/>
          <w:szCs w:val="22"/>
        </w:rPr>
        <w:t>. Asthma-Friendly</w:t>
      </w:r>
      <w:r w:rsidRPr="006E3649">
        <w:rPr>
          <w:rFonts w:ascii="Arial" w:eastAsia="Calibri" w:hAnsi="Arial" w:cs="Arial"/>
          <w:i/>
          <w:iCs/>
          <w:sz w:val="22"/>
          <w:szCs w:val="22"/>
        </w:rPr>
        <w:t xml:space="preserve"> Schools</w:t>
      </w:r>
      <w:r w:rsidRPr="006E3649">
        <w:rPr>
          <w:rFonts w:ascii="Arial" w:eastAsia="Calibri" w:hAnsi="Arial" w:cs="Arial"/>
          <w:sz w:val="22"/>
          <w:szCs w:val="22"/>
        </w:rPr>
        <w:t xml:space="preserve">. Available at: </w:t>
      </w:r>
      <w:hyperlink r:id="rId10" w:tgtFrame="_new" w:history="1">
        <w:r w:rsidRPr="006E3649">
          <w:rPr>
            <w:rFonts w:ascii="Arial" w:eastAsia="Calibri" w:hAnsi="Arial" w:cs="Arial"/>
            <w:color w:val="0563C1"/>
            <w:sz w:val="22"/>
            <w:szCs w:val="22"/>
            <w:u w:val="single"/>
          </w:rPr>
          <w:t>https://haringey.gov.uk/health-wellbeing/healthy-schools-programme/asthma-friendly-schools</w:t>
        </w:r>
      </w:hyperlink>
      <w:r w:rsidRPr="006E3649">
        <w:rPr>
          <w:rFonts w:ascii="Arial" w:eastAsia="Calibri" w:hAnsi="Arial" w:cs="Arial"/>
          <w:sz w:val="22"/>
          <w:szCs w:val="22"/>
        </w:rPr>
        <w:t xml:space="preserve"> (Accessed: 3 April 2026).</w:t>
      </w:r>
    </w:p>
    <w:p w14:paraId="5050B3B8"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Harris, K.M. </w:t>
      </w:r>
      <w:r w:rsidRPr="006E3649">
        <w:rPr>
          <w:rFonts w:ascii="Arial" w:eastAsia="Calibri" w:hAnsi="Arial" w:cs="Arial"/>
          <w:i/>
          <w:iCs/>
          <w:sz w:val="22"/>
          <w:szCs w:val="22"/>
        </w:rPr>
        <w:t>et al.</w:t>
      </w:r>
      <w:r w:rsidRPr="006E3649">
        <w:rPr>
          <w:rFonts w:ascii="Arial" w:eastAsia="Calibri" w:hAnsi="Arial" w:cs="Arial"/>
          <w:sz w:val="22"/>
          <w:szCs w:val="22"/>
        </w:rPr>
        <w:t xml:space="preserve"> (2019) ‘School-based self-management interventions for asthma in children and adolescents: a mixed methods systematic review’, </w:t>
      </w:r>
      <w:r w:rsidRPr="006E3649">
        <w:rPr>
          <w:rFonts w:ascii="Arial" w:eastAsia="Calibri" w:hAnsi="Arial" w:cs="Arial"/>
          <w:i/>
          <w:iCs/>
          <w:sz w:val="22"/>
          <w:szCs w:val="22"/>
        </w:rPr>
        <w:t>Cochrane Database of Systematic Reviews</w:t>
      </w:r>
      <w:r w:rsidRPr="006E3649">
        <w:rPr>
          <w:rFonts w:ascii="Arial" w:eastAsia="Calibri" w:hAnsi="Arial" w:cs="Arial"/>
          <w:sz w:val="22"/>
          <w:szCs w:val="22"/>
        </w:rPr>
        <w:t>, 2019(1), p. CD011651. Doi: 10.1002/14651858.CD011651.pub2.</w:t>
      </w:r>
    </w:p>
    <w:p w14:paraId="430B6DEA"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Kapadia, D. </w:t>
      </w:r>
      <w:r w:rsidRPr="006E3649">
        <w:rPr>
          <w:rFonts w:ascii="Arial" w:eastAsia="Calibri" w:hAnsi="Arial" w:cs="Arial"/>
          <w:i/>
          <w:iCs/>
          <w:sz w:val="22"/>
          <w:szCs w:val="22"/>
        </w:rPr>
        <w:t>et al.</w:t>
      </w:r>
      <w:r w:rsidRPr="006E3649">
        <w:rPr>
          <w:rFonts w:ascii="Arial" w:eastAsia="Calibri" w:hAnsi="Arial" w:cs="Arial"/>
          <w:sz w:val="22"/>
          <w:szCs w:val="22"/>
        </w:rPr>
        <w:t xml:space="preserve"> (2022) </w:t>
      </w:r>
      <w:r w:rsidRPr="006E3649">
        <w:rPr>
          <w:rFonts w:ascii="Arial" w:eastAsia="Calibri" w:hAnsi="Arial" w:cs="Arial"/>
          <w:i/>
          <w:iCs/>
          <w:sz w:val="22"/>
          <w:szCs w:val="22"/>
        </w:rPr>
        <w:t>Ethnic inequalities in healthcare: a rapid evidence review</w:t>
      </w:r>
      <w:r w:rsidRPr="006E3649">
        <w:rPr>
          <w:rFonts w:ascii="Arial" w:eastAsia="Calibri" w:hAnsi="Arial" w:cs="Arial"/>
          <w:sz w:val="22"/>
          <w:szCs w:val="22"/>
        </w:rPr>
        <w:t>.</w:t>
      </w:r>
    </w:p>
    <w:p w14:paraId="28847C35"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Marmot, M. (2005) ‘Social determinants of health inequalities’, </w:t>
      </w:r>
      <w:r w:rsidRPr="006E3649">
        <w:rPr>
          <w:rFonts w:ascii="Arial" w:eastAsia="Calibri" w:hAnsi="Arial" w:cs="Arial"/>
          <w:i/>
          <w:iCs/>
          <w:sz w:val="22"/>
          <w:szCs w:val="22"/>
        </w:rPr>
        <w:t>The Lancet</w:t>
      </w:r>
      <w:r w:rsidRPr="006E3649">
        <w:rPr>
          <w:rFonts w:ascii="Arial" w:eastAsia="Calibri" w:hAnsi="Arial" w:cs="Arial"/>
          <w:sz w:val="22"/>
          <w:szCs w:val="22"/>
        </w:rPr>
        <w:t>, 365(9464), pp. 1099–1104. doi:10.1016/S0140-6736(05)71146-6.</w:t>
      </w:r>
    </w:p>
    <w:p w14:paraId="7D9DBAB1"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Marmot, M. (2020) ‘Health equity in England: The Marmot review 10 years on’, </w:t>
      </w:r>
      <w:r w:rsidRPr="006E3649">
        <w:rPr>
          <w:rFonts w:ascii="Arial" w:eastAsia="Calibri" w:hAnsi="Arial" w:cs="Arial"/>
          <w:i/>
          <w:iCs/>
          <w:sz w:val="22"/>
          <w:szCs w:val="22"/>
        </w:rPr>
        <w:t>BMJ</w:t>
      </w:r>
      <w:r w:rsidRPr="006E3649">
        <w:rPr>
          <w:rFonts w:ascii="Arial" w:eastAsia="Calibri" w:hAnsi="Arial" w:cs="Arial"/>
          <w:sz w:val="22"/>
          <w:szCs w:val="22"/>
        </w:rPr>
        <w:t>, 368, p. m693. doi:10.1136/bmj.m693.</w:t>
      </w:r>
    </w:p>
    <w:p w14:paraId="27101668"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MDG Monitor (2016) </w:t>
      </w:r>
      <w:r w:rsidRPr="006E3649">
        <w:rPr>
          <w:rFonts w:ascii="Arial" w:eastAsia="Calibri" w:hAnsi="Arial" w:cs="Arial"/>
          <w:i/>
          <w:iCs/>
          <w:sz w:val="22"/>
          <w:szCs w:val="22"/>
        </w:rPr>
        <w:t>SDG 10: Reduce inequality within and among countries</w:t>
      </w:r>
      <w:r w:rsidRPr="006E3649">
        <w:rPr>
          <w:rFonts w:ascii="Arial" w:eastAsia="Calibri" w:hAnsi="Arial" w:cs="Arial"/>
          <w:sz w:val="22"/>
          <w:szCs w:val="22"/>
        </w:rPr>
        <w:t xml:space="preserve">. Available at: </w:t>
      </w:r>
      <w:hyperlink r:id="rId11" w:tgtFrame="_new" w:history="1">
        <w:r w:rsidRPr="006E3649">
          <w:rPr>
            <w:rFonts w:ascii="Arial" w:eastAsia="Calibri" w:hAnsi="Arial" w:cs="Arial"/>
            <w:color w:val="0563C1"/>
            <w:sz w:val="22"/>
            <w:szCs w:val="22"/>
            <w:u w:val="single"/>
          </w:rPr>
          <w:t>https://www.mdgmonitor.org/sdg10-reduce-inequality-in-people-within-and-among-countries/</w:t>
        </w:r>
      </w:hyperlink>
      <w:r w:rsidRPr="006E3649">
        <w:rPr>
          <w:rFonts w:ascii="Arial" w:eastAsia="Calibri" w:hAnsi="Arial" w:cs="Arial"/>
          <w:sz w:val="22"/>
          <w:szCs w:val="22"/>
        </w:rPr>
        <w:t xml:space="preserve"> (Accessed: 3 April 2026).</w:t>
      </w:r>
    </w:p>
    <w:p w14:paraId="2F38623C"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NHS (2019) </w:t>
      </w:r>
      <w:r w:rsidRPr="006E3649">
        <w:rPr>
          <w:rFonts w:ascii="Arial" w:eastAsia="Calibri" w:hAnsi="Arial" w:cs="Arial"/>
          <w:i/>
          <w:iCs/>
          <w:sz w:val="22"/>
          <w:szCs w:val="22"/>
        </w:rPr>
        <w:t>The NHS Long Term Plan</w:t>
      </w:r>
      <w:r w:rsidRPr="006E3649">
        <w:rPr>
          <w:rFonts w:ascii="Arial" w:eastAsia="Calibri" w:hAnsi="Arial" w:cs="Arial"/>
          <w:sz w:val="22"/>
          <w:szCs w:val="22"/>
        </w:rPr>
        <w:t xml:space="preserve">. Available at: </w:t>
      </w:r>
      <w:hyperlink r:id="rId12" w:tgtFrame="_new" w:history="1">
        <w:r w:rsidRPr="006E3649">
          <w:rPr>
            <w:rFonts w:ascii="Arial" w:eastAsia="Calibri" w:hAnsi="Arial" w:cs="Arial"/>
            <w:color w:val="0563C1"/>
            <w:sz w:val="22"/>
            <w:szCs w:val="22"/>
            <w:u w:val="single"/>
          </w:rPr>
          <w:t>www.longtermplan.nhs.uk</w:t>
        </w:r>
      </w:hyperlink>
      <w:r w:rsidRPr="006E3649">
        <w:rPr>
          <w:rFonts w:ascii="Arial" w:eastAsia="Calibri" w:hAnsi="Arial" w:cs="Arial"/>
          <w:sz w:val="22"/>
          <w:szCs w:val="22"/>
        </w:rPr>
        <w:t xml:space="preserve"> (Accessed: 3 April 2026).</w:t>
      </w:r>
    </w:p>
    <w:p w14:paraId="211D5218"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NHS England (2022) </w:t>
      </w:r>
      <w:r w:rsidRPr="006E3649">
        <w:rPr>
          <w:rFonts w:ascii="Arial" w:eastAsia="Calibri" w:hAnsi="Arial" w:cs="Arial"/>
          <w:i/>
          <w:iCs/>
          <w:sz w:val="22"/>
          <w:szCs w:val="22"/>
        </w:rPr>
        <w:t>Core20PLUS5 (adults): An approach to reducing healthcare inequalities</w:t>
      </w:r>
      <w:r w:rsidRPr="006E3649">
        <w:rPr>
          <w:rFonts w:ascii="Arial" w:eastAsia="Calibri" w:hAnsi="Arial" w:cs="Arial"/>
          <w:sz w:val="22"/>
          <w:szCs w:val="22"/>
        </w:rPr>
        <w:t xml:space="preserve">. Available at: </w:t>
      </w:r>
      <w:hyperlink r:id="rId13" w:tgtFrame="_new" w:history="1">
        <w:r w:rsidRPr="006E3649">
          <w:rPr>
            <w:rFonts w:ascii="Arial" w:eastAsia="Calibri" w:hAnsi="Arial" w:cs="Arial"/>
            <w:color w:val="0563C1"/>
            <w:sz w:val="22"/>
            <w:szCs w:val="22"/>
            <w:u w:val="single"/>
          </w:rPr>
          <w:t>https://www.england.nhs.uk/about/equality/equality-hub/national-healthcare-inequalities-improvement-programme/core20plus5/</w:t>
        </w:r>
      </w:hyperlink>
      <w:r w:rsidRPr="006E3649">
        <w:rPr>
          <w:rFonts w:ascii="Arial" w:eastAsia="Calibri" w:hAnsi="Arial" w:cs="Arial"/>
          <w:sz w:val="22"/>
          <w:szCs w:val="22"/>
        </w:rPr>
        <w:t xml:space="preserve"> (Accessed: 3 April 2026).</w:t>
      </w:r>
    </w:p>
    <w:p w14:paraId="7CE32254"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NHS Race and Health Observatory (2022)</w:t>
      </w:r>
      <w:r>
        <w:rPr>
          <w:rFonts w:ascii="Arial" w:eastAsia="Calibri" w:hAnsi="Arial" w:cs="Arial"/>
          <w:sz w:val="22"/>
          <w:szCs w:val="22"/>
        </w:rPr>
        <w:t>.</w:t>
      </w:r>
      <w:r w:rsidRPr="006E3649">
        <w:rPr>
          <w:rFonts w:ascii="Arial" w:eastAsia="Calibri" w:hAnsi="Arial" w:cs="Arial"/>
          <w:sz w:val="22"/>
          <w:szCs w:val="22"/>
        </w:rPr>
        <w:t xml:space="preserve"> </w:t>
      </w:r>
      <w:r>
        <w:rPr>
          <w:rFonts w:ascii="Arial" w:eastAsia="Calibri" w:hAnsi="Arial" w:cs="Arial"/>
          <w:i/>
          <w:iCs/>
          <w:sz w:val="22"/>
          <w:szCs w:val="22"/>
        </w:rPr>
        <w:t>A new review calls for radical action to address</w:t>
      </w:r>
      <w:r w:rsidRPr="006E3649">
        <w:rPr>
          <w:rFonts w:ascii="Arial" w:eastAsia="Calibri" w:hAnsi="Arial" w:cs="Arial"/>
          <w:i/>
          <w:iCs/>
          <w:sz w:val="22"/>
          <w:szCs w:val="22"/>
        </w:rPr>
        <w:t xml:space="preserve"> stark ethnic inequalities across healthcare</w:t>
      </w:r>
      <w:r w:rsidRPr="006E3649">
        <w:rPr>
          <w:rFonts w:ascii="Arial" w:eastAsia="Calibri" w:hAnsi="Arial" w:cs="Arial"/>
          <w:sz w:val="22"/>
          <w:szCs w:val="22"/>
        </w:rPr>
        <w:t xml:space="preserve">. Available at: </w:t>
      </w:r>
      <w:hyperlink r:id="rId14" w:tgtFrame="_new" w:history="1">
        <w:r w:rsidRPr="006E3649">
          <w:rPr>
            <w:rFonts w:ascii="Arial" w:eastAsia="Calibri" w:hAnsi="Arial" w:cs="Arial"/>
            <w:color w:val="0563C1"/>
            <w:sz w:val="22"/>
            <w:szCs w:val="22"/>
            <w:u w:val="single"/>
          </w:rPr>
          <w:t>https://nhsrho.org/news/new-review-calls-for-radical-action-on-stark-ethnic-inequalities-across-healthcare/</w:t>
        </w:r>
      </w:hyperlink>
      <w:r w:rsidRPr="006E3649">
        <w:rPr>
          <w:rFonts w:ascii="Arial" w:eastAsia="Calibri" w:hAnsi="Arial" w:cs="Arial"/>
          <w:sz w:val="22"/>
          <w:szCs w:val="22"/>
        </w:rPr>
        <w:t xml:space="preserve"> (Accessed: 3 April 2026).</w:t>
      </w:r>
    </w:p>
    <w:p w14:paraId="30A8F8E3"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NHS Support Federation (2025)</w:t>
      </w:r>
      <w:r>
        <w:rPr>
          <w:rFonts w:ascii="Arial" w:eastAsia="Calibri" w:hAnsi="Arial" w:cs="Arial"/>
          <w:sz w:val="22"/>
          <w:szCs w:val="22"/>
        </w:rPr>
        <w:t>.</w:t>
      </w:r>
      <w:r w:rsidRPr="006E3649">
        <w:rPr>
          <w:rFonts w:ascii="Arial" w:eastAsia="Calibri" w:hAnsi="Arial" w:cs="Arial"/>
          <w:sz w:val="22"/>
          <w:szCs w:val="22"/>
        </w:rPr>
        <w:t xml:space="preserve"> </w:t>
      </w:r>
      <w:r w:rsidRPr="006E3649">
        <w:rPr>
          <w:rFonts w:ascii="Arial" w:eastAsia="Calibri" w:hAnsi="Arial" w:cs="Arial"/>
          <w:i/>
          <w:iCs/>
          <w:sz w:val="22"/>
          <w:szCs w:val="22"/>
        </w:rPr>
        <w:t>Cuts to public health</w:t>
      </w:r>
      <w:r w:rsidRPr="006E3649">
        <w:rPr>
          <w:rFonts w:ascii="Arial" w:eastAsia="Calibri" w:hAnsi="Arial" w:cs="Arial"/>
          <w:sz w:val="22"/>
          <w:szCs w:val="22"/>
        </w:rPr>
        <w:t xml:space="preserve">. Available at: </w:t>
      </w:r>
      <w:hyperlink r:id="rId15" w:tgtFrame="_new" w:history="1">
        <w:r w:rsidRPr="006E3649">
          <w:rPr>
            <w:rFonts w:ascii="Arial" w:eastAsia="Calibri" w:hAnsi="Arial" w:cs="Arial"/>
            <w:color w:val="0563C1"/>
            <w:sz w:val="22"/>
            <w:szCs w:val="22"/>
            <w:u w:val="single"/>
          </w:rPr>
          <w:t>https://nhscampaign.org/issues/staff-shortages-copy-4/</w:t>
        </w:r>
      </w:hyperlink>
      <w:r w:rsidRPr="006E3649">
        <w:rPr>
          <w:rFonts w:ascii="Arial" w:eastAsia="Calibri" w:hAnsi="Arial" w:cs="Arial"/>
          <w:sz w:val="22"/>
          <w:szCs w:val="22"/>
        </w:rPr>
        <w:t xml:space="preserve"> (Accessed: 3 April 2026).</w:t>
      </w:r>
    </w:p>
    <w:p w14:paraId="5D60E66B" w14:textId="77777777" w:rsidR="00FD7B1F" w:rsidRPr="006E3649" w:rsidRDefault="00FD7B1F" w:rsidP="00FD7B1F">
      <w:pPr>
        <w:spacing w:after="0" w:line="360" w:lineRule="auto"/>
        <w:rPr>
          <w:rFonts w:ascii="Arial" w:eastAsia="Calibri" w:hAnsi="Arial" w:cs="Arial"/>
          <w:sz w:val="22"/>
          <w:szCs w:val="22"/>
        </w:rPr>
      </w:pPr>
      <w:r w:rsidRPr="006E3649">
        <w:rPr>
          <w:rFonts w:ascii="Arial" w:eastAsia="Calibri" w:hAnsi="Arial" w:cs="Arial"/>
          <w:sz w:val="22"/>
          <w:szCs w:val="22"/>
        </w:rPr>
        <w:t xml:space="preserve">Office for National Statistics (2026) </w:t>
      </w:r>
      <w:r w:rsidRPr="006E3649">
        <w:rPr>
          <w:rFonts w:ascii="Arial" w:eastAsia="Calibri" w:hAnsi="Arial" w:cs="Arial"/>
          <w:i/>
          <w:iCs/>
          <w:sz w:val="22"/>
          <w:szCs w:val="22"/>
        </w:rPr>
        <w:t>Childhood, infant and perinatal mortality in England and Wales: 2022</w:t>
      </w:r>
      <w:r w:rsidRPr="006E3649">
        <w:rPr>
          <w:rFonts w:ascii="Arial" w:eastAsia="Calibri" w:hAnsi="Arial" w:cs="Arial"/>
          <w:sz w:val="22"/>
          <w:szCs w:val="22"/>
        </w:rPr>
        <w:t xml:space="preserve">. Available at: </w:t>
      </w:r>
      <w:hyperlink r:id="rId16" w:tgtFrame="_new" w:history="1">
        <w:r w:rsidRPr="006E3649">
          <w:rPr>
            <w:rFonts w:ascii="Arial" w:eastAsia="Calibri" w:hAnsi="Arial" w:cs="Arial"/>
            <w:color w:val="0563C1"/>
            <w:sz w:val="22"/>
            <w:szCs w:val="22"/>
            <w:u w:val="single"/>
          </w:rPr>
          <w:t>https://www.ons.gov.uk/peoplepopulationandcommunity/birthsdeathsandmarriages/deaths/b</w:t>
        </w:r>
        <w:r w:rsidRPr="006E3649">
          <w:rPr>
            <w:rFonts w:ascii="Arial" w:eastAsia="Calibri" w:hAnsi="Arial" w:cs="Arial"/>
            <w:color w:val="0563C1"/>
            <w:sz w:val="22"/>
            <w:szCs w:val="22"/>
            <w:u w:val="single"/>
          </w:rPr>
          <w:lastRenderedPageBreak/>
          <w:t>ulletins/childhoodinfantandperinatalmortalityinenglandandwales/2022</w:t>
        </w:r>
      </w:hyperlink>
      <w:r w:rsidRPr="006E3649">
        <w:rPr>
          <w:rFonts w:ascii="Arial" w:eastAsia="Calibri" w:hAnsi="Arial" w:cs="Arial"/>
          <w:sz w:val="22"/>
          <w:szCs w:val="22"/>
        </w:rPr>
        <w:t xml:space="preserve"> (Accessed: 3 April 2026).</w:t>
      </w:r>
    </w:p>
    <w:p w14:paraId="69747B6C" w14:textId="77777777" w:rsidR="00FD7B1F" w:rsidRPr="006E3649" w:rsidRDefault="00FD7B1F" w:rsidP="00FD7B1F">
      <w:pPr>
        <w:spacing w:after="0" w:line="360" w:lineRule="auto"/>
        <w:jc w:val="both"/>
        <w:rPr>
          <w:rFonts w:ascii="Arial" w:eastAsia="Calibri" w:hAnsi="Arial" w:cs="Arial"/>
          <w:sz w:val="22"/>
          <w:szCs w:val="22"/>
        </w:rPr>
      </w:pPr>
      <w:proofErr w:type="spellStart"/>
      <w:r w:rsidRPr="006E3649">
        <w:rPr>
          <w:rFonts w:ascii="Arial" w:eastAsia="Calibri" w:hAnsi="Arial" w:cs="Arial"/>
          <w:sz w:val="22"/>
          <w:szCs w:val="22"/>
        </w:rPr>
        <w:t>Schramme</w:t>
      </w:r>
      <w:proofErr w:type="spellEnd"/>
      <w:r w:rsidRPr="006E3649">
        <w:rPr>
          <w:rFonts w:ascii="Arial" w:eastAsia="Calibri" w:hAnsi="Arial" w:cs="Arial"/>
          <w:sz w:val="22"/>
          <w:szCs w:val="22"/>
        </w:rPr>
        <w:t xml:space="preserve">, T. (2023) ‘Health as complete well-being: the WHO definition and beyond’, </w:t>
      </w:r>
      <w:r w:rsidRPr="006E3649">
        <w:rPr>
          <w:rFonts w:ascii="Arial" w:eastAsia="Calibri" w:hAnsi="Arial" w:cs="Arial"/>
          <w:i/>
          <w:iCs/>
          <w:sz w:val="22"/>
          <w:szCs w:val="22"/>
        </w:rPr>
        <w:t>Public Health Ethics</w:t>
      </w:r>
      <w:r w:rsidRPr="006E3649">
        <w:rPr>
          <w:rFonts w:ascii="Arial" w:eastAsia="Calibri" w:hAnsi="Arial" w:cs="Arial"/>
          <w:sz w:val="22"/>
          <w:szCs w:val="22"/>
        </w:rPr>
        <w:t>, 16(3), p. 210. doi:10.1093/</w:t>
      </w:r>
      <w:proofErr w:type="spellStart"/>
      <w:r w:rsidRPr="006E3649">
        <w:rPr>
          <w:rFonts w:ascii="Arial" w:eastAsia="Calibri" w:hAnsi="Arial" w:cs="Arial"/>
          <w:sz w:val="22"/>
          <w:szCs w:val="22"/>
        </w:rPr>
        <w:t>phe</w:t>
      </w:r>
      <w:proofErr w:type="spellEnd"/>
      <w:r w:rsidRPr="006E3649">
        <w:rPr>
          <w:rFonts w:ascii="Arial" w:eastAsia="Calibri" w:hAnsi="Arial" w:cs="Arial"/>
          <w:sz w:val="22"/>
          <w:szCs w:val="22"/>
        </w:rPr>
        <w:t>/phad017.</w:t>
      </w:r>
    </w:p>
    <w:p w14:paraId="34AFD54C"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Technical Team (2025) </w:t>
      </w:r>
      <w:r w:rsidRPr="006E3649">
        <w:rPr>
          <w:rFonts w:ascii="Arial" w:eastAsia="Calibri" w:hAnsi="Arial" w:cs="Arial"/>
          <w:i/>
          <w:iCs/>
          <w:sz w:val="22"/>
          <w:szCs w:val="22"/>
        </w:rPr>
        <w:t>Summary of all 42 NHS Integrated Care System (ICS) strategies</w:t>
      </w:r>
      <w:r w:rsidRPr="006E3649">
        <w:rPr>
          <w:rFonts w:ascii="Arial" w:eastAsia="Calibri" w:hAnsi="Arial" w:cs="Arial"/>
          <w:sz w:val="22"/>
          <w:szCs w:val="22"/>
        </w:rPr>
        <w:t xml:space="preserve">. Available at: </w:t>
      </w:r>
      <w:hyperlink r:id="rId17" w:tgtFrame="_new" w:history="1">
        <w:r w:rsidRPr="006E3649">
          <w:rPr>
            <w:rFonts w:ascii="Arial" w:eastAsia="Calibri" w:hAnsi="Arial" w:cs="Arial"/>
            <w:color w:val="0563C1"/>
            <w:sz w:val="22"/>
            <w:szCs w:val="22"/>
            <w:u w:val="single"/>
          </w:rPr>
          <w:t>https://6b.health/insight/summary-of-all-42-nhs-integrated-care-system-ics-strategies/</w:t>
        </w:r>
      </w:hyperlink>
      <w:r w:rsidRPr="006E3649">
        <w:rPr>
          <w:rFonts w:ascii="Arial" w:eastAsia="Calibri" w:hAnsi="Arial" w:cs="Arial"/>
          <w:sz w:val="22"/>
          <w:szCs w:val="22"/>
        </w:rPr>
        <w:t xml:space="preserve"> (Accessed: 3 April 2026).</w:t>
      </w:r>
    </w:p>
    <w:p w14:paraId="58969023"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UNICEF (2026) </w:t>
      </w:r>
      <w:r w:rsidRPr="006E3649">
        <w:rPr>
          <w:rFonts w:ascii="Arial" w:eastAsia="Calibri" w:hAnsi="Arial" w:cs="Arial"/>
          <w:i/>
          <w:iCs/>
          <w:sz w:val="22"/>
          <w:szCs w:val="22"/>
        </w:rPr>
        <w:t>SDG Goal 3: Good health and well-being</w:t>
      </w:r>
      <w:r w:rsidRPr="006E3649">
        <w:rPr>
          <w:rFonts w:ascii="Arial" w:eastAsia="Calibri" w:hAnsi="Arial" w:cs="Arial"/>
          <w:sz w:val="22"/>
          <w:szCs w:val="22"/>
        </w:rPr>
        <w:t xml:space="preserve">. Available at: </w:t>
      </w:r>
      <w:hyperlink r:id="rId18" w:tgtFrame="_new" w:history="1">
        <w:r w:rsidRPr="006E3649">
          <w:rPr>
            <w:rFonts w:ascii="Arial" w:eastAsia="Calibri" w:hAnsi="Arial" w:cs="Arial"/>
            <w:color w:val="0563C1"/>
            <w:sz w:val="22"/>
            <w:szCs w:val="22"/>
            <w:u w:val="single"/>
          </w:rPr>
          <w:t>https://data.unicef.org/sdgs/goal-3-good-health-wellbeing/</w:t>
        </w:r>
      </w:hyperlink>
      <w:r w:rsidRPr="006E3649">
        <w:rPr>
          <w:rFonts w:ascii="Arial" w:eastAsia="Calibri" w:hAnsi="Arial" w:cs="Arial"/>
          <w:sz w:val="22"/>
          <w:szCs w:val="22"/>
        </w:rPr>
        <w:t xml:space="preserve"> (Accessed: 3 April 2026).</w:t>
      </w:r>
    </w:p>
    <w:p w14:paraId="23246C27"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United Nations (2015)</w:t>
      </w:r>
      <w:r>
        <w:rPr>
          <w:rFonts w:ascii="Arial" w:eastAsia="Calibri" w:hAnsi="Arial" w:cs="Arial"/>
          <w:sz w:val="22"/>
          <w:szCs w:val="22"/>
        </w:rPr>
        <w:t>.</w:t>
      </w:r>
      <w:r w:rsidRPr="006E3649">
        <w:rPr>
          <w:rFonts w:ascii="Arial" w:eastAsia="Calibri" w:hAnsi="Arial" w:cs="Arial"/>
          <w:sz w:val="22"/>
          <w:szCs w:val="22"/>
        </w:rPr>
        <w:t xml:space="preserve"> </w:t>
      </w:r>
      <w:r w:rsidRPr="006E3649">
        <w:rPr>
          <w:rFonts w:ascii="Arial" w:eastAsia="Calibri" w:hAnsi="Arial" w:cs="Arial"/>
          <w:i/>
          <w:iCs/>
          <w:sz w:val="22"/>
          <w:szCs w:val="22"/>
        </w:rPr>
        <w:t>Transforming our world: the 2030 Agenda for Sustainable Development</w:t>
      </w:r>
      <w:r w:rsidRPr="006E3649">
        <w:rPr>
          <w:rFonts w:ascii="Arial" w:eastAsia="Calibri" w:hAnsi="Arial" w:cs="Arial"/>
          <w:sz w:val="22"/>
          <w:szCs w:val="22"/>
        </w:rPr>
        <w:t xml:space="preserve">. Available at: </w:t>
      </w:r>
      <w:hyperlink r:id="rId19" w:tgtFrame="_new" w:history="1">
        <w:r w:rsidRPr="006E3649">
          <w:rPr>
            <w:rFonts w:ascii="Arial" w:eastAsia="Calibri" w:hAnsi="Arial" w:cs="Arial"/>
            <w:color w:val="0563C1"/>
            <w:sz w:val="22"/>
            <w:szCs w:val="22"/>
            <w:u w:val="single"/>
          </w:rPr>
          <w:t>https://sdgs.un.org/2030agenda</w:t>
        </w:r>
      </w:hyperlink>
      <w:r w:rsidRPr="006E3649">
        <w:rPr>
          <w:rFonts w:ascii="Arial" w:eastAsia="Calibri" w:hAnsi="Arial" w:cs="Arial"/>
          <w:sz w:val="22"/>
          <w:szCs w:val="22"/>
        </w:rPr>
        <w:t xml:space="preserve"> (Accessed: 3 April 2026).</w:t>
      </w:r>
    </w:p>
    <w:p w14:paraId="4755DB0D"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United Nations (2026) </w:t>
      </w:r>
      <w:r w:rsidRPr="006E3649">
        <w:rPr>
          <w:rFonts w:ascii="Arial" w:eastAsia="Calibri" w:hAnsi="Arial" w:cs="Arial"/>
          <w:i/>
          <w:iCs/>
          <w:sz w:val="22"/>
          <w:szCs w:val="22"/>
        </w:rPr>
        <w:t>Health – Sustainable Development Goals</w:t>
      </w:r>
      <w:r w:rsidRPr="006E3649">
        <w:rPr>
          <w:rFonts w:ascii="Arial" w:eastAsia="Calibri" w:hAnsi="Arial" w:cs="Arial"/>
          <w:sz w:val="22"/>
          <w:szCs w:val="22"/>
        </w:rPr>
        <w:t xml:space="preserve">. Available at: </w:t>
      </w:r>
      <w:hyperlink r:id="rId20" w:tgtFrame="_new" w:history="1">
        <w:r w:rsidRPr="006E3649">
          <w:rPr>
            <w:rFonts w:ascii="Arial" w:eastAsia="Calibri" w:hAnsi="Arial" w:cs="Arial"/>
            <w:color w:val="0563C1"/>
            <w:sz w:val="22"/>
            <w:szCs w:val="22"/>
            <w:u w:val="single"/>
          </w:rPr>
          <w:t>https://www.un.org/sustainabledevelopment/health/</w:t>
        </w:r>
      </w:hyperlink>
      <w:r w:rsidRPr="006E3649">
        <w:rPr>
          <w:rFonts w:ascii="Arial" w:eastAsia="Calibri" w:hAnsi="Arial" w:cs="Arial"/>
          <w:sz w:val="22"/>
          <w:szCs w:val="22"/>
        </w:rPr>
        <w:t xml:space="preserve"> (Accessed: 3 April 2026).</w:t>
      </w:r>
    </w:p>
    <w:p w14:paraId="43C1551E"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United Nations Department of Economic and Social Affairs (2025)</w:t>
      </w:r>
      <w:r>
        <w:rPr>
          <w:rFonts w:ascii="Arial" w:eastAsia="Calibri" w:hAnsi="Arial" w:cs="Arial"/>
          <w:sz w:val="22"/>
          <w:szCs w:val="22"/>
        </w:rPr>
        <w:t>.</w:t>
      </w:r>
      <w:r w:rsidRPr="006E3649">
        <w:rPr>
          <w:rFonts w:ascii="Arial" w:eastAsia="Calibri" w:hAnsi="Arial" w:cs="Arial"/>
          <w:sz w:val="22"/>
          <w:szCs w:val="22"/>
        </w:rPr>
        <w:t xml:space="preserve"> </w:t>
      </w:r>
      <w:r w:rsidRPr="006E3649">
        <w:rPr>
          <w:rFonts w:ascii="Arial" w:eastAsia="Calibri" w:hAnsi="Arial" w:cs="Arial"/>
          <w:i/>
          <w:iCs/>
          <w:sz w:val="22"/>
          <w:szCs w:val="22"/>
        </w:rPr>
        <w:t>The Sustainable Development Goals Report 2025</w:t>
      </w:r>
      <w:r w:rsidRPr="006E3649">
        <w:rPr>
          <w:rFonts w:ascii="Arial" w:eastAsia="Calibri" w:hAnsi="Arial" w:cs="Arial"/>
          <w:sz w:val="22"/>
          <w:szCs w:val="22"/>
        </w:rPr>
        <w:t xml:space="preserve">. Available at: </w:t>
      </w:r>
      <w:hyperlink r:id="rId21" w:tgtFrame="_new" w:history="1">
        <w:r w:rsidRPr="006E3649">
          <w:rPr>
            <w:rFonts w:ascii="Arial" w:eastAsia="Calibri" w:hAnsi="Arial" w:cs="Arial"/>
            <w:color w:val="0563C1"/>
            <w:sz w:val="22"/>
            <w:szCs w:val="22"/>
            <w:u w:val="single"/>
          </w:rPr>
          <w:t>https://unstats.un.org/sdgs/report/2025/goal-03/</w:t>
        </w:r>
      </w:hyperlink>
      <w:r w:rsidRPr="006E3649">
        <w:rPr>
          <w:rFonts w:ascii="Arial" w:eastAsia="Calibri" w:hAnsi="Arial" w:cs="Arial"/>
          <w:sz w:val="22"/>
          <w:szCs w:val="22"/>
        </w:rPr>
        <w:t xml:space="preserve"> (Accessed: 3 April 2026).</w:t>
      </w:r>
    </w:p>
    <w:p w14:paraId="6AEB401B"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United Nations Development Programme (2026) </w:t>
      </w:r>
      <w:r w:rsidRPr="006E3649">
        <w:rPr>
          <w:rFonts w:ascii="Arial" w:eastAsia="Calibri" w:hAnsi="Arial" w:cs="Arial"/>
          <w:i/>
          <w:iCs/>
          <w:sz w:val="22"/>
          <w:szCs w:val="22"/>
        </w:rPr>
        <w:t>Sustainable Development Goals</w:t>
      </w:r>
      <w:r w:rsidRPr="006E3649">
        <w:rPr>
          <w:rFonts w:ascii="Arial" w:eastAsia="Calibri" w:hAnsi="Arial" w:cs="Arial"/>
          <w:sz w:val="22"/>
          <w:szCs w:val="22"/>
        </w:rPr>
        <w:t xml:space="preserve">. Available at: </w:t>
      </w:r>
      <w:hyperlink r:id="rId22" w:tgtFrame="_new" w:history="1">
        <w:r w:rsidRPr="006E3649">
          <w:rPr>
            <w:rFonts w:ascii="Arial" w:eastAsia="Calibri" w:hAnsi="Arial" w:cs="Arial"/>
            <w:color w:val="0563C1"/>
            <w:sz w:val="22"/>
            <w:szCs w:val="22"/>
            <w:u w:val="single"/>
          </w:rPr>
          <w:t>https://www.undp.org/sustainable-development-goals</w:t>
        </w:r>
      </w:hyperlink>
      <w:r w:rsidRPr="006E3649">
        <w:rPr>
          <w:rFonts w:ascii="Arial" w:eastAsia="Calibri" w:hAnsi="Arial" w:cs="Arial"/>
          <w:sz w:val="22"/>
          <w:szCs w:val="22"/>
        </w:rPr>
        <w:t xml:space="preserve"> (Accessed: 20 April 2026).</w:t>
      </w:r>
    </w:p>
    <w:p w14:paraId="5E072E56"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United Nations Sustainable Development Group (2019)</w:t>
      </w:r>
      <w:r>
        <w:rPr>
          <w:rFonts w:ascii="Arial" w:eastAsia="Calibri" w:hAnsi="Arial" w:cs="Arial"/>
          <w:sz w:val="22"/>
          <w:szCs w:val="22"/>
        </w:rPr>
        <w:t>.</w:t>
      </w:r>
      <w:r w:rsidRPr="006E3649">
        <w:rPr>
          <w:rFonts w:ascii="Arial" w:eastAsia="Calibri" w:hAnsi="Arial" w:cs="Arial"/>
          <w:sz w:val="22"/>
          <w:szCs w:val="22"/>
        </w:rPr>
        <w:t xml:space="preserve"> </w:t>
      </w:r>
      <w:r w:rsidRPr="006E3649">
        <w:rPr>
          <w:rFonts w:ascii="Arial" w:eastAsia="Calibri" w:hAnsi="Arial" w:cs="Arial"/>
          <w:i/>
          <w:iCs/>
          <w:sz w:val="22"/>
          <w:szCs w:val="22"/>
        </w:rPr>
        <w:t>Foundational primer on the 2030 Agenda for Sustainable Development</w:t>
      </w:r>
      <w:r w:rsidRPr="006E3649">
        <w:rPr>
          <w:rFonts w:ascii="Arial" w:eastAsia="Calibri" w:hAnsi="Arial" w:cs="Arial"/>
          <w:sz w:val="22"/>
          <w:szCs w:val="22"/>
        </w:rPr>
        <w:t xml:space="preserve">. Available at: </w:t>
      </w:r>
      <w:hyperlink r:id="rId23" w:tgtFrame="_new" w:history="1">
        <w:r w:rsidRPr="006E3649">
          <w:rPr>
            <w:rFonts w:ascii="Arial" w:eastAsia="Calibri" w:hAnsi="Arial" w:cs="Arial"/>
            <w:color w:val="0563C1"/>
            <w:sz w:val="22"/>
            <w:szCs w:val="22"/>
            <w:u w:val="single"/>
          </w:rPr>
          <w:t>https://unsdg.un.org/sites/default/files/2019-11/UNSDG-SDG-Primer-Report.pdf</w:t>
        </w:r>
      </w:hyperlink>
      <w:r w:rsidRPr="006E3649">
        <w:rPr>
          <w:rFonts w:ascii="Arial" w:eastAsia="Calibri" w:hAnsi="Arial" w:cs="Arial"/>
          <w:sz w:val="22"/>
          <w:szCs w:val="22"/>
        </w:rPr>
        <w:t xml:space="preserve"> (Accessed: 2 April 2026).</w:t>
      </w:r>
    </w:p>
    <w:p w14:paraId="5489940C"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World Bank (2022) </w:t>
      </w:r>
      <w:r w:rsidRPr="006E3649">
        <w:rPr>
          <w:rFonts w:ascii="Arial" w:eastAsia="Calibri" w:hAnsi="Arial" w:cs="Arial"/>
          <w:i/>
          <w:iCs/>
          <w:sz w:val="22"/>
          <w:szCs w:val="22"/>
        </w:rPr>
        <w:t>Chapter 1: The economic impacts of the COVID-19 crisis</w:t>
      </w:r>
      <w:r w:rsidRPr="006E3649">
        <w:rPr>
          <w:rFonts w:ascii="Arial" w:eastAsia="Calibri" w:hAnsi="Arial" w:cs="Arial"/>
          <w:sz w:val="22"/>
          <w:szCs w:val="22"/>
        </w:rPr>
        <w:t xml:space="preserve">. In: </w:t>
      </w:r>
      <w:r w:rsidRPr="006E3649">
        <w:rPr>
          <w:rFonts w:ascii="Arial" w:eastAsia="Calibri" w:hAnsi="Arial" w:cs="Arial"/>
          <w:i/>
          <w:iCs/>
          <w:sz w:val="22"/>
          <w:szCs w:val="22"/>
        </w:rPr>
        <w:t>World Development Report 2022: Finance for an Equitable Recovery</w:t>
      </w:r>
      <w:r w:rsidRPr="006E3649">
        <w:rPr>
          <w:rFonts w:ascii="Arial" w:eastAsia="Calibri" w:hAnsi="Arial" w:cs="Arial"/>
          <w:sz w:val="22"/>
          <w:szCs w:val="22"/>
        </w:rPr>
        <w:t xml:space="preserve">. Available at: </w:t>
      </w:r>
      <w:hyperlink r:id="rId24" w:tgtFrame="_new" w:history="1">
        <w:r w:rsidRPr="006E3649">
          <w:rPr>
            <w:rFonts w:ascii="Arial" w:eastAsia="Calibri" w:hAnsi="Arial" w:cs="Arial"/>
            <w:color w:val="0563C1"/>
            <w:sz w:val="22"/>
            <w:szCs w:val="22"/>
            <w:u w:val="single"/>
          </w:rPr>
          <w:t>https://www.worldbank.org/en/publication/wdr2022/brief/chapter-1-introduction-the-economic-impacts-of-the-covid-19-crisis</w:t>
        </w:r>
      </w:hyperlink>
      <w:r w:rsidRPr="006E3649">
        <w:rPr>
          <w:rFonts w:ascii="Arial" w:eastAsia="Calibri" w:hAnsi="Arial" w:cs="Arial"/>
          <w:sz w:val="22"/>
          <w:szCs w:val="22"/>
        </w:rPr>
        <w:t xml:space="preserve"> (Accessed: 2 April 2026).</w:t>
      </w:r>
    </w:p>
    <w:p w14:paraId="3D018566"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World Health Organization (2023)</w:t>
      </w:r>
      <w:r>
        <w:rPr>
          <w:rFonts w:ascii="Arial" w:eastAsia="Calibri" w:hAnsi="Arial" w:cs="Arial"/>
          <w:sz w:val="22"/>
          <w:szCs w:val="22"/>
        </w:rPr>
        <w:t>.</w:t>
      </w:r>
      <w:r w:rsidRPr="006E3649">
        <w:rPr>
          <w:rFonts w:ascii="Arial" w:eastAsia="Calibri" w:hAnsi="Arial" w:cs="Arial"/>
          <w:sz w:val="22"/>
          <w:szCs w:val="22"/>
        </w:rPr>
        <w:t xml:space="preserve"> </w:t>
      </w:r>
      <w:r w:rsidRPr="006E3649">
        <w:rPr>
          <w:rFonts w:ascii="Arial" w:eastAsia="Calibri" w:hAnsi="Arial" w:cs="Arial"/>
          <w:i/>
          <w:iCs/>
          <w:sz w:val="22"/>
          <w:szCs w:val="22"/>
        </w:rPr>
        <w:t xml:space="preserve">World </w:t>
      </w:r>
      <w:r>
        <w:rPr>
          <w:rFonts w:ascii="Arial" w:eastAsia="Calibri" w:hAnsi="Arial" w:cs="Arial"/>
          <w:i/>
          <w:iCs/>
          <w:sz w:val="22"/>
          <w:szCs w:val="22"/>
        </w:rPr>
        <w:t>Health Statistics</w:t>
      </w:r>
      <w:r w:rsidRPr="006E3649">
        <w:rPr>
          <w:rFonts w:ascii="Arial" w:eastAsia="Calibri" w:hAnsi="Arial" w:cs="Arial"/>
          <w:i/>
          <w:iCs/>
          <w:sz w:val="22"/>
          <w:szCs w:val="22"/>
        </w:rPr>
        <w:t xml:space="preserve"> 2023</w:t>
      </w:r>
      <w:r w:rsidRPr="006E3649">
        <w:rPr>
          <w:rFonts w:ascii="Arial" w:eastAsia="Calibri" w:hAnsi="Arial" w:cs="Arial"/>
          <w:sz w:val="22"/>
          <w:szCs w:val="22"/>
        </w:rPr>
        <w:t>.</w:t>
      </w:r>
    </w:p>
    <w:p w14:paraId="7E676940" w14:textId="77777777" w:rsidR="00FD7B1F" w:rsidRPr="006E3649" w:rsidRDefault="00FD7B1F" w:rsidP="00FD7B1F">
      <w:pPr>
        <w:spacing w:after="0" w:line="360" w:lineRule="auto"/>
        <w:jc w:val="both"/>
        <w:rPr>
          <w:rFonts w:ascii="Arial" w:eastAsia="Calibri" w:hAnsi="Arial" w:cs="Arial"/>
          <w:sz w:val="22"/>
          <w:szCs w:val="22"/>
        </w:rPr>
      </w:pPr>
      <w:r w:rsidRPr="006E3649">
        <w:rPr>
          <w:rFonts w:ascii="Arial" w:eastAsia="Calibri" w:hAnsi="Arial" w:cs="Arial"/>
          <w:sz w:val="22"/>
          <w:szCs w:val="22"/>
        </w:rPr>
        <w:t xml:space="preserve">World Health Organization (2026) </w:t>
      </w:r>
      <w:r w:rsidRPr="006E3649">
        <w:rPr>
          <w:rFonts w:ascii="Arial" w:eastAsia="Calibri" w:hAnsi="Arial" w:cs="Arial"/>
          <w:i/>
          <w:iCs/>
          <w:sz w:val="22"/>
          <w:szCs w:val="22"/>
        </w:rPr>
        <w:t>Universal health coverage</w:t>
      </w:r>
      <w:r w:rsidRPr="006E3649">
        <w:rPr>
          <w:rFonts w:ascii="Arial" w:eastAsia="Calibri" w:hAnsi="Arial" w:cs="Arial"/>
          <w:sz w:val="22"/>
          <w:szCs w:val="22"/>
        </w:rPr>
        <w:t xml:space="preserve">. Available at: </w:t>
      </w:r>
      <w:hyperlink r:id="rId25" w:history="1">
        <w:r w:rsidRPr="006E3649">
          <w:rPr>
            <w:rStyle w:val="Hyperlink"/>
            <w:rFonts w:ascii="Arial" w:eastAsia="Calibri" w:hAnsi="Arial" w:cs="Arial"/>
            <w:sz w:val="22"/>
            <w:szCs w:val="22"/>
          </w:rPr>
          <w:t>https://www.who.int/health-topicus/universal-health-coverage</w:t>
        </w:r>
      </w:hyperlink>
      <w:r w:rsidRPr="006E3649">
        <w:rPr>
          <w:rFonts w:ascii="Arial" w:eastAsia="Calibri" w:hAnsi="Arial" w:cs="Arial"/>
          <w:sz w:val="22"/>
          <w:szCs w:val="22"/>
        </w:rPr>
        <w:t xml:space="preserve"> (Accessed: 3 April 2026).</w:t>
      </w:r>
    </w:p>
    <w:sectPr w:rsidR="00FD7B1F" w:rsidRPr="006E3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00E62"/>
    <w:multiLevelType w:val="hybridMultilevel"/>
    <w:tmpl w:val="F16A22F4"/>
    <w:lvl w:ilvl="0" w:tplc="4FD885B4">
      <w:start w:val="1"/>
      <w:numFmt w:val="decimal"/>
      <w:lvlText w:val="%1."/>
      <w:lvlJc w:val="left"/>
      <w:pPr>
        <w:spacing w:after="100"/>
        <w:ind w:left="720" w:hanging="360"/>
      </w:pPr>
    </w:lvl>
    <w:lvl w:ilvl="1" w:tplc="DBBA0BD4">
      <w:numFmt w:val="decimal"/>
      <w:lvlText w:val=""/>
      <w:lvlJc w:val="left"/>
    </w:lvl>
    <w:lvl w:ilvl="2" w:tplc="3CC81CFA">
      <w:numFmt w:val="decimal"/>
      <w:lvlText w:val=""/>
      <w:lvlJc w:val="left"/>
    </w:lvl>
    <w:lvl w:ilvl="3" w:tplc="F986179E">
      <w:numFmt w:val="decimal"/>
      <w:lvlText w:val=""/>
      <w:lvlJc w:val="left"/>
    </w:lvl>
    <w:lvl w:ilvl="4" w:tplc="562AECA0">
      <w:numFmt w:val="decimal"/>
      <w:lvlText w:val=""/>
      <w:lvlJc w:val="left"/>
    </w:lvl>
    <w:lvl w:ilvl="5" w:tplc="637E662C">
      <w:numFmt w:val="decimal"/>
      <w:lvlText w:val=""/>
      <w:lvlJc w:val="left"/>
    </w:lvl>
    <w:lvl w:ilvl="6" w:tplc="4404E3B0">
      <w:numFmt w:val="decimal"/>
      <w:lvlText w:val=""/>
      <w:lvlJc w:val="left"/>
    </w:lvl>
    <w:lvl w:ilvl="7" w:tplc="792C0112">
      <w:numFmt w:val="decimal"/>
      <w:lvlText w:val=""/>
      <w:lvlJc w:val="left"/>
    </w:lvl>
    <w:lvl w:ilvl="8" w:tplc="5FF22166">
      <w:numFmt w:val="decimal"/>
      <w:lvlText w:val=""/>
      <w:lvlJc w:val="left"/>
    </w:lvl>
  </w:abstractNum>
  <w:num w:numId="1" w16cid:durableId="19193185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zNja0sDAzMjEwszRS0lEKTi0uzszPAykwqgUAwadg+iwAAAA="/>
  </w:docVars>
  <w:rsids>
    <w:rsidRoot w:val="00023A89"/>
    <w:rsid w:val="00023A89"/>
    <w:rsid w:val="000415EF"/>
    <w:rsid w:val="00045743"/>
    <w:rsid w:val="00056F5C"/>
    <w:rsid w:val="000665D5"/>
    <w:rsid w:val="000F4080"/>
    <w:rsid w:val="00102C9E"/>
    <w:rsid w:val="001359E1"/>
    <w:rsid w:val="00194511"/>
    <w:rsid w:val="001949D7"/>
    <w:rsid w:val="001B1725"/>
    <w:rsid w:val="0022706D"/>
    <w:rsid w:val="00234C0F"/>
    <w:rsid w:val="00315DAD"/>
    <w:rsid w:val="00364770"/>
    <w:rsid w:val="003717FA"/>
    <w:rsid w:val="00390A66"/>
    <w:rsid w:val="0039652F"/>
    <w:rsid w:val="003D078E"/>
    <w:rsid w:val="003D6ABA"/>
    <w:rsid w:val="003E1442"/>
    <w:rsid w:val="003F436E"/>
    <w:rsid w:val="00574D32"/>
    <w:rsid w:val="005B1155"/>
    <w:rsid w:val="00612E07"/>
    <w:rsid w:val="006C28AC"/>
    <w:rsid w:val="006D29EE"/>
    <w:rsid w:val="006E3649"/>
    <w:rsid w:val="0071451D"/>
    <w:rsid w:val="00794E40"/>
    <w:rsid w:val="007A28D4"/>
    <w:rsid w:val="00843319"/>
    <w:rsid w:val="008B1BBC"/>
    <w:rsid w:val="008B3E50"/>
    <w:rsid w:val="008C41DB"/>
    <w:rsid w:val="008C569A"/>
    <w:rsid w:val="00912321"/>
    <w:rsid w:val="009755CD"/>
    <w:rsid w:val="00A2115D"/>
    <w:rsid w:val="00A500D7"/>
    <w:rsid w:val="00A85AAB"/>
    <w:rsid w:val="00AE1736"/>
    <w:rsid w:val="00BB25E9"/>
    <w:rsid w:val="00BD0F68"/>
    <w:rsid w:val="00C6003A"/>
    <w:rsid w:val="00C87129"/>
    <w:rsid w:val="00C93F22"/>
    <w:rsid w:val="00CD4893"/>
    <w:rsid w:val="00D14194"/>
    <w:rsid w:val="00DD4435"/>
    <w:rsid w:val="00E26170"/>
    <w:rsid w:val="00F0566B"/>
    <w:rsid w:val="00F2233B"/>
    <w:rsid w:val="00F22689"/>
    <w:rsid w:val="00FD7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71415"/>
  <w15:chartTrackingRefBased/>
  <w15:docId w15:val="{5340BF17-04AC-4B5F-A5B1-529EC2B37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23A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3A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A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A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A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A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A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A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A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A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A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A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A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A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A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A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A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A89"/>
    <w:rPr>
      <w:rFonts w:eastAsiaTheme="majorEastAsia" w:cstheme="majorBidi"/>
      <w:color w:val="272727" w:themeColor="text1" w:themeTint="D8"/>
    </w:rPr>
  </w:style>
  <w:style w:type="paragraph" w:styleId="Title">
    <w:name w:val="Title"/>
    <w:basedOn w:val="Normal"/>
    <w:next w:val="Normal"/>
    <w:link w:val="TitleChar"/>
    <w:uiPriority w:val="10"/>
    <w:qFormat/>
    <w:rsid w:val="00023A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A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A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A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A89"/>
    <w:pPr>
      <w:spacing w:before="160"/>
      <w:jc w:val="center"/>
    </w:pPr>
    <w:rPr>
      <w:i/>
      <w:iCs/>
      <w:color w:val="404040" w:themeColor="text1" w:themeTint="BF"/>
    </w:rPr>
  </w:style>
  <w:style w:type="character" w:customStyle="1" w:styleId="QuoteChar">
    <w:name w:val="Quote Char"/>
    <w:basedOn w:val="DefaultParagraphFont"/>
    <w:link w:val="Quote"/>
    <w:uiPriority w:val="29"/>
    <w:rsid w:val="00023A89"/>
    <w:rPr>
      <w:i/>
      <w:iCs/>
      <w:color w:val="404040" w:themeColor="text1" w:themeTint="BF"/>
    </w:rPr>
  </w:style>
  <w:style w:type="paragraph" w:styleId="ListParagraph">
    <w:name w:val="List Paragraph"/>
    <w:basedOn w:val="Normal"/>
    <w:uiPriority w:val="34"/>
    <w:qFormat/>
    <w:rsid w:val="00023A89"/>
    <w:pPr>
      <w:ind w:left="720"/>
      <w:contextualSpacing/>
    </w:pPr>
  </w:style>
  <w:style w:type="character" w:styleId="IntenseEmphasis">
    <w:name w:val="Intense Emphasis"/>
    <w:basedOn w:val="DefaultParagraphFont"/>
    <w:uiPriority w:val="21"/>
    <w:qFormat/>
    <w:rsid w:val="00023A89"/>
    <w:rPr>
      <w:i/>
      <w:iCs/>
      <w:color w:val="0F4761" w:themeColor="accent1" w:themeShade="BF"/>
    </w:rPr>
  </w:style>
  <w:style w:type="paragraph" w:styleId="IntenseQuote">
    <w:name w:val="Intense Quote"/>
    <w:basedOn w:val="Normal"/>
    <w:next w:val="Normal"/>
    <w:link w:val="IntenseQuoteChar"/>
    <w:uiPriority w:val="30"/>
    <w:qFormat/>
    <w:rsid w:val="00023A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A89"/>
    <w:rPr>
      <w:i/>
      <w:iCs/>
      <w:color w:val="0F4761" w:themeColor="accent1" w:themeShade="BF"/>
    </w:rPr>
  </w:style>
  <w:style w:type="character" w:styleId="IntenseReference">
    <w:name w:val="Intense Reference"/>
    <w:basedOn w:val="DefaultParagraphFont"/>
    <w:uiPriority w:val="32"/>
    <w:qFormat/>
    <w:rsid w:val="00023A89"/>
    <w:rPr>
      <w:b/>
      <w:bCs/>
      <w:smallCaps/>
      <w:color w:val="0F4761" w:themeColor="accent1" w:themeShade="BF"/>
      <w:spacing w:val="5"/>
    </w:rPr>
  </w:style>
  <w:style w:type="character" w:styleId="PlaceholderText">
    <w:name w:val="Placeholder Text"/>
    <w:basedOn w:val="DefaultParagraphFont"/>
    <w:uiPriority w:val="99"/>
    <w:semiHidden/>
    <w:rsid w:val="00023A89"/>
    <w:rPr>
      <w:color w:val="666666"/>
    </w:rPr>
  </w:style>
  <w:style w:type="paragraph" w:styleId="NormalWeb">
    <w:name w:val="Normal (Web)"/>
    <w:basedOn w:val="Normal"/>
    <w:uiPriority w:val="99"/>
    <w:semiHidden/>
    <w:unhideWhenUsed/>
    <w:rsid w:val="007A28D4"/>
    <w:rPr>
      <w:rFonts w:ascii="Times New Roman" w:hAnsi="Times New Roman" w:cs="Times New Roman"/>
    </w:rPr>
  </w:style>
  <w:style w:type="character" w:styleId="Hyperlink">
    <w:name w:val="Hyperlink"/>
    <w:basedOn w:val="DefaultParagraphFont"/>
    <w:uiPriority w:val="99"/>
    <w:unhideWhenUsed/>
    <w:rsid w:val="00390A66"/>
    <w:rPr>
      <w:color w:val="467886" w:themeColor="hyperlink"/>
      <w:u w:val="single"/>
    </w:rPr>
  </w:style>
  <w:style w:type="character" w:styleId="UnresolvedMention">
    <w:name w:val="Unresolved Mention"/>
    <w:basedOn w:val="DefaultParagraphFont"/>
    <w:uiPriority w:val="99"/>
    <w:semiHidden/>
    <w:unhideWhenUsed/>
    <w:rsid w:val="00390A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021">
      <w:marLeft w:val="0"/>
      <w:marRight w:val="0"/>
      <w:marTop w:val="0"/>
      <w:marBottom w:val="0"/>
      <w:divBdr>
        <w:top w:val="none" w:sz="0" w:space="0" w:color="auto"/>
        <w:left w:val="none" w:sz="0" w:space="0" w:color="auto"/>
        <w:bottom w:val="none" w:sz="0" w:space="0" w:color="auto"/>
        <w:right w:val="none" w:sz="0" w:space="0" w:color="auto"/>
      </w:divBdr>
    </w:div>
    <w:div w:id="38022263">
      <w:marLeft w:val="0"/>
      <w:marRight w:val="0"/>
      <w:marTop w:val="0"/>
      <w:marBottom w:val="0"/>
      <w:divBdr>
        <w:top w:val="none" w:sz="0" w:space="0" w:color="auto"/>
        <w:left w:val="none" w:sz="0" w:space="0" w:color="auto"/>
        <w:bottom w:val="none" w:sz="0" w:space="0" w:color="auto"/>
        <w:right w:val="none" w:sz="0" w:space="0" w:color="auto"/>
      </w:divBdr>
    </w:div>
    <w:div w:id="54478817">
      <w:marLeft w:val="0"/>
      <w:marRight w:val="0"/>
      <w:marTop w:val="0"/>
      <w:marBottom w:val="0"/>
      <w:divBdr>
        <w:top w:val="none" w:sz="0" w:space="0" w:color="auto"/>
        <w:left w:val="none" w:sz="0" w:space="0" w:color="auto"/>
        <w:bottom w:val="none" w:sz="0" w:space="0" w:color="auto"/>
        <w:right w:val="none" w:sz="0" w:space="0" w:color="auto"/>
      </w:divBdr>
    </w:div>
    <w:div w:id="71238875">
      <w:marLeft w:val="0"/>
      <w:marRight w:val="0"/>
      <w:marTop w:val="0"/>
      <w:marBottom w:val="0"/>
      <w:divBdr>
        <w:top w:val="none" w:sz="0" w:space="0" w:color="auto"/>
        <w:left w:val="none" w:sz="0" w:space="0" w:color="auto"/>
        <w:bottom w:val="none" w:sz="0" w:space="0" w:color="auto"/>
        <w:right w:val="none" w:sz="0" w:space="0" w:color="auto"/>
      </w:divBdr>
    </w:div>
    <w:div w:id="107697471">
      <w:marLeft w:val="0"/>
      <w:marRight w:val="0"/>
      <w:marTop w:val="0"/>
      <w:marBottom w:val="0"/>
      <w:divBdr>
        <w:top w:val="none" w:sz="0" w:space="0" w:color="auto"/>
        <w:left w:val="none" w:sz="0" w:space="0" w:color="auto"/>
        <w:bottom w:val="none" w:sz="0" w:space="0" w:color="auto"/>
        <w:right w:val="none" w:sz="0" w:space="0" w:color="auto"/>
      </w:divBdr>
    </w:div>
    <w:div w:id="124784832">
      <w:marLeft w:val="0"/>
      <w:marRight w:val="0"/>
      <w:marTop w:val="0"/>
      <w:marBottom w:val="0"/>
      <w:divBdr>
        <w:top w:val="none" w:sz="0" w:space="0" w:color="auto"/>
        <w:left w:val="none" w:sz="0" w:space="0" w:color="auto"/>
        <w:bottom w:val="none" w:sz="0" w:space="0" w:color="auto"/>
        <w:right w:val="none" w:sz="0" w:space="0" w:color="auto"/>
      </w:divBdr>
    </w:div>
    <w:div w:id="149905946">
      <w:marLeft w:val="0"/>
      <w:marRight w:val="0"/>
      <w:marTop w:val="0"/>
      <w:marBottom w:val="0"/>
      <w:divBdr>
        <w:top w:val="none" w:sz="0" w:space="0" w:color="auto"/>
        <w:left w:val="none" w:sz="0" w:space="0" w:color="auto"/>
        <w:bottom w:val="none" w:sz="0" w:space="0" w:color="auto"/>
        <w:right w:val="none" w:sz="0" w:space="0" w:color="auto"/>
      </w:divBdr>
    </w:div>
    <w:div w:id="163058152">
      <w:marLeft w:val="0"/>
      <w:marRight w:val="0"/>
      <w:marTop w:val="0"/>
      <w:marBottom w:val="0"/>
      <w:divBdr>
        <w:top w:val="none" w:sz="0" w:space="0" w:color="auto"/>
        <w:left w:val="none" w:sz="0" w:space="0" w:color="auto"/>
        <w:bottom w:val="none" w:sz="0" w:space="0" w:color="auto"/>
        <w:right w:val="none" w:sz="0" w:space="0" w:color="auto"/>
      </w:divBdr>
    </w:div>
    <w:div w:id="164056348">
      <w:marLeft w:val="0"/>
      <w:marRight w:val="0"/>
      <w:marTop w:val="0"/>
      <w:marBottom w:val="0"/>
      <w:divBdr>
        <w:top w:val="none" w:sz="0" w:space="0" w:color="auto"/>
        <w:left w:val="none" w:sz="0" w:space="0" w:color="auto"/>
        <w:bottom w:val="none" w:sz="0" w:space="0" w:color="auto"/>
        <w:right w:val="none" w:sz="0" w:space="0" w:color="auto"/>
      </w:divBdr>
    </w:div>
    <w:div w:id="164325870">
      <w:marLeft w:val="0"/>
      <w:marRight w:val="0"/>
      <w:marTop w:val="0"/>
      <w:marBottom w:val="0"/>
      <w:divBdr>
        <w:top w:val="none" w:sz="0" w:space="0" w:color="auto"/>
        <w:left w:val="none" w:sz="0" w:space="0" w:color="auto"/>
        <w:bottom w:val="none" w:sz="0" w:space="0" w:color="auto"/>
        <w:right w:val="none" w:sz="0" w:space="0" w:color="auto"/>
      </w:divBdr>
    </w:div>
    <w:div w:id="260769263">
      <w:marLeft w:val="0"/>
      <w:marRight w:val="0"/>
      <w:marTop w:val="0"/>
      <w:marBottom w:val="0"/>
      <w:divBdr>
        <w:top w:val="none" w:sz="0" w:space="0" w:color="auto"/>
        <w:left w:val="none" w:sz="0" w:space="0" w:color="auto"/>
        <w:bottom w:val="none" w:sz="0" w:space="0" w:color="auto"/>
        <w:right w:val="none" w:sz="0" w:space="0" w:color="auto"/>
      </w:divBdr>
    </w:div>
    <w:div w:id="260991797">
      <w:marLeft w:val="0"/>
      <w:marRight w:val="0"/>
      <w:marTop w:val="0"/>
      <w:marBottom w:val="0"/>
      <w:divBdr>
        <w:top w:val="none" w:sz="0" w:space="0" w:color="auto"/>
        <w:left w:val="none" w:sz="0" w:space="0" w:color="auto"/>
        <w:bottom w:val="none" w:sz="0" w:space="0" w:color="auto"/>
        <w:right w:val="none" w:sz="0" w:space="0" w:color="auto"/>
      </w:divBdr>
    </w:div>
    <w:div w:id="338121805">
      <w:marLeft w:val="0"/>
      <w:marRight w:val="0"/>
      <w:marTop w:val="0"/>
      <w:marBottom w:val="0"/>
      <w:divBdr>
        <w:top w:val="none" w:sz="0" w:space="0" w:color="auto"/>
        <w:left w:val="none" w:sz="0" w:space="0" w:color="auto"/>
        <w:bottom w:val="none" w:sz="0" w:space="0" w:color="auto"/>
        <w:right w:val="none" w:sz="0" w:space="0" w:color="auto"/>
      </w:divBdr>
    </w:div>
    <w:div w:id="388303769">
      <w:marLeft w:val="0"/>
      <w:marRight w:val="0"/>
      <w:marTop w:val="0"/>
      <w:marBottom w:val="0"/>
      <w:divBdr>
        <w:top w:val="none" w:sz="0" w:space="0" w:color="auto"/>
        <w:left w:val="none" w:sz="0" w:space="0" w:color="auto"/>
        <w:bottom w:val="none" w:sz="0" w:space="0" w:color="auto"/>
        <w:right w:val="none" w:sz="0" w:space="0" w:color="auto"/>
      </w:divBdr>
    </w:div>
    <w:div w:id="405151623">
      <w:marLeft w:val="0"/>
      <w:marRight w:val="0"/>
      <w:marTop w:val="0"/>
      <w:marBottom w:val="0"/>
      <w:divBdr>
        <w:top w:val="none" w:sz="0" w:space="0" w:color="auto"/>
        <w:left w:val="none" w:sz="0" w:space="0" w:color="auto"/>
        <w:bottom w:val="none" w:sz="0" w:space="0" w:color="auto"/>
        <w:right w:val="none" w:sz="0" w:space="0" w:color="auto"/>
      </w:divBdr>
    </w:div>
    <w:div w:id="474218730">
      <w:marLeft w:val="0"/>
      <w:marRight w:val="0"/>
      <w:marTop w:val="0"/>
      <w:marBottom w:val="0"/>
      <w:divBdr>
        <w:top w:val="none" w:sz="0" w:space="0" w:color="auto"/>
        <w:left w:val="none" w:sz="0" w:space="0" w:color="auto"/>
        <w:bottom w:val="none" w:sz="0" w:space="0" w:color="auto"/>
        <w:right w:val="none" w:sz="0" w:space="0" w:color="auto"/>
      </w:divBdr>
    </w:div>
    <w:div w:id="474757686">
      <w:marLeft w:val="0"/>
      <w:marRight w:val="0"/>
      <w:marTop w:val="0"/>
      <w:marBottom w:val="0"/>
      <w:divBdr>
        <w:top w:val="none" w:sz="0" w:space="0" w:color="auto"/>
        <w:left w:val="none" w:sz="0" w:space="0" w:color="auto"/>
        <w:bottom w:val="none" w:sz="0" w:space="0" w:color="auto"/>
        <w:right w:val="none" w:sz="0" w:space="0" w:color="auto"/>
      </w:divBdr>
    </w:div>
    <w:div w:id="502739935">
      <w:marLeft w:val="0"/>
      <w:marRight w:val="0"/>
      <w:marTop w:val="0"/>
      <w:marBottom w:val="0"/>
      <w:divBdr>
        <w:top w:val="none" w:sz="0" w:space="0" w:color="auto"/>
        <w:left w:val="none" w:sz="0" w:space="0" w:color="auto"/>
        <w:bottom w:val="none" w:sz="0" w:space="0" w:color="auto"/>
        <w:right w:val="none" w:sz="0" w:space="0" w:color="auto"/>
      </w:divBdr>
    </w:div>
    <w:div w:id="511650485">
      <w:marLeft w:val="0"/>
      <w:marRight w:val="0"/>
      <w:marTop w:val="0"/>
      <w:marBottom w:val="0"/>
      <w:divBdr>
        <w:top w:val="none" w:sz="0" w:space="0" w:color="auto"/>
        <w:left w:val="none" w:sz="0" w:space="0" w:color="auto"/>
        <w:bottom w:val="none" w:sz="0" w:space="0" w:color="auto"/>
        <w:right w:val="none" w:sz="0" w:space="0" w:color="auto"/>
      </w:divBdr>
    </w:div>
    <w:div w:id="539781399">
      <w:marLeft w:val="0"/>
      <w:marRight w:val="0"/>
      <w:marTop w:val="0"/>
      <w:marBottom w:val="0"/>
      <w:divBdr>
        <w:top w:val="none" w:sz="0" w:space="0" w:color="auto"/>
        <w:left w:val="none" w:sz="0" w:space="0" w:color="auto"/>
        <w:bottom w:val="none" w:sz="0" w:space="0" w:color="auto"/>
        <w:right w:val="none" w:sz="0" w:space="0" w:color="auto"/>
      </w:divBdr>
    </w:div>
    <w:div w:id="566382771">
      <w:marLeft w:val="0"/>
      <w:marRight w:val="0"/>
      <w:marTop w:val="0"/>
      <w:marBottom w:val="0"/>
      <w:divBdr>
        <w:top w:val="none" w:sz="0" w:space="0" w:color="auto"/>
        <w:left w:val="none" w:sz="0" w:space="0" w:color="auto"/>
        <w:bottom w:val="none" w:sz="0" w:space="0" w:color="auto"/>
        <w:right w:val="none" w:sz="0" w:space="0" w:color="auto"/>
      </w:divBdr>
    </w:div>
    <w:div w:id="596602206">
      <w:marLeft w:val="0"/>
      <w:marRight w:val="0"/>
      <w:marTop w:val="0"/>
      <w:marBottom w:val="0"/>
      <w:divBdr>
        <w:top w:val="none" w:sz="0" w:space="0" w:color="auto"/>
        <w:left w:val="none" w:sz="0" w:space="0" w:color="auto"/>
        <w:bottom w:val="none" w:sz="0" w:space="0" w:color="auto"/>
        <w:right w:val="none" w:sz="0" w:space="0" w:color="auto"/>
      </w:divBdr>
    </w:div>
    <w:div w:id="603807346">
      <w:marLeft w:val="0"/>
      <w:marRight w:val="0"/>
      <w:marTop w:val="0"/>
      <w:marBottom w:val="0"/>
      <w:divBdr>
        <w:top w:val="none" w:sz="0" w:space="0" w:color="auto"/>
        <w:left w:val="none" w:sz="0" w:space="0" w:color="auto"/>
        <w:bottom w:val="none" w:sz="0" w:space="0" w:color="auto"/>
        <w:right w:val="none" w:sz="0" w:space="0" w:color="auto"/>
      </w:divBdr>
    </w:div>
    <w:div w:id="646398076">
      <w:marLeft w:val="0"/>
      <w:marRight w:val="0"/>
      <w:marTop w:val="0"/>
      <w:marBottom w:val="0"/>
      <w:divBdr>
        <w:top w:val="none" w:sz="0" w:space="0" w:color="auto"/>
        <w:left w:val="none" w:sz="0" w:space="0" w:color="auto"/>
        <w:bottom w:val="none" w:sz="0" w:space="0" w:color="auto"/>
        <w:right w:val="none" w:sz="0" w:space="0" w:color="auto"/>
      </w:divBdr>
    </w:div>
    <w:div w:id="709887919">
      <w:marLeft w:val="0"/>
      <w:marRight w:val="0"/>
      <w:marTop w:val="0"/>
      <w:marBottom w:val="0"/>
      <w:divBdr>
        <w:top w:val="none" w:sz="0" w:space="0" w:color="auto"/>
        <w:left w:val="none" w:sz="0" w:space="0" w:color="auto"/>
        <w:bottom w:val="none" w:sz="0" w:space="0" w:color="auto"/>
        <w:right w:val="none" w:sz="0" w:space="0" w:color="auto"/>
      </w:divBdr>
    </w:div>
    <w:div w:id="741803696">
      <w:marLeft w:val="0"/>
      <w:marRight w:val="0"/>
      <w:marTop w:val="0"/>
      <w:marBottom w:val="0"/>
      <w:divBdr>
        <w:top w:val="none" w:sz="0" w:space="0" w:color="auto"/>
        <w:left w:val="none" w:sz="0" w:space="0" w:color="auto"/>
        <w:bottom w:val="none" w:sz="0" w:space="0" w:color="auto"/>
        <w:right w:val="none" w:sz="0" w:space="0" w:color="auto"/>
      </w:divBdr>
    </w:div>
    <w:div w:id="759179147">
      <w:marLeft w:val="0"/>
      <w:marRight w:val="0"/>
      <w:marTop w:val="0"/>
      <w:marBottom w:val="0"/>
      <w:divBdr>
        <w:top w:val="none" w:sz="0" w:space="0" w:color="auto"/>
        <w:left w:val="none" w:sz="0" w:space="0" w:color="auto"/>
        <w:bottom w:val="none" w:sz="0" w:space="0" w:color="auto"/>
        <w:right w:val="none" w:sz="0" w:space="0" w:color="auto"/>
      </w:divBdr>
    </w:div>
    <w:div w:id="793183748">
      <w:marLeft w:val="0"/>
      <w:marRight w:val="0"/>
      <w:marTop w:val="0"/>
      <w:marBottom w:val="0"/>
      <w:divBdr>
        <w:top w:val="none" w:sz="0" w:space="0" w:color="auto"/>
        <w:left w:val="none" w:sz="0" w:space="0" w:color="auto"/>
        <w:bottom w:val="none" w:sz="0" w:space="0" w:color="auto"/>
        <w:right w:val="none" w:sz="0" w:space="0" w:color="auto"/>
      </w:divBdr>
    </w:div>
    <w:div w:id="805438549">
      <w:marLeft w:val="0"/>
      <w:marRight w:val="0"/>
      <w:marTop w:val="0"/>
      <w:marBottom w:val="0"/>
      <w:divBdr>
        <w:top w:val="none" w:sz="0" w:space="0" w:color="auto"/>
        <w:left w:val="none" w:sz="0" w:space="0" w:color="auto"/>
        <w:bottom w:val="none" w:sz="0" w:space="0" w:color="auto"/>
        <w:right w:val="none" w:sz="0" w:space="0" w:color="auto"/>
      </w:divBdr>
    </w:div>
    <w:div w:id="887375818">
      <w:marLeft w:val="0"/>
      <w:marRight w:val="0"/>
      <w:marTop w:val="0"/>
      <w:marBottom w:val="0"/>
      <w:divBdr>
        <w:top w:val="none" w:sz="0" w:space="0" w:color="auto"/>
        <w:left w:val="none" w:sz="0" w:space="0" w:color="auto"/>
        <w:bottom w:val="none" w:sz="0" w:space="0" w:color="auto"/>
        <w:right w:val="none" w:sz="0" w:space="0" w:color="auto"/>
      </w:divBdr>
    </w:div>
    <w:div w:id="904266622">
      <w:marLeft w:val="0"/>
      <w:marRight w:val="0"/>
      <w:marTop w:val="0"/>
      <w:marBottom w:val="0"/>
      <w:divBdr>
        <w:top w:val="none" w:sz="0" w:space="0" w:color="auto"/>
        <w:left w:val="none" w:sz="0" w:space="0" w:color="auto"/>
        <w:bottom w:val="none" w:sz="0" w:space="0" w:color="auto"/>
        <w:right w:val="none" w:sz="0" w:space="0" w:color="auto"/>
      </w:divBdr>
    </w:div>
    <w:div w:id="927812971">
      <w:marLeft w:val="0"/>
      <w:marRight w:val="0"/>
      <w:marTop w:val="0"/>
      <w:marBottom w:val="0"/>
      <w:divBdr>
        <w:top w:val="none" w:sz="0" w:space="0" w:color="auto"/>
        <w:left w:val="none" w:sz="0" w:space="0" w:color="auto"/>
        <w:bottom w:val="none" w:sz="0" w:space="0" w:color="auto"/>
        <w:right w:val="none" w:sz="0" w:space="0" w:color="auto"/>
      </w:divBdr>
    </w:div>
    <w:div w:id="977222265">
      <w:marLeft w:val="0"/>
      <w:marRight w:val="0"/>
      <w:marTop w:val="0"/>
      <w:marBottom w:val="0"/>
      <w:divBdr>
        <w:top w:val="none" w:sz="0" w:space="0" w:color="auto"/>
        <w:left w:val="none" w:sz="0" w:space="0" w:color="auto"/>
        <w:bottom w:val="none" w:sz="0" w:space="0" w:color="auto"/>
        <w:right w:val="none" w:sz="0" w:space="0" w:color="auto"/>
      </w:divBdr>
    </w:div>
    <w:div w:id="1037705506">
      <w:marLeft w:val="0"/>
      <w:marRight w:val="0"/>
      <w:marTop w:val="0"/>
      <w:marBottom w:val="0"/>
      <w:divBdr>
        <w:top w:val="none" w:sz="0" w:space="0" w:color="auto"/>
        <w:left w:val="none" w:sz="0" w:space="0" w:color="auto"/>
        <w:bottom w:val="none" w:sz="0" w:space="0" w:color="auto"/>
        <w:right w:val="none" w:sz="0" w:space="0" w:color="auto"/>
      </w:divBdr>
    </w:div>
    <w:div w:id="1055349470">
      <w:marLeft w:val="0"/>
      <w:marRight w:val="0"/>
      <w:marTop w:val="0"/>
      <w:marBottom w:val="0"/>
      <w:divBdr>
        <w:top w:val="none" w:sz="0" w:space="0" w:color="auto"/>
        <w:left w:val="none" w:sz="0" w:space="0" w:color="auto"/>
        <w:bottom w:val="none" w:sz="0" w:space="0" w:color="auto"/>
        <w:right w:val="none" w:sz="0" w:space="0" w:color="auto"/>
      </w:divBdr>
    </w:div>
    <w:div w:id="1193231225">
      <w:marLeft w:val="0"/>
      <w:marRight w:val="0"/>
      <w:marTop w:val="0"/>
      <w:marBottom w:val="0"/>
      <w:divBdr>
        <w:top w:val="none" w:sz="0" w:space="0" w:color="auto"/>
        <w:left w:val="none" w:sz="0" w:space="0" w:color="auto"/>
        <w:bottom w:val="none" w:sz="0" w:space="0" w:color="auto"/>
        <w:right w:val="none" w:sz="0" w:space="0" w:color="auto"/>
      </w:divBdr>
    </w:div>
    <w:div w:id="1203442858">
      <w:marLeft w:val="0"/>
      <w:marRight w:val="0"/>
      <w:marTop w:val="0"/>
      <w:marBottom w:val="0"/>
      <w:divBdr>
        <w:top w:val="none" w:sz="0" w:space="0" w:color="auto"/>
        <w:left w:val="none" w:sz="0" w:space="0" w:color="auto"/>
        <w:bottom w:val="none" w:sz="0" w:space="0" w:color="auto"/>
        <w:right w:val="none" w:sz="0" w:space="0" w:color="auto"/>
      </w:divBdr>
    </w:div>
    <w:div w:id="1207064400">
      <w:marLeft w:val="0"/>
      <w:marRight w:val="0"/>
      <w:marTop w:val="0"/>
      <w:marBottom w:val="0"/>
      <w:divBdr>
        <w:top w:val="none" w:sz="0" w:space="0" w:color="auto"/>
        <w:left w:val="none" w:sz="0" w:space="0" w:color="auto"/>
        <w:bottom w:val="none" w:sz="0" w:space="0" w:color="auto"/>
        <w:right w:val="none" w:sz="0" w:space="0" w:color="auto"/>
      </w:divBdr>
    </w:div>
    <w:div w:id="1234583828">
      <w:marLeft w:val="0"/>
      <w:marRight w:val="0"/>
      <w:marTop w:val="0"/>
      <w:marBottom w:val="0"/>
      <w:divBdr>
        <w:top w:val="none" w:sz="0" w:space="0" w:color="auto"/>
        <w:left w:val="none" w:sz="0" w:space="0" w:color="auto"/>
        <w:bottom w:val="none" w:sz="0" w:space="0" w:color="auto"/>
        <w:right w:val="none" w:sz="0" w:space="0" w:color="auto"/>
      </w:divBdr>
    </w:div>
    <w:div w:id="1283069948">
      <w:marLeft w:val="0"/>
      <w:marRight w:val="0"/>
      <w:marTop w:val="0"/>
      <w:marBottom w:val="0"/>
      <w:divBdr>
        <w:top w:val="none" w:sz="0" w:space="0" w:color="auto"/>
        <w:left w:val="none" w:sz="0" w:space="0" w:color="auto"/>
        <w:bottom w:val="none" w:sz="0" w:space="0" w:color="auto"/>
        <w:right w:val="none" w:sz="0" w:space="0" w:color="auto"/>
      </w:divBdr>
    </w:div>
    <w:div w:id="1360467141">
      <w:marLeft w:val="0"/>
      <w:marRight w:val="0"/>
      <w:marTop w:val="0"/>
      <w:marBottom w:val="0"/>
      <w:divBdr>
        <w:top w:val="none" w:sz="0" w:space="0" w:color="auto"/>
        <w:left w:val="none" w:sz="0" w:space="0" w:color="auto"/>
        <w:bottom w:val="none" w:sz="0" w:space="0" w:color="auto"/>
        <w:right w:val="none" w:sz="0" w:space="0" w:color="auto"/>
      </w:divBdr>
    </w:div>
    <w:div w:id="1367946392">
      <w:marLeft w:val="0"/>
      <w:marRight w:val="0"/>
      <w:marTop w:val="0"/>
      <w:marBottom w:val="0"/>
      <w:divBdr>
        <w:top w:val="none" w:sz="0" w:space="0" w:color="auto"/>
        <w:left w:val="none" w:sz="0" w:space="0" w:color="auto"/>
        <w:bottom w:val="none" w:sz="0" w:space="0" w:color="auto"/>
        <w:right w:val="none" w:sz="0" w:space="0" w:color="auto"/>
      </w:divBdr>
    </w:div>
    <w:div w:id="1386835768">
      <w:marLeft w:val="0"/>
      <w:marRight w:val="0"/>
      <w:marTop w:val="0"/>
      <w:marBottom w:val="0"/>
      <w:divBdr>
        <w:top w:val="none" w:sz="0" w:space="0" w:color="auto"/>
        <w:left w:val="none" w:sz="0" w:space="0" w:color="auto"/>
        <w:bottom w:val="none" w:sz="0" w:space="0" w:color="auto"/>
        <w:right w:val="none" w:sz="0" w:space="0" w:color="auto"/>
      </w:divBdr>
    </w:div>
    <w:div w:id="1394349006">
      <w:marLeft w:val="0"/>
      <w:marRight w:val="0"/>
      <w:marTop w:val="0"/>
      <w:marBottom w:val="0"/>
      <w:divBdr>
        <w:top w:val="none" w:sz="0" w:space="0" w:color="auto"/>
        <w:left w:val="none" w:sz="0" w:space="0" w:color="auto"/>
        <w:bottom w:val="none" w:sz="0" w:space="0" w:color="auto"/>
        <w:right w:val="none" w:sz="0" w:space="0" w:color="auto"/>
      </w:divBdr>
    </w:div>
    <w:div w:id="1406341992">
      <w:marLeft w:val="0"/>
      <w:marRight w:val="0"/>
      <w:marTop w:val="0"/>
      <w:marBottom w:val="0"/>
      <w:divBdr>
        <w:top w:val="none" w:sz="0" w:space="0" w:color="auto"/>
        <w:left w:val="none" w:sz="0" w:space="0" w:color="auto"/>
        <w:bottom w:val="none" w:sz="0" w:space="0" w:color="auto"/>
        <w:right w:val="none" w:sz="0" w:space="0" w:color="auto"/>
      </w:divBdr>
    </w:div>
    <w:div w:id="1418866712">
      <w:marLeft w:val="0"/>
      <w:marRight w:val="0"/>
      <w:marTop w:val="0"/>
      <w:marBottom w:val="0"/>
      <w:divBdr>
        <w:top w:val="none" w:sz="0" w:space="0" w:color="auto"/>
        <w:left w:val="none" w:sz="0" w:space="0" w:color="auto"/>
        <w:bottom w:val="none" w:sz="0" w:space="0" w:color="auto"/>
        <w:right w:val="none" w:sz="0" w:space="0" w:color="auto"/>
      </w:divBdr>
    </w:div>
    <w:div w:id="1419475516">
      <w:marLeft w:val="0"/>
      <w:marRight w:val="0"/>
      <w:marTop w:val="0"/>
      <w:marBottom w:val="0"/>
      <w:divBdr>
        <w:top w:val="none" w:sz="0" w:space="0" w:color="auto"/>
        <w:left w:val="none" w:sz="0" w:space="0" w:color="auto"/>
        <w:bottom w:val="none" w:sz="0" w:space="0" w:color="auto"/>
        <w:right w:val="none" w:sz="0" w:space="0" w:color="auto"/>
      </w:divBdr>
    </w:div>
    <w:div w:id="1424257413">
      <w:marLeft w:val="0"/>
      <w:marRight w:val="0"/>
      <w:marTop w:val="0"/>
      <w:marBottom w:val="0"/>
      <w:divBdr>
        <w:top w:val="none" w:sz="0" w:space="0" w:color="auto"/>
        <w:left w:val="none" w:sz="0" w:space="0" w:color="auto"/>
        <w:bottom w:val="none" w:sz="0" w:space="0" w:color="auto"/>
        <w:right w:val="none" w:sz="0" w:space="0" w:color="auto"/>
      </w:divBdr>
    </w:div>
    <w:div w:id="1428189981">
      <w:marLeft w:val="0"/>
      <w:marRight w:val="0"/>
      <w:marTop w:val="0"/>
      <w:marBottom w:val="0"/>
      <w:divBdr>
        <w:top w:val="none" w:sz="0" w:space="0" w:color="auto"/>
        <w:left w:val="none" w:sz="0" w:space="0" w:color="auto"/>
        <w:bottom w:val="none" w:sz="0" w:space="0" w:color="auto"/>
        <w:right w:val="none" w:sz="0" w:space="0" w:color="auto"/>
      </w:divBdr>
    </w:div>
    <w:div w:id="1559972643">
      <w:marLeft w:val="0"/>
      <w:marRight w:val="0"/>
      <w:marTop w:val="0"/>
      <w:marBottom w:val="0"/>
      <w:divBdr>
        <w:top w:val="none" w:sz="0" w:space="0" w:color="auto"/>
        <w:left w:val="none" w:sz="0" w:space="0" w:color="auto"/>
        <w:bottom w:val="none" w:sz="0" w:space="0" w:color="auto"/>
        <w:right w:val="none" w:sz="0" w:space="0" w:color="auto"/>
      </w:divBdr>
    </w:div>
    <w:div w:id="1578858643">
      <w:marLeft w:val="0"/>
      <w:marRight w:val="0"/>
      <w:marTop w:val="0"/>
      <w:marBottom w:val="0"/>
      <w:divBdr>
        <w:top w:val="none" w:sz="0" w:space="0" w:color="auto"/>
        <w:left w:val="none" w:sz="0" w:space="0" w:color="auto"/>
        <w:bottom w:val="none" w:sz="0" w:space="0" w:color="auto"/>
        <w:right w:val="none" w:sz="0" w:space="0" w:color="auto"/>
      </w:divBdr>
    </w:div>
    <w:div w:id="1591505282">
      <w:marLeft w:val="0"/>
      <w:marRight w:val="0"/>
      <w:marTop w:val="0"/>
      <w:marBottom w:val="0"/>
      <w:divBdr>
        <w:top w:val="none" w:sz="0" w:space="0" w:color="auto"/>
        <w:left w:val="none" w:sz="0" w:space="0" w:color="auto"/>
        <w:bottom w:val="none" w:sz="0" w:space="0" w:color="auto"/>
        <w:right w:val="none" w:sz="0" w:space="0" w:color="auto"/>
      </w:divBdr>
    </w:div>
    <w:div w:id="1606646977">
      <w:marLeft w:val="0"/>
      <w:marRight w:val="0"/>
      <w:marTop w:val="0"/>
      <w:marBottom w:val="0"/>
      <w:divBdr>
        <w:top w:val="none" w:sz="0" w:space="0" w:color="auto"/>
        <w:left w:val="none" w:sz="0" w:space="0" w:color="auto"/>
        <w:bottom w:val="none" w:sz="0" w:space="0" w:color="auto"/>
        <w:right w:val="none" w:sz="0" w:space="0" w:color="auto"/>
      </w:divBdr>
    </w:div>
    <w:div w:id="1673750866">
      <w:marLeft w:val="0"/>
      <w:marRight w:val="0"/>
      <w:marTop w:val="0"/>
      <w:marBottom w:val="0"/>
      <w:divBdr>
        <w:top w:val="none" w:sz="0" w:space="0" w:color="auto"/>
        <w:left w:val="none" w:sz="0" w:space="0" w:color="auto"/>
        <w:bottom w:val="none" w:sz="0" w:space="0" w:color="auto"/>
        <w:right w:val="none" w:sz="0" w:space="0" w:color="auto"/>
      </w:divBdr>
    </w:div>
    <w:div w:id="1706900839">
      <w:marLeft w:val="0"/>
      <w:marRight w:val="0"/>
      <w:marTop w:val="0"/>
      <w:marBottom w:val="0"/>
      <w:divBdr>
        <w:top w:val="none" w:sz="0" w:space="0" w:color="auto"/>
        <w:left w:val="none" w:sz="0" w:space="0" w:color="auto"/>
        <w:bottom w:val="none" w:sz="0" w:space="0" w:color="auto"/>
        <w:right w:val="none" w:sz="0" w:space="0" w:color="auto"/>
      </w:divBdr>
    </w:div>
    <w:div w:id="1710565799">
      <w:marLeft w:val="0"/>
      <w:marRight w:val="0"/>
      <w:marTop w:val="0"/>
      <w:marBottom w:val="0"/>
      <w:divBdr>
        <w:top w:val="none" w:sz="0" w:space="0" w:color="auto"/>
        <w:left w:val="none" w:sz="0" w:space="0" w:color="auto"/>
        <w:bottom w:val="none" w:sz="0" w:space="0" w:color="auto"/>
        <w:right w:val="none" w:sz="0" w:space="0" w:color="auto"/>
      </w:divBdr>
    </w:div>
    <w:div w:id="1714496342">
      <w:marLeft w:val="0"/>
      <w:marRight w:val="0"/>
      <w:marTop w:val="0"/>
      <w:marBottom w:val="0"/>
      <w:divBdr>
        <w:top w:val="none" w:sz="0" w:space="0" w:color="auto"/>
        <w:left w:val="none" w:sz="0" w:space="0" w:color="auto"/>
        <w:bottom w:val="none" w:sz="0" w:space="0" w:color="auto"/>
        <w:right w:val="none" w:sz="0" w:space="0" w:color="auto"/>
      </w:divBdr>
    </w:div>
    <w:div w:id="1757749329">
      <w:marLeft w:val="0"/>
      <w:marRight w:val="0"/>
      <w:marTop w:val="0"/>
      <w:marBottom w:val="0"/>
      <w:divBdr>
        <w:top w:val="none" w:sz="0" w:space="0" w:color="auto"/>
        <w:left w:val="none" w:sz="0" w:space="0" w:color="auto"/>
        <w:bottom w:val="none" w:sz="0" w:space="0" w:color="auto"/>
        <w:right w:val="none" w:sz="0" w:space="0" w:color="auto"/>
      </w:divBdr>
    </w:div>
    <w:div w:id="1773552007">
      <w:marLeft w:val="0"/>
      <w:marRight w:val="0"/>
      <w:marTop w:val="0"/>
      <w:marBottom w:val="0"/>
      <w:divBdr>
        <w:top w:val="none" w:sz="0" w:space="0" w:color="auto"/>
        <w:left w:val="none" w:sz="0" w:space="0" w:color="auto"/>
        <w:bottom w:val="none" w:sz="0" w:space="0" w:color="auto"/>
        <w:right w:val="none" w:sz="0" w:space="0" w:color="auto"/>
      </w:divBdr>
    </w:div>
    <w:div w:id="1843279283">
      <w:marLeft w:val="0"/>
      <w:marRight w:val="0"/>
      <w:marTop w:val="0"/>
      <w:marBottom w:val="0"/>
      <w:divBdr>
        <w:top w:val="none" w:sz="0" w:space="0" w:color="auto"/>
        <w:left w:val="none" w:sz="0" w:space="0" w:color="auto"/>
        <w:bottom w:val="none" w:sz="0" w:space="0" w:color="auto"/>
        <w:right w:val="none" w:sz="0" w:space="0" w:color="auto"/>
      </w:divBdr>
    </w:div>
    <w:div w:id="1864392612">
      <w:marLeft w:val="0"/>
      <w:marRight w:val="0"/>
      <w:marTop w:val="0"/>
      <w:marBottom w:val="0"/>
      <w:divBdr>
        <w:top w:val="none" w:sz="0" w:space="0" w:color="auto"/>
        <w:left w:val="none" w:sz="0" w:space="0" w:color="auto"/>
        <w:bottom w:val="none" w:sz="0" w:space="0" w:color="auto"/>
        <w:right w:val="none" w:sz="0" w:space="0" w:color="auto"/>
      </w:divBdr>
    </w:div>
    <w:div w:id="1888642035">
      <w:marLeft w:val="0"/>
      <w:marRight w:val="0"/>
      <w:marTop w:val="0"/>
      <w:marBottom w:val="0"/>
      <w:divBdr>
        <w:top w:val="none" w:sz="0" w:space="0" w:color="auto"/>
        <w:left w:val="none" w:sz="0" w:space="0" w:color="auto"/>
        <w:bottom w:val="none" w:sz="0" w:space="0" w:color="auto"/>
        <w:right w:val="none" w:sz="0" w:space="0" w:color="auto"/>
      </w:divBdr>
    </w:div>
    <w:div w:id="1917201925">
      <w:marLeft w:val="0"/>
      <w:marRight w:val="0"/>
      <w:marTop w:val="0"/>
      <w:marBottom w:val="0"/>
      <w:divBdr>
        <w:top w:val="none" w:sz="0" w:space="0" w:color="auto"/>
        <w:left w:val="none" w:sz="0" w:space="0" w:color="auto"/>
        <w:bottom w:val="none" w:sz="0" w:space="0" w:color="auto"/>
        <w:right w:val="none" w:sz="0" w:space="0" w:color="auto"/>
      </w:divBdr>
    </w:div>
    <w:div w:id="2070956544">
      <w:marLeft w:val="0"/>
      <w:marRight w:val="0"/>
      <w:marTop w:val="0"/>
      <w:marBottom w:val="0"/>
      <w:divBdr>
        <w:top w:val="none" w:sz="0" w:space="0" w:color="auto"/>
        <w:left w:val="none" w:sz="0" w:space="0" w:color="auto"/>
        <w:bottom w:val="none" w:sz="0" w:space="0" w:color="auto"/>
        <w:right w:val="none" w:sz="0" w:space="0" w:color="auto"/>
      </w:divBdr>
    </w:div>
    <w:div w:id="2092892749">
      <w:marLeft w:val="0"/>
      <w:marRight w:val="0"/>
      <w:marTop w:val="0"/>
      <w:marBottom w:val="0"/>
      <w:divBdr>
        <w:top w:val="none" w:sz="0" w:space="0" w:color="auto"/>
        <w:left w:val="none" w:sz="0" w:space="0" w:color="auto"/>
        <w:bottom w:val="none" w:sz="0" w:space="0" w:color="auto"/>
        <w:right w:val="none" w:sz="0" w:space="0" w:color="auto"/>
      </w:divBdr>
    </w:div>
    <w:div w:id="2105373501">
      <w:marLeft w:val="0"/>
      <w:marRight w:val="0"/>
      <w:marTop w:val="0"/>
      <w:marBottom w:val="0"/>
      <w:divBdr>
        <w:top w:val="none" w:sz="0" w:space="0" w:color="auto"/>
        <w:left w:val="none" w:sz="0" w:space="0" w:color="auto"/>
        <w:bottom w:val="none" w:sz="0" w:space="0" w:color="auto"/>
        <w:right w:val="none" w:sz="0" w:space="0" w:color="auto"/>
      </w:divBdr>
    </w:div>
    <w:div w:id="21220654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althequitynorth.co.uk" TargetMode="External"/><Relationship Id="rId13" Type="http://schemas.openxmlformats.org/officeDocument/2006/relationships/hyperlink" Target="https://www.england.nhs.uk/about/equality/equality-hub/national-healthcare-inequalities-improvement-programme/core20plus5/" TargetMode="External"/><Relationship Id="rId18" Type="http://schemas.openxmlformats.org/officeDocument/2006/relationships/hyperlink" Target="https://data.unicef.org/sdgs/goal-3-good-health-wellbeing/?utm_source=chatgp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stats.un.org/sdgs/report/2025/goal-03/" TargetMode="External"/><Relationship Id="rId7" Type="http://schemas.openxmlformats.org/officeDocument/2006/relationships/hyperlink" Target="https://iris.who.int/" TargetMode="External"/><Relationship Id="rId12" Type="http://schemas.openxmlformats.org/officeDocument/2006/relationships/hyperlink" Target="http://www.longtermplan.nhs.uk" TargetMode="External"/><Relationship Id="rId17" Type="http://schemas.openxmlformats.org/officeDocument/2006/relationships/hyperlink" Target="https://6b.health/insight/summary-of-all-42-nhs-integrated-care-system-ics-strategies/" TargetMode="External"/><Relationship Id="rId25" Type="http://schemas.openxmlformats.org/officeDocument/2006/relationships/hyperlink" Target="https://www.who.int/health-topicus/universal-health-coverage" TargetMode="External"/><Relationship Id="rId2" Type="http://schemas.openxmlformats.org/officeDocument/2006/relationships/numbering" Target="numbering.xml"/><Relationship Id="rId16" Type="http://schemas.openxmlformats.org/officeDocument/2006/relationships/hyperlink" Target="https://www.ons.gov.uk/peoplepopulationandcommunity/birthsdeathsandmarriages/deaths/bulletins/childhoodinfantandperinatalmortalityinenglandandwales/2022" TargetMode="External"/><Relationship Id="rId20" Type="http://schemas.openxmlformats.org/officeDocument/2006/relationships/hyperlink" Target="https://www.un.org/sustainabledevelopment/health/?utm_source=chatgpt.co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mdgmonitor.org/sdg10-reduce-inequality-in-people-within-and-among-countries/" TargetMode="External"/><Relationship Id="rId24" Type="http://schemas.openxmlformats.org/officeDocument/2006/relationships/hyperlink" Target="https://www.worldbank.org/en/publication/wdr2022/brief/chapter-1-introduction-the-economic-impacts-of-the-covid-19-crisis" TargetMode="External"/><Relationship Id="rId5" Type="http://schemas.openxmlformats.org/officeDocument/2006/relationships/webSettings" Target="webSettings.xml"/><Relationship Id="rId15" Type="http://schemas.openxmlformats.org/officeDocument/2006/relationships/hyperlink" Target="https://nhscampaign.org/issues/staff-shortages-copy-4/" TargetMode="External"/><Relationship Id="rId23" Type="http://schemas.openxmlformats.org/officeDocument/2006/relationships/hyperlink" Target="https://unsdg.un.org/sites/default/files/2019-11/UNSDG-SDG-Primer-Report.pdf" TargetMode="External"/><Relationship Id="rId10" Type="http://schemas.openxmlformats.org/officeDocument/2006/relationships/hyperlink" Target="https://haringey.gov.uk/health-wellbeing/healthy-schools-programme/asthma-friendly-schools" TargetMode="External"/><Relationship Id="rId19" Type="http://schemas.openxmlformats.org/officeDocument/2006/relationships/hyperlink" Target="https://sdgs.un.org/2030agenda?utm_source=chatgpt.com" TargetMode="External"/><Relationship Id="rId4" Type="http://schemas.openxmlformats.org/officeDocument/2006/relationships/settings" Target="settings.xml"/><Relationship Id="rId9" Type="http://schemas.openxmlformats.org/officeDocument/2006/relationships/hyperlink" Target="https://www.birmingham.gov.uk/info/50119/health_and_wellbeing_board/1300/health_and_wellbeing_strategy" TargetMode="External"/><Relationship Id="rId14" Type="http://schemas.openxmlformats.org/officeDocument/2006/relationships/hyperlink" Target="https://nhsrho.org/news/new-review-calls-for-radical-action-on-stark-ethnic-inequalities-across-healthcare/" TargetMode="External"/><Relationship Id="rId22" Type="http://schemas.openxmlformats.org/officeDocument/2006/relationships/hyperlink" Target="https://www.undp.org/sustainable-development-goals?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CD62D7-2460-4A31-B147-5D83F9B3F492}">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5160290302"/>
    <we:property name="MENDELEY_CITATIONS" value="[{&quot;citationID&quot;:&quot;MENDELEY_CITATION_fa4468b3-f11a-4a89-bf25-dc09160439d2&quot;,&quot;properties&quot;:{&quot;noteIndex&quot;:0},&quot;isEdited&quot;:false,&quot;manualOverride&quot;:{&quot;isManuallyOverridden&quot;:false,&quot;citeprocText&quot;:&quot;(Schramme, 2023)&quot;,&quot;manualOverrideText&quot;:&quot;&quot;},&quot;citationTag&quot;:&quot;MENDELEY_CITATION_v3_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&quot;,&quot;citationItems&quot;:[{&quot;id&quot;:&quot;6ba86f2d-8d5c-3869-91c1-856362188f2a&quot;,&quot;itemData&quot;:{&quot;type&quot;:&quot;article-journal&quot;,&quot;id&quot;:&quot;6ba86f2d-8d5c-3869-91c1-856362188f2a&quot;,&quot;title&quot;:&quot;Health as Complete Well-Being: The WHO Definition and Beyond&quot;,&quot;author&quot;:[{&quot;family&quot;:&quot;Schramme&quot;,&quot;given&quot;:&quot;Thomas&quot;,&quot;parse-names&quot;:false,&quot;dropping-particle&quot;:&quot;&quot;,&quot;non-dropping-particle&quot;:&quot;&quot;}],&quot;container-title&quot;:&quot;Public Health Ethics&quot;,&quot;container-title-short&quot;:&quot;Public Health Ethics&quot;,&quot;accessed&quot;:{&quot;date-parts&quot;:[[2026,4,2]]},&quot;DOI&quot;:&quot;10.1093/PHE/PHAD017&quot;,&quot;ISSN&quot;:&quot;17549981&quot;,&quot;PMID&quot;:&quot;38333767&quot;,&quot;URL&quot;:&quot;https://pmc.ncbi.nlm.nih.gov/articles/PMC10849326/&quot;,&quot;issued&quot;:{&quot;date-parts&quot;:[[2023,11,1]]},&quot;page&quot;:&quot;210&quot;,&quot;abstract&quot;:&quot;The paper defends the World Health Organisation (WHO) definition of health against widespread criticism. The common objections are due to a possible misinterpretation of the word complete in the descriptor of health as ‘complete physical, mental and social well-being’. Complete here does not necessarily refer to perfect well-being but can alternatively mean exhaustive well-being, that is, containing all its constitutive features. In line with the alternative reading, I argue that the WHO definition puts forward a holistic account, not a notion of perfect health. I use historical and analytical evidence to defend this interpretation. In the second part of the paper, I further investigate the two different notions of health (holistic health and perfect health). I argue that both ideas are relevant but that the holistic interpretation is more adept for political aims.&quot;,&quot;publisher&quot;:&quot;Oxford University Press&quot;,&quot;issue&quot;:&quot;3&quot;,&quot;volume&quot;:&quot;16&quot;},&quot;isTemporary&quot;:false}]},{&quot;citationID&quot;:&quot;MENDELEY_CITATION_29bb501e-aec7-49ae-9a36-f7ce00929436&quot;,&quot;properties&quot;:{&quot;noteIndex&quot;:0},&quot;isEdited&quot;:false,&quot;manualOverride&quot;:{&quot;isManuallyOverridden&quot;:false,&quot;citeprocText&quot;:&quot;(United Nations Development Programme, no date)&quot;,&quot;manualOverrideText&quot;:&quot;&quot;},&quot;citationTag&quot;:&quot;MENDELEY_CITATION_v3_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&quot;,&quot;citationItems&quot;:[{&quot;id&quot;:&quot;803587c8-7302-30ea-af88-46f9d7eda02a&quot;,&quot;itemData&quot;:{&quot;type&quot;:&quot;webpage&quot;,&quot;id&quot;:&quot;803587c8-7302-30ea-af88-46f9d7eda02a&quot;,&quot;title&quot;:&quot;Sustainable Development Goals | United Nations Development Programme&quot;,&quot;author&quot;:[{&quot;family&quot;:&quot;United Nations Development Programme&quot;,&quot;given&quot;:&quot;&quot;,&quot;parse-names&quot;:false,&quot;dropping-particle&quot;:&quot;&quot;,&quot;non-dropping-particle&quot;:&quot;&quot;}],&quot;accessed&quot;:{&quot;date-parts&quot;:[[2026,4,2]]},&quot;URL&quot;:&quot;https://www.undp.org/sustainable-development-goals&quot;,&quot;container-title-short&quot;:&quot;&quot;},&quot;isTemporary&quot;:false}]},{&quot;citationID&quot;:&quot;MENDELEY_CITATION_21858f87-de2a-4840-94e4-0e427eae374e&quot;,&quot;properties&quot;:{&quot;noteIndex&quot;:0},&quot;isEdited&quot;:false,&quot;manualOverride&quot;:{&quot;isManuallyOverridden&quot;:false,&quot;citeprocText&quot;:&quot;(United Nations Sustainable Development Group, 2019)&quot;,&quot;manualOverrideText&quot;:&quot;&quot;},&quot;citationTag&quot;:&quot;MENDELEY_CITATION_v3_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&quot;,&quot;citationItems&quot;:[{&quot;id&quot;:&quot;4793f849-03c4-37e1-b0d1-7cbcbfdc9e27&quot;,&quot;itemData&quot;:{&quot;type&quot;:&quot;report&quot;,&quot;id&quot;:&quot;4793f849-03c4-37e1-b0d1-7cbcbfdc9e27&quot;,&quot;title&quot;:&quot;FOUNDATIONAL PRIMER ON THE 2030 AGENDA FOR SUSTAINABLE DEVELOPMENT&quot;,&quot;author&quot;:[{&quot;family&quot;:&quot;United Nations Sustainable Development Group&quot;,&quot;given&quot;:&quot;&quot;,&quot;parse-names&quot;:false,&quot;dropping-particle&quot;:&quot;&quot;,&quot;non-dropping-particle&quot;:&quot;&quot;}],&quot;accessed&quot;:{&quot;date-parts&quot;:[[2026,4,2]]},&quot;URL&quot;:&quot;https://unsdg.un.org/sites/default/files/2019-11/UNSDG-SDG-Primer-Report.pdf&quot;,&quot;issued&quot;:{&quot;date-parts&quot;:[[2019]]},&quot;container-title-short&quot;:&quot;&quot;},&quot;isTemporary&quot;:false}]},{&quot;citationID&quot;:&quot;MENDELEY_CITATION_7cce6d51-fd19-49e5-8d52-ef4808fadeaa&quot;,&quot;properties&quot;:{&quot;noteIndex&quot;:0},&quot;isEdited&quot;:false,&quot;manualOverride&quot;:{&quot;isManuallyOverridden&quot;:false,&quot;citeprocText&quot;:&quot;(&lt;i&gt;A conceptual framework for action on the social determinants of health : debates, policy &amp;#38; practice, case studies&lt;/i&gt;, 2010; United Nations Sustainable Development Group, 2019; Bailey-McHale, Whaley and Bailey-McHale, 2020; Dahlgren and Whitehead, 2021)&quot;,&quot;manualOverrideText&quot;:&quot;&quot;},&quot;citationTag&quot;:&quot;MENDELEY_CITATION_v3_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&quot;,&quot;citationItems&quot;:[{&quot;id&quot;:&quot;add64265-da68-3215-a478-e3886083e30c&quot;,&quot;itemData&quot;:{&quot;type&quot;:&quot;book&quot;,&quot;id&quot;:&quot;add64265-da68-3215-a478-e3886083e30c&quot;,&quot;title&quot;:&quot;A conceptual framework for action on the social determinants of health : debates, policy &amp; practice, case studies&quot;,&quot;accessed&quot;:{&quot;date-parts&quot;:[[2026,4,2]]},&quot;ISBN&quot;:&quot;9789241500852&quot;,&quot;URL&quot;:&quot;https://iris.who.int/&quot;,&quot;issued&quot;:{&quot;date-parts&quot;:[[2010]]},&quot;number-of-pages&quot;:&quot;75&quot;,&quot;abstract&quot;:&quot;Title from PDF title page (viewed 26 February 2014). &quot;,&quot;publisher&quot;:&quot;World Health Organization&quot;,&quot;container-title-short&quot;:&quot;&quot;},&quot;isTemporary&quot;:false},{&quot;id&quot;:&quot;aadbf289-007b-3f50-84bf-08676ca502ec&quot;,&quot;itemData&quot;:{&quot;type&quot;:&quot;article-journal&quot;,&quot;id&quot;:&quot;aadbf289-007b-3f50-84bf-08676ca502ec&quot;,&quot;title&quot;:&quot;The Dahlgren-Whitehead model of health determinants: 30 years on and still chasing rainbows&quot;,&quot;author&quot;:[{&quot;family&quot;:&quot;Dahlgren&quot;,&quot;given&quot;:&quot;Göran&quot;,&quot;parse-names&quot;:false,&quot;dropping-particle&quot;:&quot;&quot;,&quot;non-dropping-particle&quot;:&quot;&quot;},{&quot;family&quot;:&quot;Whitehead&quot;,&quot;given&quot;:&quot;Margaret&quot;,&quot;parse-names&quot;:false,&quot;dropping-particle&quot;:&quot;&quot;,&quot;non-dropping-particle&quot;:&quot;&quot;}],&quot;container-title&quot;:&quot;Public health&quot;,&quot;container-title-short&quot;:&quot;Public Health&quot;,&quot;accessed&quot;:{&quot;date-parts&quot;:[[2026,4,2]]},&quot;DOI&quot;:&quot;10.1016/J.PUHE.2021.08.009&quot;,&quot;ISSN&quot;:&quot;1476-5616&quot;,&quot;PMID&quot;:&quot;34534885&quot;,&quot;URL&quot;:&quot;https://pubmed.ncbi.nlm.nih.gov/34534885/&quot;,&quot;issued&quot;:{&quot;date-parts&quot;:[[2021,10,1]]},&quot;page&quot;:&quot;20-24&quot;,&quot;abstract&quot;:&quot;This year marks the 30th anniversary of the Dahlgren and Whitehead model of the main determinants of health, sometimes known as ‘The Rainbow Model’. In this article, we reflect on developments over those thirty years before going on to look to the future. We start by telling the story of our model's idiosyncratic journey from initial rejection to worldwide acclaim. We reflect on the many ways in which the model has been used over the years and why it has proved illuminating for people in so many different positions. It is equally important to understand what it does not do and what it was never intended to do, as sometimes the conceptual debate gets side-tracked by mistaken assumptions. We take some space to outline how we ourselves use the model with the complementary Diderichsen Framework to explain the pathways and mechanisms by which the known determinants of health bring about the social gradients in health that are observed within countries. We conclude by looking to the future and what further needs to be done to capture insights for action on the determinants and drivers of health and of growing inequalities in the post-pandemic world.&quot;,&quot;publisher&quot;:&quot;Public Health&quot;,&quot;volume&quot;:&quot;199&quot;},&quot;isTemporary&quot;:false},{&quot;id&quot;:&quot;4793f849-03c4-37e1-b0d1-7cbcbfdc9e27&quot;,&quot;itemData&quot;:{&quot;type&quot;:&quot;report&quot;,&quot;id&quot;:&quot;4793f849-03c4-37e1-b0d1-7cbcbfdc9e27&quot;,&quot;title&quot;:&quot;FOUNDATIONAL PRIMER ON THE 2030 AGENDA FOR SUSTAINABLE DEVELOPMENT&quot;,&quot;author&quot;:[{&quot;family&quot;:&quot;United Nations Sustainable Development Group&quot;,&quot;given&quot;:&quot;&quot;,&quot;parse-names&quot;:false,&quot;dropping-particle&quot;:&quot;&quot;,&quot;non-dropping-particle&quot;:&quot;&quot;}],&quot;accessed&quot;:{&quot;date-parts&quot;:[[2026,4,2]]},&quot;URL&quot;:&quot;https://unsdg.un.org/sites/default/files/2019-11/UNSDG-SDG-Primer-Report.pdf&quot;,&quot;issued&quot;:{&quot;date-parts&quot;:[[2019]]},&quot;container-title-short&quot;:&quot;&quot;},&quot;isTemporary&quot;:false},{&quot;id&quot;:&quot;3f19301e-db4d-3bf1-8d50-19e7366f8a9d&quot;,&quot;itemData&quot;:{&quot;type&quot;:&quot;article-journal&quot;,&quot;id&quot;:&quot;3f19301e-db4d-3bf1-8d50-19e7366f8a9d&quot;,&quot;title&quot;:&quot;Social Determinants of Health&quot;,&quot;author&quot;:[{&quot;family&quot;:&quot;Bailey-McHale&quot;,&quot;given&quot;:&quot;Rebecca&quot;,&quot;parse-names&quot;:false,&quot;dropping-particle&quot;:&quot;&quot;,&quot;non-dropping-particle&quot;:&quot;&quot;},{&quot;family&quot;:&quot;Whaley&quot;,&quot;given&quot;:&quot;Victoria&quot;,&quot;parse-names&quot;:false,&quot;dropping-particle&quot;:&quot;&quot;,&quot;non-dropping-particle&quot;:&quot;&quot;},{&quot;family&quot;:&quot;Bailey-McHale&quot;,&quot;given&quot;:&quot;Julie&quot;,&quot;parse-names&quot;:false,&quot;dropping-particle&quot;:&quot;&quot;,&quot;non-dropping-particle&quot;:&quot;&quot;}],&quot;accessed&quot;:{&quot;date-parts&quot;:[[2026,4,2]]},&quot;DOI&quot;:&quot;10.1007/978-3-319-95681-7_9&quot;,&quot;ISBN&quot;:&quot;978-3-319-95681-7&quot;,&quot;ISSN&quot;:&quot;2523-7411&quot;,&quot;URL&quot;:&quot;https://link.springer.com/rwe/10.1007/978-3-319-95681-7_9&quot;,&quot;issued&quot;:{&quot;date-parts&quot;:[[2020]]},&quot;page&quot;:&quot;647-657&quot;,&quot;publisher&quot;:&quot;Springer, Cham&quot;,&quot;container-title-short&quot;:&quot;&quot;},&quot;isTemporary&quot;:false}]},{&quot;citationID&quot;:&quot;MENDELEY_CITATION_8f2864b4-7094-4a11-a3f9-fdaeee5a28e0&quot;,&quot;properties&quot;:{&quot;noteIndex&quot;:0},&quot;isEdited&quot;:false,&quot;manualOverride&quot;:{&quot;isManuallyOverridden&quot;:false,&quot;citeprocText&quot;:&quot;(&lt;i&gt;SDG Goal 3: Good Health and Well-being - UNICEF DATA&lt;/i&gt;, no date)&quot;,&quot;manualOverrideText&quot;:&quot;&quot;},&quot;citationTag&quot;:&quot;MENDELEY_CITATION_v3_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&quot;,&quot;citationItems&quot;:[{&quot;id&quot;:&quot;7dcab3fc-25d9-349b-bc50-63b170eaa95a&quot;,&quot;itemData&quot;:{&quot;type&quot;:&quot;webpage&quot;,&quot;id&quot;:&quot;7dcab3fc-25d9-349b-bc50-63b170eaa95a&quot;,&quot;title&quot;:&quot;SDG Goal 3: Good Health and Well-being - UNICEF DATA&quot;,&quot;accessed&quot;:{&quot;date-parts&quot;:[[2026,4,3]]},&quot;URL&quot;:&quot;https://data.unicef.org/sdgs/goal-3-good-health-wellbeing/&quot;,&quot;container-title-short&quot;:&quot;&quot;},&quot;isTemporary&quot;:false}]},{&quot;citationID&quot;:&quot;MENDELEY_CITATION_76bbdb86-903a-4db0-b286-6db6621cc5de&quot;,&quot;properties&quot;:{&quot;noteIndex&quot;:0},&quot;isEdited&quot;:false,&quot;manualOverride&quot;:{&quot;isManuallyOverridden&quot;:false,&quot;citeprocText&quot;:&quot;(&lt;i&gt;Universal Health Coverage&lt;/i&gt;, no date)&quot;,&quot;manualOverrideText&quot;:&quot;&quot;},&quot;citationTag&quot;:&quot;MENDELEY_CITATION_v3_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&quot;,&quot;citationItems&quot;:[{&quot;id&quot;:&quot;fb7f6648-d6a6-3ff7-85eb-23095b70ddef&quot;,&quot;itemData&quot;:{&quot;type&quot;:&quot;webpage&quot;,&quot;id&quot;:&quot;fb7f6648-d6a6-3ff7-85eb-23095b70ddef&quot;,&quot;title&quot;:&quot;Universal Health Coverage&quot;,&quot;accessed&quot;:{&quot;date-parts&quot;:[[2026,4,3]]},&quot;URL&quot;:&quot;https://www.who.int/health-topics/universal-health-coverage#tab=tab_1&quot;,&quot;container-title-short&quot;:&quot;&quot;},&quot;isTemporary&quot;:false}]},{&quot;citationID&quot;:&quot;MENDELEY_CITATION_be1ce5b4-1604-40e7-b660-fae1e66afd0a&quot;,&quot;properties&quot;:{&quot;noteIndex&quot;:0},&quot;isEdited&quot;:false,&quot;manualOverride&quot;:{&quot;isManuallyOverridden&quot;:false,&quot;citeprocText&quot;:&quot;(&lt;i&gt;Transforming our world: the 2030 Agenda for Sustainable Development | Department of Economic and Social Affairs&lt;/i&gt;, no date)&quot;,&quot;manualOverrideText&quot;:&quot;&quot;},&quot;citationTag&quot;:&quot;MENDELEY_CITATION_v3_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&quot;,&quot;citationItems&quot;:[{&quot;id&quot;:&quot;fb833600-b31f-31d5-bc20-4bd8a82d17ab&quot;,&quot;itemData&quot;:{&quot;type&quot;:&quot;webpage&quot;,&quot;id&quot;:&quot;fb833600-b31f-31d5-bc20-4bd8a82d17ab&quot;,&quot;title&quot;:&quot;Transforming our world: the 2030 Agenda for Sustainable Development | Department of Economic and Social Affairs&quot;,&quot;accessed&quot;:{&quot;date-parts&quot;:[[2026,4,3]]},&quot;URL&quot;:&quot;https://sdgs.un.org/2030agenda&quot;,&quot;container-title-short&quot;:&quot;&quot;},&quot;isTemporary&quot;:false}]},{&quot;citationID&quot;:&quot;MENDELEY_CITATION_97c21d7d-e1ca-44fa-ab0d-2d01d42a1b0c&quot;,&quot;properties&quot;:{&quot;noteIndex&quot;:0},&quot;isEdited&quot;:false,&quot;manualOverride&quot;:{&quot;isManuallyOverridden&quot;:false,&quot;citeprocText&quot;:&quot;(United Nations Department of Economic and Social Affairs (UN DESA), 2025)&quot;,&quot;manualOverrideText&quot;:&quot;&quot;},&quot;citationTag&quot;:&quot;MENDELEY_CITATION_v3_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&quot;,&quot;citationItems&quot;:[{&quot;id&quot;:&quot;d8130204-f0a0-3b88-9147-d2d6a73c24b3&quot;,&quot;itemData&quot;:{&quot;type&quot;:&quot;webpage&quot;,&quot;id&quot;:&quot;d8130204-f0a0-3b88-9147-d2d6a73c24b3&quot;,&quot;title&quot;:&quot;The Sustainable Development Goals Report 2025&quot;,&quot;author&quot;:[{&quot;family&quot;:&quot;United Nations Department of Economic and Social Affairs (UN DESA)&quot;,&quot;given&quot;:&quot;&quot;,&quot;parse-names&quot;:false,&quot;dropping-particle&quot;:&quot;&quot;,&quot;non-dropping-particle&quot;:&quot;&quot;}],&quot;accessed&quot;:{&quot;date-parts&quot;:[[2026,4,3]]},&quot;URL&quot;:&quot;https://unstats.un.org/sdgs/report/2025/goal-03/&quot;,&quot;issued&quot;:{&quot;date-parts&quot;:[[2025]]},&quot;container-title-short&quot;:&quot;&quot;},&quot;isTemporary&quot;:false}]},{&quot;citationID&quot;:&quot;MENDELEY_CITATION_b7ee50aa-c16b-4f78-891d-025ca3a20f9f&quot;,&quot;properties&quot;:{&quot;noteIndex&quot;:0},&quot;isEdited&quot;:false,&quot;manualOverride&quot;:{&quot;isManuallyOverridden&quot;:false,&quot;citeprocText&quot;:&quot;(United Nations Department of Economic and Social Affairs (UN DESA), 2025)&quot;,&quot;manualOverrideText&quot;:&quot;&quot;},&quot;citationTag&quot;:&quot;MENDELEY_CITATION_v3_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&quot;,&quot;citationItems&quot;:[{&quot;id&quot;:&quot;d8130204-f0a0-3b88-9147-d2d6a73c24b3&quot;,&quot;itemData&quot;:{&quot;type&quot;:&quot;webpage&quot;,&quot;id&quot;:&quot;d8130204-f0a0-3b88-9147-d2d6a73c24b3&quot;,&quot;title&quot;:&quot;The Sustainable Development Goals Report 2025&quot;,&quot;author&quot;:[{&quot;family&quot;:&quot;United Nations Department of Economic and Social Affairs (UN DESA)&quot;,&quot;given&quot;:&quot;&quot;,&quot;parse-names&quot;:false,&quot;dropping-particle&quot;:&quot;&quot;,&quot;non-dropping-particle&quot;:&quot;&quot;}],&quot;accessed&quot;:{&quot;date-parts&quot;:[[2026,4,3]]},&quot;URL&quot;:&quot;https://unstats.un.org/sdgs/report/2025/goal-03/&quot;,&quot;issued&quot;:{&quot;date-parts&quot;:[[2025]]},&quot;container-title-short&quot;:&quot;&quot;},&quot;isTemporary&quot;:false}]},{&quot;citationID&quot;:&quot;MENDELEY_CITATION_a187b38a-ac32-455d-bec8-64eddf2c5bd7&quot;,&quot;properties&quot;:{&quot;noteIndex&quot;:0},&quot;isEdited&quot;:false,&quot;manualOverride&quot;:{&quot;isManuallyOverridden&quot;:false,&quot;citeprocText&quot;:&quot;(&lt;i&gt;Health - United Nations Sustainable Development&lt;/i&gt;, no date; United Nations Department of Economic and Social Affairs (UN DESA), 2025)&quot;,&quot;manualOverrideText&quot;:&quot;&quot;},&quot;citationTag&quot;:&quot;MENDELEY_CITATION_v3_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&quot;,&quot;citationItems&quot;:[{&quot;id&quot;:&quot;d8130204-f0a0-3b88-9147-d2d6a73c24b3&quot;,&quot;itemData&quot;:{&quot;type&quot;:&quot;webpage&quot;,&quot;id&quot;:&quot;d8130204-f0a0-3b88-9147-d2d6a73c24b3&quot;,&quot;title&quot;:&quot;The Sustainable Development Goals Report 2025&quot;,&quot;author&quot;:[{&quot;family&quot;:&quot;United Nations Department of Economic and Social Affairs (UN DESA)&quot;,&quot;given&quot;:&quot;&quot;,&quot;parse-names&quot;:false,&quot;dropping-particle&quot;:&quot;&quot;,&quot;non-dropping-particle&quot;:&quot;&quot;}],&quot;accessed&quot;:{&quot;date-parts&quot;:[[2026,4,3]]},&quot;URL&quot;:&quot;https://unstats.un.org/sdgs/report/2025/goal-03/&quot;,&quot;issued&quot;:{&quot;date-parts&quot;:[[2025]]},&quot;container-title-short&quot;:&quot;&quot;},&quot;isTemporary&quot;:false},{&quot;id&quot;:&quot;b3aac20e-0db2-3993-a4b8-acee503b369e&quot;,&quot;itemData&quot;:{&quot;type&quot;:&quot;webpage&quot;,&quot;id&quot;:&quot;b3aac20e-0db2-3993-a4b8-acee503b369e&quot;,&quot;title&quot;:&quot;Health - United Nations Sustainable Development&quot;,&quot;accessed&quot;:{&quot;date-parts&quot;:[[2026,4,3]]},&quot;URL&quot;:&quot;https://www.un.org/sustainabledevelopment/health/&quot;,&quot;container-title-short&quot;:&quot;&quot;},&quot;isTemporary&quot;:false}]},{&quot;citationID&quot;:&quot;MENDELEY_CITATION_c0d01eaf-0ec0-42aa-9604-978116594a37&quot;,&quot;properties&quot;:{&quot;noteIndex&quot;:0},&quot;isEdited&quot;:false,&quot;manualOverride&quot;:{&quot;isManuallyOverridden&quot;:false,&quot;citeprocText&quot;:&quot;(&lt;i&gt;The Dahlgren-Whitehead rainbow (1991) - Health inequalities - Patient Safety Learning - the hub&lt;/i&gt;, no date)&quot;,&quot;manualOverrideText&quot;:&quot;&quot;},&quot;citationTag&quot;:&quot;MENDELEY_CITATION_v3_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&quot;,&quot;citationItems&quot;:[{&quot;id&quot;:&quot;1954072f-0497-37b1-b161-fa38254127ec&quot;,&quot;itemData&quot;:{&quot;type&quot;:&quot;webpage&quot;,&quot;id&quot;:&quot;1954072f-0497-37b1-b161-fa38254127ec&quot;,&quot;title&quot;:&quot;The Dahlgren-Whitehead rainbow (1991) - Health inequalities - Patient Safety Learning - the hub&quot;,&quot;accessed&quot;:{&quot;date-parts&quot;:[[2026,4,3]]},&quot;URL&quot;:&quot;https://www.pslhub.org/learn/improving-patient-safety/health-inequalities/the-dahlgren-whitehead-rainbow-1991-r5870&quot;,&quot;container-title-short&quot;:&quot;&quot;},&quot;isTemporary&quot;:false}]},{&quot;citationID&quot;:&quot;MENDELEY_CITATION_64fc62cf-2631-4b1c-b452-64dc85470795&quot;,&quot;properties&quot;:{&quot;noteIndex&quot;:0},&quot;isEdited&quot;:false,&quot;manualOverride&quot;:{&quot;isManuallyOverridden&quot;:false,&quot;citeprocText&quot;:&quot;(&lt;i&gt;The Dahlgren-Whitehead rainbow (1991) - Health inequalities - Patient Safety Learning - the hub&lt;/i&gt;, no date)&quot;,&quot;manualOverrideText&quot;:&quot;&quot;},&quot;citationTag&quot;:&quot;MENDELEY_CITATION_v3_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&quot;,&quot;citationItems&quot;:[{&quot;id&quot;:&quot;1954072f-0497-37b1-b161-fa38254127ec&quot;,&quot;itemData&quot;:{&quot;type&quot;:&quot;webpage&quot;,&quot;id&quot;:&quot;1954072f-0497-37b1-b161-fa38254127ec&quot;,&quot;title&quot;:&quot;The Dahlgren-Whitehead rainbow (1991) - Health inequalities - Patient Safety Learning - the hub&quot;,&quot;accessed&quot;:{&quot;date-parts&quot;:[[2026,4,3]]},&quot;URL&quot;:&quot;https://www.pslhub.org/learn/improving-patient-safety/health-inequalities/the-dahlgren-whitehead-rainbow-1991-r5870&quot;,&quot;container-title-short&quot;:&quot;&quot;},&quot;isTemporary&quot;:false}]},{&quot;citationID&quot;:&quot;MENDELEY_CITATION_599c58bb-4eb7-4c08-9826-f7374e9835b5&quot;,&quot;properties&quot;:{&quot;noteIndex&quot;:0},&quot;isEdited&quot;:false,&quot;manualOverride&quot;:{&quot;isManuallyOverridden&quot;:false,&quot;citeprocText&quot;:&quot;(United Nations Development Programme, no date; &lt;i&gt;SDG Goal 3: Good Health and Well-being - UNICEF DATA&lt;/i&gt;, no date)&quot;,&quot;manualOverrideText&quot;:&quot;&quot;},&quot;citationTag&quot;:&quot;MENDELEY_CITATION_v3_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&quot;,&quot;citationItems&quot;:[{&quot;id&quot;:&quot;803587c8-7302-30ea-af88-46f9d7eda02a&quot;,&quot;itemData&quot;:{&quot;type&quot;:&quot;webpage&quot;,&quot;id&quot;:&quot;803587c8-7302-30ea-af88-46f9d7eda02a&quot;,&quot;title&quot;:&quot;Sustainable Development Goals | United Nations Development Programme&quot;,&quot;author&quot;:[{&quot;family&quot;:&quot;United Nations Development Programme&quot;,&quot;given&quot;:&quot;&quot;,&quot;parse-names&quot;:false,&quot;dropping-particle&quot;:&quot;&quot;,&quot;non-dropping-particle&quot;:&quot;&quot;}],&quot;accessed&quot;:{&quot;date-parts&quot;:[[2026,4,2]]},&quot;URL&quot;:&quot;https://www.undp.org/sustainable-development-goals&quot;,&quot;container-title-short&quot;:&quot;&quot;},&quot;isTemporary&quot;:false},{&quot;id&quot;:&quot;7dcab3fc-25d9-349b-bc50-63b170eaa95a&quot;,&quot;itemData&quot;:{&quot;type&quot;:&quot;webpage&quot;,&quot;id&quot;:&quot;7dcab3fc-25d9-349b-bc50-63b170eaa95a&quot;,&quot;title&quot;:&quot;SDG Goal 3: Good Health and Well-being - UNICEF DATA&quot;,&quot;accessed&quot;:{&quot;date-parts&quot;:[[2026,4,3]]},&quot;URL&quot;:&quot;https://data.unicef.org/sdgs/goal-3-good-health-wellbeing/&quot;,&quot;container-title-short&quot;:&quot;&quot;},&quot;isTemporary&quot;:false}]},{&quot;citationID&quot;:&quot;MENDELEY_CITATION_dfc21e2a-7926-4807-8f78-fc80288edd48&quot;,&quot;properties&quot;:{&quot;noteIndex&quot;:0},&quot;isEdited&quot;:false,&quot;manualOverride&quot;:{&quot;isManuallyOverridden&quot;:false,&quot;citeprocText&quot;:&quot;(Marmot, 2005)&quot;,&quot;manualOverrideText&quot;:&quot;&quot;},&quot;citationTag&quot;:&quot;MENDELEY_CITATION_v3_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&quot;,&quot;citationItems&quot;:[{&quot;id&quot;:&quot;1b0eaff6-66c7-3262-a38c-a9b884d2fc34&quot;,&quot;itemData&quot;:{&quot;type&quot;:&quot;article-journal&quot;,&quot;id&quot;:&quot;1b0eaff6-66c7-3262-a38c-a9b884d2fc34&quot;,&quot;title&quot;:&quot;Social determinants of health inequalities&quot;,&quot;author&quot;:[{&quot;family&quot;:&quot;Marmot&quot;,&quot;given&quot;:&quot;Michael&quot;,&quot;parse-names&quot;:false,&quot;dropping-particle&quot;:&quot;&quot;,&quot;non-dropping-particle&quot;:&quot;&quot;}],&quot;container-title&quot;:&quot;Lancet (London, England)&quot;,&quot;container-title-short&quot;:&quot;Lancet&quot;,&quot;accessed&quot;:{&quot;date-parts&quot;:[[2026,4,3]]},&quot;DOI&quot;:&quot;10.1016/S0140-6736(05)71146-6&quot;,&quot;ISSN&quot;:&quot;1474-547X&quot;,&quot;PMID&quot;:&quot;15781105&quot;,&quot;URL&quot;:&quot;https://pubmed.ncbi.nlm.nih.gov/15781105/&quot;,&quot;issued&quot;:{&quot;date-parts&quot;:[[2005,3,19]]},&quot;page&quot;:&quot;1099-1104&quot;,&quot;abstract&quot;:&quot;The gross inequalities in health that we see within and between countries present a challenge to the world. That there should be a spread of life expectancy of 48 years among countries and 20 years or more within countries is not inevitable. A burgeoning volume of research identifies social factors at the root of much of these inequalities in health. Social determinants are relevant to communicable and non-communicable disease alike. Health status, therefore, should be of concern to policy makers in every sector, not solely those involved in health policy. As a response to this global challenge, WHO is launching a Commission on Social Determinants of Health, which will review the evidence, raise societal debate, and recommend policies with the goal of improving health of the world's most vulnerable people. A major thrust of the Commission is turning public-health knowledge into political action.&quot;,&quot;publisher&quot;:&quot;Lancet&quot;,&quot;issue&quot;:&quot;9464&quot;,&quot;volume&quot;:&quot;365&quot;},&quot;isTemporary&quot;:false}]},{&quot;citationID&quot;:&quot;MENDELEY_CITATION_4c467e66-1d62-47c1-9c79-3d41e4a68302&quot;,&quot;properties&quot;:{&quot;noteIndex&quot;:0},&quot;isEdited&quot;:false,&quot;manualOverride&quot;:{&quot;isManuallyOverridden&quot;:false,&quot;citeprocText&quot;:&quot;(MDG Monitor SDG 10, 2016)&quot;,&quot;manualOverrideText&quot;:&quot;&quot;},&quot;citationTag&quot;:&quot;MENDELEY_CITATION_v3_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&quot;,&quot;citationItems&quot;:[{&quot;id&quot;:&quot;141ee785-a63f-3ad0-80ac-2763f7b631e1&quot;,&quot;itemData&quot;:{&quot;type&quot;:&quot;webpage&quot;,&quot;id&quot;:&quot;141ee785-a63f-3ad0-80ac-2763f7b631e1&quot;,&quot;title&quot;:&quot;SDG 10 Reduce inequality in people, within &amp; among countries&quot;,&quot;author&quot;:[{&quot;family&quot;:&quot;MDG Monitor SDG 10&quot;,&quot;given&quot;:&quot;&quot;,&quot;parse-names&quot;:false,&quot;dropping-particle&quot;:&quot;&quot;,&quot;non-dropping-particle&quot;:&quot;&quot;}],&quot;accessed&quot;:{&quot;date-parts&quot;:[[2026,4,3]]},&quot;URL&quot;:&quot;https://www.mdgmonitor.org/sdg10-reduce-inequality-in-people-within-and-among-countries/&quot;,&quot;issued&quot;:{&quot;date-parts&quot;:[[2016]]},&quot;container-title-short&quot;:&quot;&quot;},&quot;isTemporary&quot;:false}]},{&quot;citationID&quot;:&quot;MENDELEY_CITATION_810bc346-a4f0-440c-9dba-5993f0950968&quot;,&quot;properties&quot;:{&quot;noteIndex&quot;:0},&quot;isEdited&quot;:false,&quot;manualOverride&quot;:{&quot;isManuallyOverridden&quot;:false,&quot;citeprocText&quot;:&quot;(MDG Monitor SDG 10, 2016)&quot;,&quot;manualOverrideText&quot;:&quot;&quot;},&quot;citationTag&quot;:&quot;MENDELEY_CITATION_v3_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&quot;,&quot;citationItems&quot;:[{&quot;id&quot;:&quot;141ee785-a63f-3ad0-80ac-2763f7b631e1&quot;,&quot;itemData&quot;:{&quot;type&quot;:&quot;webpage&quot;,&quot;id&quot;:&quot;141ee785-a63f-3ad0-80ac-2763f7b631e1&quot;,&quot;title&quot;:&quot;SDG 10 Reduce inequality in people, within &amp; among countries&quot;,&quot;author&quot;:[{&quot;family&quot;:&quot;MDG Monitor SDG 10&quot;,&quot;given&quot;:&quot;&quot;,&quot;parse-names&quot;:false,&quot;dropping-particle&quot;:&quot;&quot;,&quot;non-dropping-particle&quot;:&quot;&quot;}],&quot;accessed&quot;:{&quot;date-parts&quot;:[[2026,4,3]]},&quot;URL&quot;:&quot;https://www.mdgmonitor.org/sdg10-reduce-inequality-in-people-within-and-among-countries/&quot;,&quot;issued&quot;:{&quot;date-parts&quot;:[[2016]]},&quot;container-title-short&quot;:&quot;&quot;},&quot;isTemporary&quot;:false}]},{&quot;citationID&quot;:&quot;MENDELEY_CITATION_27e36257-5f92-4655-8a5e-ea912c47279a&quot;,&quot;properties&quot;:{&quot;noteIndex&quot;:0},&quot;isEdited&quot;:false,&quot;manualOverride&quot;:{&quot;isManuallyOverridden&quot;:false,&quot;citeprocText&quot;:&quot;(World health statistics, 2023)&quot;,&quot;manualOverrideText&quot;:&quot;&quot;},&quot;citationTag&quot;:&quot;MENDELEY_CITATION_v3_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&quot;,&quot;citationItems&quot;:[{&quot;id&quot;:&quot;5fdd0d93-5130-34b3-8a82-edceacf75eec&quot;,&quot;itemData&quot;:{&quot;type&quot;:&quot;report&quot;,&quot;id&quot;:&quot;5fdd0d93-5130-34b3-8a82-edceacf75eec&quot;,&quot;title&quot;:&quot;SDGs Sustainable Development Goals&quot;,&quot;author&quot;:[{&quot;family&quot;:&quot;World health statistics&quot;,&quot;given&quot;:&quot;&quot;,&quot;parse-names&quot;:false,&quot;dropping-particle&quot;:&quot;&quot;,&quot;non-dropping-particle&quot;:&quot;&quot;}],&quot;issued&quot;:{&quot;date-parts&quot;:[[2023]]},&quot;container-title-short&quot;:&quot;&quot;},&quot;isTemporary&quot;:false}]},{&quot;citationID&quot;:&quot;MENDELEY_CITATION_bcd7f0c0-b65b-4a2c-88bc-8328af467e3e&quot;,&quot;properties&quot;:{&quot;noteIndex&quot;:0},&quot;isEdited&quot;:false,&quot;manualOverride&quot;:{&quot;isManuallyOverridden&quot;:false,&quot;citeprocText&quot;:&quot;(&lt;i&gt;WDR 2022 Chapter 1. Introduction&lt;/i&gt;, no date; Badarinza, Balasubramaniam and Ramadorai, 2019)&quot;,&quot;manualOverrideText&quot;:&quot;&quot;},&quot;citationTag&quot;:&quot;MENDELEY_CITATION_v3_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&quot;,&quot;citationItems&quot;:[{&quot;id&quot;:&quot;03500182-c6d1-3da6-995f-533ebc13dbbc&quot;,&quot;itemData&quot;:{&quot;type&quot;:&quot;article-journal&quot;,&quot;id&quot;:&quot;03500182-c6d1-3da6-995f-533ebc13dbbc&quot;,&quot;title&quot;:&quot;The Household Finance Landscape in Emerging Economies&quot;,&quot;author&quot;:[{&quot;family&quot;:&quot;Badarinza&quot;,&quot;given&quot;:&quot;C.&quot;,&quot;parse-names&quot;:false,&quot;dropping-particle&quot;:&quot;&quot;,&quot;non-dropping-particle&quot;:&quot;&quot;},{&quot;family&quot;:&quot;Balasubramaniam&quot;,&quot;given&quot;:&quot;V.&quot;,&quot;parse-names&quot;:false,&quot;dropping-particle&quot;:&quot;&quot;,&quot;non-dropping-particle&quot;:&quot;&quot;},{&quot;family&quot;:&quot;Ramadorai&quot;,&quot;given&quot;:&quot;T.&quot;,&quot;parse-names&quot;:false,&quot;dropping-particle&quot;:&quot;&quot;,&quot;non-dropping-particle&quot;:&quot;&quot;}],&quot;container-title&quot;:&quot;Annual Review of Financial Economics&quot;,&quot;accessed&quot;:{&quot;date-parts&quot;:[[2026,4,3]]},&quot;DOI&quot;:&quot;10.1146/ANNUREV-FINANCIAL-110118-123106&quot;,&quot;ISSN&quot;:&quot;19411375&quot;,&quot;URL&quot;:&quot;https://www.worldbank.org/en/publication/wdr2022/brief/chapter-1-introduction-the-economic-impacts-of-the-covid-19-crisis&quot;,&quot;issued&quot;:{&quot;date-parts&quot;:[[2019,11,1]]},&quot;page&quot;:&quot;109-129&quot;,&quot;abstract&quot;:&quot;We survey the household finance landscape in emerging economies. We first present statistics on household balance sheets from official microsurveys in countries constituting 45% of the global population: China, India, Bangladesh, the Philippines, Thailand, and South Africa. We contrast these patterns with those in data from advanced economies. We then survey the nascent literature on household finance in emerging economies and discuss areas of overlap with the better-established literature on household finance in advanced economies, as well as the large body of literature on development finance. We highlight useful directions for future research.&quot;,&quot;publisher&quot;:&quot;Annual Reviews Inc.&quot;,&quot;volume&quot;:&quot;11&quot;,&quot;container-title-short&quot;:&quot;&quot;},&quot;isTemporary&quot;:false},{&quot;id&quot;:&quot;42f03f83-0c08-30b0-bfa1-88e7e2c04ed7&quot;,&quot;itemData&quot;:{&quot;type&quot;:&quot;webpage&quot;,&quot;id&quot;:&quot;42f03f83-0c08-30b0-bfa1-88e7e2c04ed7&quot;,&quot;title&quot;:&quot;WDR 2022 Chapter 1. Introduction&quot;,&quot;accessed&quot;:{&quot;date-parts&quot;:[[2026,4,3]]},&quot;URL&quot;:&quot;https://www.worldbank.org/en/publication/wdr2022/brief/chapter-1-introduction-the-economic-impacts-of-the-covid-19-crisis&quot;,&quot;container-title-short&quot;:&quot;&quot;},&quot;isTemporary&quot;:false}]},{&quot;citationID&quot;:&quot;MENDELEY_CITATION_1f229fd0-33fb-4609-9d91-3369165ea066&quot;,&quot;properties&quot;:{&quot;noteIndex&quot;:0},&quot;isEdited&quot;:false,&quot;manualOverride&quot;:{&quot;isManuallyOverridden&quot;:false,&quot;citeprocText&quot;:&quot;(Marmot, 2020)&quot;,&quot;manualOverrideText&quot;:&quot;&quot;},&quot;citationTag&quot;:&quot;MENDELEY_CITATION_v3_eyJjaXRhdGlvbklEIjoiTUVOREVMRVlfQ0lUQVRJT05fMWYyMjlmZDAtMzNmYi00NjA5LTlkOTEtMzM2OTE2NWVhMDY2IiwicHJvcGVydGllcyI6eyJub3RlSW5kZXgiOjB9LCJpc0VkaXRlZCI6ZmFsc2UsIm1hbnVhbE92ZXJyaWRlIjp7ImlzTWFudWFsbHlPdmVycmlkZGVuIjpmYWxzZSwiY2l0ZXByb2NUZXh0IjoiK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quot;citationID&quot;:&quot;MENDELEY_CITATION_7bc2cd08-bd70-4d8d-8bd3-3aada76bf24d&quot;,&quot;properties&quot;:{&quot;noteIndex&quot;:0},&quot;isEdited&quot;:false,&quot;manualOverride&quot;:{&quot;isManuallyOverridden&quot;:false,&quot;citeprocText&quot;:&quot;(Marmot, 2020)&quot;,&quot;manualOverrideText&quot;:&quot;&quot;},&quot;citationTag&quot;:&quot;MENDELEY_CITATION_v3_eyJjaXRhdGlvbklEIjoiTUVOREVMRVlfQ0lUQVRJT05fN2JjMmNkMDgtYmQ3MC00ZDhkLThiZDMtM2FhZGE3NmJmMjRkIiwicHJvcGVydGllcyI6eyJub3RlSW5kZXgiOjB9LCJpc0VkaXRlZCI6ZmFsc2UsIm1hbnVhbE92ZXJyaWRlIjp7ImlzTWFudWFsbHlPdmVycmlkZGVuIjpmYWxzZSwiY2l0ZXByb2NUZXh0IjoiK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quot;citationID&quot;:&quot;MENDELEY_CITATION_b6d1f6d7-786d-4cd6-87c1-624f44d147d9&quot;,&quot;properties&quot;:{&quot;noteIndex&quot;:0},&quot;isEdited&quot;:false,&quot;manualOverride&quot;:{&quot;isManuallyOverridden&quot;:false,&quot;citeprocText&quot;:&quot;(&lt;i&gt;New Review Calls for Radical Action on Stark Ethnic Inequalities Across Healthcare - NHS – Race and Health Observatory&lt;/i&gt;, no date)&quot;,&quot;manualOverrideText&quot;:&quot;&quot;},&quot;citationTag&quot;:&quot;MENDELEY_CITATION_v3_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&quot;,&quot;citationItems&quot;:[{&quot;id&quot;:&quot;0d230e75-3d0f-3ba0-9f63-5929ce86bffc&quot;,&quot;itemData&quot;:{&quot;type&quot;:&quot;webpage&quot;,&quot;id&quot;:&quot;0d230e75-3d0f-3ba0-9f63-5929ce86bffc&quot;,&quot;title&quot;:&quot;New Review Calls for Radical Action on Stark Ethnic Inequalities Across Healthcare - NHS – Race and Health Observatory&quot;,&quot;accessed&quot;:{&quot;date-parts&quot;:[[2026,4,3]]},&quot;URL&quot;:&quot;https://nhsrho.org/news/new-review-calls-for-radical-action-on-stark-ethnic-inequalities-across-healthcare/&quot;,&quot;container-title-short&quot;:&quot;&quot;},&quot;isTemporary&quot;:false}]},{&quot;citationID&quot;:&quot;MENDELEY_CITATION_42a8684c-51b1-4da2-96a0-e7159558fdd1&quot;,&quot;properties&quot;:{&quot;noteIndex&quot;:0},&quot;isEdited&quot;:false,&quot;manualOverride&quot;:{&quot;isManuallyOverridden&quot;:false,&quot;citeprocText&quot;:&quot;(Fu &lt;i&gt;et al.&lt;/i&gt;, 2022)&quot;,&quot;manualOverrideText&quot;:&quot;&quot;},&quot;citationTag&quot;:&quot;MENDELEY_CITATION_v3_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&quot;,&quot;citationItems&quot;:[{&quot;id&quot;:&quot;178b47b5-d1c9-30db-9d38-23a09e89e184&quot;,&quot;itemData&quot;:{&quot;type&quot;:&quot;article-journal&quot;,&quot;id&quot;:&quot;178b47b5-d1c9-30db-9d38-23a09e89e184&quot;,&quot;title&quot;:&quot;Cardiovascular-related conditions and risk factors in primary care for deprived communities before and during the COVID-19 pandemic: an observational study in Northern England&quot;,&quot;author&quot;:[{&quot;family&quot;:&quot;Fu&quot;,&quot;given&quot;:&quot;Yu&quot;,&quot;parse-names&quot;:false,&quot;dropping-particle&quot;:&quot;&quot;,&quot;non-dropping-particle&quot;:&quot;&quot;},{&quot;family&quot;:&quot;Price&quot;,&quot;given&quot;:&quot;Christopher&quot;,&quot;parse-names&quot;:false,&quot;dropping-particle&quot;:&quot;&quot;,&quot;non-dropping-particle&quot;:&quot;&quot;},{&quot;family&quot;:&quot;Haining&quot;,&quot;given&quot;:&quot;Shona&quot;,&quot;parse-names&quot;:false,&quot;dropping-particle&quot;:&quot;&quot;,&quot;non-dropping-particle&quot;:&quot;&quot;},{&quot;family&quot;:&quot;Gaffney&quot;,&quot;given&quot;:&quot;Bob&quot;,&quot;parse-names&quot;:false,&quot;dropping-particle&quot;:&quot;&quot;,&quot;non-dropping-particle&quot;:&quot;&quot;},{&quot;family&quot;:&quot;Julien&quot;,&quot;given&quot;:&quot;David&quot;,&quot;parse-names&quot;:false,&quot;dropping-particle&quot;:&quot;&quot;,&quot;non-dropping-particle&quot;:&quot;&quot;},{&quot;family&quot;:&quot;Whitty&quot;,&quot;given&quot;:&quot;Paula&quot;,&quot;parse-names&quot;:false,&quot;dropping-particle&quot;:&quot;&quot;,&quot;non-dropping-particle&quot;:&quot;&quot;},{&quot;family&quot;:&quot;Newton&quot;,&quot;given&quot;:&quot;Julia L.&quot;,&quot;parse-names&quot;:false,&quot;dropping-particle&quot;:&quot;&quot;,&quot;non-dropping-particle&quot;:&quot;&quot;}],&quot;container-title&quot;:&quot;BMJ Open&quot;,&quot;container-title-short&quot;:&quot;BMJ Open&quot;,&quot;accessed&quot;:{&quot;date-parts&quot;:[[2026,4,3]]},&quot;DOI&quot;:&quot;10.1136/BMJOPEN-2022-066868&quot;,&quot;ISSN&quot;:&quot;20446055&quot;,&quot;PMID&quot;:&quot;36414311&quot;,&quot;URL&quot;:&quot;https://pmc.ncbi.nlm.nih.gov/articles/PMC9684275/&quot;,&quot;issued&quot;:{&quot;date-parts&quot;:[[2022,11,22]]},&quot;page&quot;:&quot;e066868&quot;,&quot;abstract&quot;:&quot;Objectives The North East of England, ranked as having the highest poverty levels and the lowest health outcomes, has the highest cardiovascular disease (CVD) premature mortality. This study aimed to compare CVD-related conditions and risk factors for deprived practice populations with other general practice (GP) populations in Northern England to England overall, before and during COVID-19 to identify changes in recorded CVD-related risk factors and conditions and evidence-based lipid prescribing behaviour. Design A population-based observational study of aggregated practice-level data obtained from publicly accessible data sets. Setting 34 practices that fall into the 15% most deprived practice populations in England were identified as the most deprived communities in the North East and North Cumbria (Deep End). Participants Patients aged ≥16 registered with GP and diagnosed with any form of CVD. Primary and secondary outcome measures CVD-related conditions and risk factors, statin prescribing. Results Deep End (n=263 830) had a smaller, younger and more deprived population with lower levels of employment and full-time education and higher smoking prevalence. They had some higher recorded CVD-related conditions than England but lower than the non-Deep End. Atrial fibrillation (-0.9,-0.5), hypertension (-3.7,-1.3) and stroke and transient ischaemic attack rates (-0.5,-0.1) appeared to be lower in the Deep End than in the non-Deep End but the optimal statin prescribing rate was higher (3.1, 8.2) than in England. Conclusion Recorded CVD-related risk factors and conditions remained comparable before and during COVID-19. These are higher in the Deep End than in England and similar or lower than the non-Deep End, with a higher optimal statin prescribing rate. However, it was not possible to control for age and sex. More work is needed to estimate the consequences of the pandemic on disadvantaged communities and to compare whether the findings are replicated in other areas of deprivation.&quot;,&quot;publisher&quot;:&quot;BMJ Publishing Group&quot;,&quot;issue&quot;:&quot;11&quot;,&quot;volume&quot;:&quot;12&quot;},&quot;isTemporary&quot;:false}]},{&quot;citationID&quot;:&quot;MENDELEY_CITATION_9d38d041-2a35-4aef-b2e0-521235b84a4b&quot;,&quot;properties&quot;:{&quot;noteIndex&quot;:0},&quot;isEdited&quot;:false,&quot;manualOverride&quot;:{&quot;isManuallyOverridden&quot;:false,&quot;citeprocText&quot;:&quot;(Akanni &lt;i&gt;et al.&lt;/i&gt;, 2024)&quot;,&quot;manualOverrideText&quot;:&quot;&quot;},&quot;citationTag&quot;:&quot;MENDELEY_CITATION_v3_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&quot;,&quot;citationItems&quot;:[{&quot;id&quot;:&quot;39f511e3-ff28-3c1f-ad63-625633ef97cf&quot;,&quot;itemData&quot;:{&quot;type&quot;:&quot;report&quot;,&quot;id&quot;:&quot;39f511e3-ff28-3c1f-ad63-625633ef97cf&quot;,&quot;title&quot;:&quot;INFANT MORTALITY IN ENGLAND AUGUST 2024&quot;,&quot;author&quot;:[{&quot;family&quot;:&quot;Akanni&quot;,&quot;given&quot;:&quot;Lateef&quot;,&quot;parse-names&quot;:false,&quot;dropping-particle&quot;:&quot;&quot;,&quot;non-dropping-particle&quot;:&quot;&quot;},{&quot;family&quot;:&quot;Udu&quot;,&quot;given&quot;:&quot;Kalu&quot;,&quot;parse-names&quot;:false,&quot;dropping-particle&quot;:&quot;&quot;,&quot;non-dropping-particle&quot;:&quot;&quot;},{&quot;family&quot;:&quot;Esan&quot;,&quot;given&quot;:&quot;Oluwaseun B&quot;,&quot;parse-names&quot;:false,&quot;dropping-particle&quot;:&quot;&quot;,&quot;non-dropping-particle&quot;:&quot;&quot;},{&quot;family&quot;:&quot;Black&quot;,&quot;given&quot;:&quot;Michelle&quot;,&quot;parse-names&quot;:false,&quot;dropping-particle&quot;:&quot;&quot;,&quot;non-dropping-particle&quot;:&quot;&quot;},{&quot;family&quot;:&quot;Norman&quot;,&quot;given&quot;:&quot;Paul&quot;,&quot;parse-names&quot;:false,&quot;dropping-particle&quot;:&quot;&quot;,&quot;non-dropping-particle&quot;:&quot;&quot;},{&quot;family&quot;:&quot;Boston&quot;,&quot;given&quot;:&quot;Ruth&quot;,&quot;parse-names&quot;:false,&quot;dropping-particle&quot;:&quot;&quot;,&quot;non-dropping-particle&quot;:&quot;&quot;},{&quot;family&quot;:&quot;Munford&quot;,&quot;given&quot;:&quot;Luke&quot;,&quot;parse-names&quot;:false,&quot;dropping-particle&quot;:&quot;&quot;,&quot;non-dropping-particle&quot;:&quot;&quot;},{&quot;family&quot;:&quot;Davies&quot;,&quot;given&quot;:&quot;Hannah&quot;,&quot;parse-names&quot;:false,&quot;dropping-particle&quot;:&quot;&quot;,&quot;non-dropping-particle&quot;:&quot;&quot;},{&quot;family&quot;:&quot;Pickett&quot;,&quot;given&quot;:&quot;Kate&quot;,&quot;parse-names&quot;:false,&quot;dropping-particle&quot;:&quot;&quot;,&quot;non-dropping-particle&quot;:&quot;&quot;},{&quot;family&quot;:&quot;Taylor-Robinson&quot;,&quot;given&quot;:&quot;David&quot;,&quot;parse-names&quot;:false,&quot;dropping-particle&quot;:&quot;&quot;,&quot;non-dropping-particle&quot;:&quot;&quot;}],&quot;URL&quot;:&quot;www.healthequitynorth.co.uk&quot;,&quot;issued&quot;:{&quot;date-parts&quot;:[[2024,8]]},&quot;container-title-short&quot;:&quot;&quot;},&quot;isTemporary&quot;:false}]},{&quot;citationID&quot;:&quot;MENDELEY_CITATION_97b09369-ca77-41e8-ab7e-64c29864b241&quot;,&quot;properties&quot;:{&quot;noteIndex&quot;:0},&quot;isEdited&quot;:false,&quot;manualOverride&quot;:{&quot;isManuallyOverridden&quot;:false,&quot;citeprocText&quot;:&quot;(Fu &lt;i&gt;et al.&lt;/i&gt;, 2022)&quot;,&quot;manualOverrideText&quot;:&quot;&quot;},&quot;citationTag&quot;:&quot;MENDELEY_CITATION_v3_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&quot;,&quot;citationItems&quot;:[{&quot;id&quot;:&quot;178b47b5-d1c9-30db-9d38-23a09e89e184&quot;,&quot;itemData&quot;:{&quot;type&quot;:&quot;article-journal&quot;,&quot;id&quot;:&quot;178b47b5-d1c9-30db-9d38-23a09e89e184&quot;,&quot;title&quot;:&quot;Cardiovascular-related conditions and risk factors in primary care for deprived communities before and during the COVID-19 pandemic: an observational study in Northern England&quot;,&quot;author&quot;:[{&quot;family&quot;:&quot;Fu&quot;,&quot;given&quot;:&quot;Yu&quot;,&quot;parse-names&quot;:false,&quot;dropping-particle&quot;:&quot;&quot;,&quot;non-dropping-particle&quot;:&quot;&quot;},{&quot;family&quot;:&quot;Price&quot;,&quot;given&quot;:&quot;Christopher&quot;,&quot;parse-names&quot;:false,&quot;dropping-particle&quot;:&quot;&quot;,&quot;non-dropping-particle&quot;:&quot;&quot;},{&quot;family&quot;:&quot;Haining&quot;,&quot;given&quot;:&quot;Shona&quot;,&quot;parse-names&quot;:false,&quot;dropping-particle&quot;:&quot;&quot;,&quot;non-dropping-particle&quot;:&quot;&quot;},{&quot;family&quot;:&quot;Gaffney&quot;,&quot;given&quot;:&quot;Bob&quot;,&quot;parse-names&quot;:false,&quot;dropping-particle&quot;:&quot;&quot;,&quot;non-dropping-particle&quot;:&quot;&quot;},{&quot;family&quot;:&quot;Julien&quot;,&quot;given&quot;:&quot;David&quot;,&quot;parse-names&quot;:false,&quot;dropping-particle&quot;:&quot;&quot;,&quot;non-dropping-particle&quot;:&quot;&quot;},{&quot;family&quot;:&quot;Whitty&quot;,&quot;given&quot;:&quot;Paula&quot;,&quot;parse-names&quot;:false,&quot;dropping-particle&quot;:&quot;&quot;,&quot;non-dropping-particle&quot;:&quot;&quot;},{&quot;family&quot;:&quot;Newton&quot;,&quot;given&quot;:&quot;Julia L.&quot;,&quot;parse-names&quot;:false,&quot;dropping-particle&quot;:&quot;&quot;,&quot;non-dropping-particle&quot;:&quot;&quot;}],&quot;container-title&quot;:&quot;BMJ Open&quot;,&quot;container-title-short&quot;:&quot;BMJ Open&quot;,&quot;accessed&quot;:{&quot;date-parts&quot;:[[2026,4,3]]},&quot;DOI&quot;:&quot;10.1136/BMJOPEN-2022-066868&quot;,&quot;ISSN&quot;:&quot;20446055&quot;,&quot;PMID&quot;:&quot;36414311&quot;,&quot;URL&quot;:&quot;https://pmc.ncbi.nlm.nih.gov/articles/PMC9684275/&quot;,&quot;issued&quot;:{&quot;date-parts&quot;:[[2022,11,22]]},&quot;page&quot;:&quot;e066868&quot;,&quot;abstract&quot;:&quot;Objectives The North East of England, ranked as having the highest poverty levels and the lowest health outcomes, has the highest cardiovascular disease (CVD) premature mortality. This study aimed to compare CVD-related conditions and risk factors for deprived practice populations with other general practice (GP) populations in Northern England to England overall, before and during COVID-19 to identify changes in recorded CVD-related risk factors and conditions and evidence-based lipid prescribing behaviour. Design A population-based observational study of aggregated practice-level data obtained from publicly accessible data sets. Setting 34 practices that fall into the 15% most deprived practice populations in England were identified as the most deprived communities in the North East and North Cumbria (Deep End). Participants Patients aged ≥16 registered with GP and diagnosed with any form of CVD. Primary and secondary outcome measures CVD-related conditions and risk factors, statin prescribing. Results Deep End (n=263 830) had a smaller, younger and more deprived population with lower levels of employment and full-time education and higher smoking prevalence. They had some higher recorded CVD-related conditions than England but lower than the non-Deep End. Atrial fibrillation (-0.9,-0.5), hypertension (-3.7,-1.3) and stroke and transient ischaemic attack rates (-0.5,-0.1) appeared to be lower in the Deep End than in the non-Deep End but the optimal statin prescribing rate was higher (3.1, 8.2) than in England. Conclusion Recorded CVD-related risk factors and conditions remained comparable before and during COVID-19. These are higher in the Deep End than in England and similar or lower than the non-Deep End, with a higher optimal statin prescribing rate. However, it was not possible to control for age and sex. More work is needed to estimate the consequences of the pandemic on disadvantaged communities and to compare whether the findings are replicated in other areas of deprivation.&quot;,&quot;publisher&quot;:&quot;BMJ Publishing Group&quot;,&quot;issue&quot;:&quot;11&quot;,&quot;volume&quot;:&quot;12&quot;},&quot;isTemporary&quot;:false}]},{&quot;citationID&quot;:&quot;MENDELEY_CITATION_c9edcf43-22c3-4a8e-8371-d55c8cf2604e&quot;,&quot;properties&quot;:{&quot;noteIndex&quot;:0},&quot;isEdited&quot;:false,&quot;manualOverride&quot;:{&quot;isManuallyOverridden&quot;:false,&quot;citeprocText&quot;:&quot;(&lt;i&gt;New Review Calls for Radical Action on Stark Ethnic Inequalities Across Healthcare - NHS – Race and Health Observatory&lt;/i&gt;, no date; Marmot, 2020)&quot;,&quot;manualOverrideText&quot;:&quot;&quot;},&quot;citationTag&quot;:&quot;MENDELEY_CITATION_v3_eyJjaXRhdGlvbklEIjoiTUVOREVMRVlfQ0lUQVRJT05fYzllZGNmNDMtMjJjMy00YThlLTgzNzEtZDU1YzhjZjI2MDRlIiwicHJvcGVydGllcyI6eyJub3RlSW5kZXgiOjB9LCJpc0VkaXRlZCI6ZmFsc2UsIm1hbnVhbE92ZXJyaWRlIjp7ImlzTWFudWFsbHlPdmVycmlkZGVuIjpmYWxzZSwiY2l0ZXByb2NUZXh0IjoiKDxpPk5ldyBSZXZpZXcgQ2FsbHMgZm9yIFJhZGljYWwgQWN0aW9uIG9uIFN0YXJrIEV0aG5pYyBJbmVxdWFsaXRpZXMgQWNyb3NzIEhlYWx0aGNhcmUgLSBOSFMg4oCTIFJhY2UgYW5kIEhlYWx0aCBPYnNlcnZhdG9yeTwvaT4sIG5vIGRhdGU7I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quot;id&quot;:&quot;0d230e75-3d0f-3ba0-9f63-5929ce86bffc&quot;,&quot;itemData&quot;:{&quot;type&quot;:&quot;webpage&quot;,&quot;id&quot;:&quot;0d230e75-3d0f-3ba0-9f63-5929ce86bffc&quot;,&quot;title&quot;:&quot;New Review Calls for Radical Action on Stark Ethnic Inequalities Across Healthcare - NHS – Race and Health Observatory&quot;,&quot;accessed&quot;:{&quot;date-parts&quot;:[[2026,4,3]]},&quot;URL&quot;:&quot;https://nhsrho.org/news/new-review-calls-for-radical-action-on-stark-ethnic-inequalities-across-healthcare/&quot;,&quot;container-title-short&quot;:&quot;&quot;},&quot;isTemporary&quot;:false}]},{&quot;citationID&quot;:&quot;MENDELEY_CITATION_8dc80c3f-1f4b-46b7-a02b-aa4d98579755&quot;,&quot;properties&quot;:{&quot;noteIndex&quot;:0},&quot;isEdited&quot;:false,&quot;manualOverride&quot;:{&quot;isManuallyOverridden&quot;:false,&quot;citeprocText&quot;:&quot;(NHS, 2019)&quot;,&quot;manualOverrideText&quot;:&quot;&quot;},&quot;citationTag&quot;:&quot;MENDELEY_CITATION_v3_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&quot;,&quot;citationItems&quot;:[{&quot;id&quot;:&quot;066d388a-6e62-3f63-9650-4be98570d170&quot;,&quot;itemData&quot;:{&quot;type&quot;:&quot;report&quot;,&quot;id&quot;:&quot;066d388a-6e62-3f63-9650-4be98570d170&quot;,&quot;title&quot;:&quot;The NHS Long Term Plan&quot;,&quot;author&quot;:[{&quot;family&quot;:&quot;NHS&quot;,&quot;given&quot;:&quot;&quot;,&quot;parse-names&quot;:false,&quot;dropping-particle&quot;:&quot;&quot;,&quot;non-dropping-particle&quot;:&quot;&quot;}],&quot;URL&quot;:&quot;www.longtermplan.nhs.uk&quot;,&quot;issued&quot;:{&quot;date-parts&quot;:[[2019]]},&quot;container-title-short&quot;:&quot;&quot;},&quot;isTemporary&quot;:false}]},{&quot;citationID&quot;:&quot;MENDELEY_CITATION_cf709594-b154-48ae-8901-7a1aef78b250&quot;,&quot;properties&quot;:{&quot;noteIndex&quot;:0},&quot;isEdited&quot;:false,&quot;manualOverride&quot;:{&quot;isManuallyOverridden&quot;:false,&quot;citeprocText&quot;:&quot;(NHS, 2019)&quot;,&quot;manualOverrideText&quot;:&quot;&quot;},&quot;citationTag&quot;:&quot;MENDELEY_CITATION_v3_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&quot;,&quot;citationItems&quot;:[{&quot;id&quot;:&quot;066d388a-6e62-3f63-9650-4be98570d170&quot;,&quot;itemData&quot;:{&quot;type&quot;:&quot;report&quot;,&quot;id&quot;:&quot;066d388a-6e62-3f63-9650-4be98570d170&quot;,&quot;title&quot;:&quot;The NHS Long Term Plan&quot;,&quot;author&quot;:[{&quot;family&quot;:&quot;NHS&quot;,&quot;given&quot;:&quot;&quot;,&quot;parse-names&quot;:false,&quot;dropping-particle&quot;:&quot;&quot;,&quot;non-dropping-particle&quot;:&quot;&quot;}],&quot;URL&quot;:&quot;www.longtermplan.nhs.uk&quot;,&quot;issued&quot;:{&quot;date-parts&quot;:[[2019]]},&quot;container-title-short&quot;:&quot;&quot;},&quot;isTemporary&quot;:false}]},{&quot;citationID&quot;:&quot;MENDELEY_CITATION_9f364c2a-2911-47ff-a1e2-8b3a1a0bc1d0&quot;,&quot;properties&quot;:{&quot;noteIndex&quot;:0},&quot;isEdited&quot;:false,&quot;manualOverride&quot;:{&quot;isManuallyOverridden&quot;:false,&quot;citeprocText&quot;:&quot;(NHS, 2019)&quot;,&quot;manualOverrideText&quot;:&quot;&quot;},&quot;citationTag&quot;:&quot;MENDELEY_CITATION_v3_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&quot;,&quot;citationItems&quot;:[{&quot;id&quot;:&quot;066d388a-6e62-3f63-9650-4be98570d170&quot;,&quot;itemData&quot;:{&quot;type&quot;:&quot;report&quot;,&quot;id&quot;:&quot;066d388a-6e62-3f63-9650-4be98570d170&quot;,&quot;title&quot;:&quot;The NHS Long Term Plan&quot;,&quot;author&quot;:[{&quot;family&quot;:&quot;NHS&quot;,&quot;given&quot;:&quot;&quot;,&quot;parse-names&quot;:false,&quot;dropping-particle&quot;:&quot;&quot;,&quot;non-dropping-particle&quot;:&quot;&quot;}],&quot;URL&quot;:&quot;www.longtermplan.nhs.uk&quot;,&quot;issued&quot;:{&quot;date-parts&quot;:[[2019]]},&quot;container-title-short&quot;:&quot;&quot;},&quot;isTemporary&quot;:false}]},{&quot;citationID&quot;:&quot;MENDELEY_CITATION_45388b5a-f4a1-4b13-97c7-e05bbc6b0315&quot;,&quot;properties&quot;:{&quot;noteIndex&quot;:0},&quot;isEdited&quot;:false,&quot;manualOverride&quot;:{&quot;isManuallyOverridden&quot;:false,&quot;citeprocText&quot;:&quot;(NHS, 2019; NHS England Core20PLUS5 (adults), 2022)&quot;,&quot;manualOverrideText&quot;:&quot;&quot;},&quot;citationTag&quot;:&quot;MENDELEY_CITATION_v3_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&quot;,&quot;citationItems&quot;:[{&quot;id&quot;:&quot;65e22147-89fc-3eb7-ab3e-e4dab717c673&quot;,&quot;itemData&quot;:{&quot;type&quot;:&quot;webpage&quot;,&quot;id&quot;:&quot;65e22147-89fc-3eb7-ab3e-e4dab717c673&quot;,&quot;title&quot;:&quot;An approach to reducing healthcare inequalities&quot;,&quot;author&quot;:[{&quot;family&quot;:&quot;NHS England Core20PLUS5 (adults)&quot;,&quot;given&quot;:&quot;&quot;,&quot;parse-names&quot;:false,&quot;dropping-particle&quot;:&quot;&quot;,&quot;non-dropping-particle&quot;:&quot;&quot;}],&quot;accessed&quot;:{&quot;date-parts&quot;:[[2026,4,3]]},&quot;URL&quot;:&quot;https://www.england.nhs.uk/about/equality/equality-hub/national-healthcare-inequalities-improvement-programme/core20plus5/&quot;,&quot;issued&quot;:{&quot;date-parts&quot;:[[2022]]},&quot;container-title-short&quot;:&quot;&quot;},&quot;isTemporary&quot;:false},{&quot;id&quot;:&quot;066d388a-6e62-3f63-9650-4be98570d170&quot;,&quot;itemData&quot;:{&quot;type&quot;:&quot;report&quot;,&quot;id&quot;:&quot;066d388a-6e62-3f63-9650-4be98570d170&quot;,&quot;title&quot;:&quot;The NHS Long Term Plan&quot;,&quot;author&quot;:[{&quot;family&quot;:&quot;NHS&quot;,&quot;given&quot;:&quot;&quot;,&quot;parse-names&quot;:false,&quot;dropping-particle&quot;:&quot;&quot;,&quot;non-dropping-particle&quot;:&quot;&quot;}],&quot;URL&quot;:&quot;www.longtermplan.nhs.uk&quot;,&quot;issued&quot;:{&quot;date-parts&quot;:[[2019]]},&quot;container-title-short&quot;:&quot;&quot;},&quot;isTemporary&quot;:false}]},{&quot;citationID&quot;:&quot;MENDELEY_CITATION_f7bcea88-0436-42e2-96b6-9b09e2cbeaa9&quot;,&quot;properties&quot;:{&quot;noteIndex&quot;:0},&quot;isEdited&quot;:false,&quot;manualOverride&quot;:{&quot;isManuallyOverridden&quot;:false,&quot;citeprocText&quot;:&quot;(NHS England Core20PLUS5 (adults), 2022)&quot;,&quot;manualOverrideText&quot;:&quot;&quot;},&quot;citationTag&quot;:&quot;MENDELEY_CITATION_v3_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&quot;,&quot;citationItems&quot;:[{&quot;id&quot;:&quot;65e22147-89fc-3eb7-ab3e-e4dab717c673&quot;,&quot;itemData&quot;:{&quot;type&quot;:&quot;webpage&quot;,&quot;id&quot;:&quot;65e22147-89fc-3eb7-ab3e-e4dab717c673&quot;,&quot;title&quot;:&quot;An approach to reducing healthcare inequalities&quot;,&quot;author&quot;:[{&quot;family&quot;:&quot;NHS England Core20PLUS5 (adults)&quot;,&quot;given&quot;:&quot;&quot;,&quot;parse-names&quot;:false,&quot;dropping-particle&quot;:&quot;&quot;,&quot;non-dropping-particle&quot;:&quot;&quot;}],&quot;accessed&quot;:{&quot;date-parts&quot;:[[2026,4,3]]},&quot;URL&quot;:&quot;https://www.england.nhs.uk/about/equality/equality-hub/national-healthcare-inequalities-improvement-programme/core20plus5/&quot;,&quot;issued&quot;:{&quot;date-parts&quot;:[[2022]]},&quot;container-title-short&quot;:&quot;&quot;},&quot;isTemporary&quot;:false}]},{&quot;citationID&quot;:&quot;MENDELEY_CITATION_684ca140-ebcf-4a25-938b-a30855a17a80&quot;,&quot;properties&quot;:{&quot;noteIndex&quot;:0},&quot;isEdited&quot;:false,&quot;manualOverride&quot;:{&quot;isManuallyOverridden&quot;:false,&quot;citeprocText&quot;:&quot;(Alderwick, Hutchings and Mays, 2024)&quot;,&quot;manualOverrideText&quot;:&quot;&quot;},&quot;citationTag&quot;:&quot;MENDELEY_CITATION_v3_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&quot;,&quot;citationItems&quot;:[{&quot;id&quot;:&quot;ab54656b-45cd-38fa-a0cf-4846f17bf3bf&quot;,&quot;itemData&quot;:{&quot;type&quot;:&quot;article-journal&quot;,&quot;id&quot;:&quot;ab54656b-45cd-38fa-a0cf-4846f17bf3bf&quot;,&quot;title&quot;:&quot;Cross-sector collaboration to reduce health inequalities: a qualitative study of local collaboration between health care, social services, and other sectors under health system reforms in England&quot;,&quot;author&quot;:[{&quot;family&quot;:&quot;Alderwick&quot;,&quot;given&quot;:&quot;Hugh&quot;,&quot;parse-names&quot;:false,&quot;dropping-particle&quot;:&quot;&quot;,&quot;non-dropping-particle&quot;:&quot;&quot;},{&quot;family&quot;:&quot;Hutchings&quot;,&quot;given&quot;:&quot;Andrew&quot;,&quot;parse-names&quot;:false,&quot;dropping-particle&quot;:&quot;&quot;,&quot;non-dropping-particle&quot;:&quot;&quot;},{&quot;family&quot;:&quot;Mays&quot;,&quot;given&quot;:&quot;Nicholas&quot;,&quot;parse-names&quot;:false,&quot;dropping-particle&quot;:&quot;&quot;,&quot;non-dropping-particle&quot;:&quot;&quot;}],&quot;container-title&quot;:&quot;BMC Public Health 2024 24:1&quot;,&quot;accessed&quot;:{&quot;date-parts&quot;:[[2026,4,3]]},&quot;DOI&quot;:&quot;10.1186/S12889-024-20089-5&quot;,&quot;ISSN&quot;:&quot;1471-2458&quot;,&quot;PMID&quot;:&quot;39334058&quot;,&quot;URL&quot;:&quot;https://link.springer.com/article/10.1186/s12889-024-20089-5&quot;,&quot;issued&quot;:{&quot;date-parts&quot;:[[2024,9,27]]},&quot;page&quot;:&quot;2613-&quot;,&quot;abstract&quot;:&quot;Policymakers across countries promote cross-sector collaboration as a route to improving health and health equity. In England, major health system reforms in 2022 established 42 integrated care systems (ICSs)—area-based partnerships between health care, social care, public health, and other sectors—to plan and coordinate local services. ICSs cover the whole of England and have been given explicit policy objectives to reduce health inequalities, alongside other national priorities. We used qualitative methods to understand how local health care and social services organizations are collaborating to reduce health inequalities under England’s reforms. We conducted in-depth interviews between August and December 2022—soon after the reforms were implemented—with 32 senior leaders from NHS, social care, public health, and community-based organizations in three ICSs experiencing high levels of socioeconomic deprivation. We used a framework based on international evidence on cross-sector collaboration to help analyse the data. Leaders described strong commitment to working together to reduce health inequalities, but faced a combination of conceptual, cultural, capacity, and other challenges in doing so. A mix of factors shaped local collaboration—from how national policy aims are defined and understood, to the resources and relationships among local organizations to deliver them. These factors interact and have varying influence. The national policy context played a dominant role in shaping local collaboration experiences—frequently making it harder not easier. Organizational restructuring to establish ICSs also caused major disruption, with unintended effects on the partnership working it aimed to promote. The major influences on cross-sector collaboration in England mirror key areas identified in international research, offering opportunities for learning between countries. But our data highlight the pervasive—frequently perverse—influence of national policy on local collaboration in England. National policymakers risked undermining their own reforms. Closer alignment between policy, process, and resources to reduce health inequalities is likely needed to avoid policy failure as ICSs evolve.&quot;,&quot;publisher&quot;:&quot;BioMed Central&quot;,&quot;issue&quot;:&quot;1&quot;,&quot;volume&quot;:&quot;24&quot;,&quot;container-title-short&quot;:&quot;&quot;},&quot;isTemporary&quot;:false}]},{&quot;citationID&quot;:&quot;MENDELEY_CITATION_407b2907-a2b9-44e1-8077-ae747deff55d&quot;,&quot;properties&quot;:{&quot;noteIndex&quot;:0},&quot;isEdited&quot;:false,&quot;manualOverride&quot;:{&quot;isManuallyOverridden&quot;:false,&quot;citeprocText&quot;:&quot;(Elliott &lt;i&gt;et al.&lt;/i&gt;, 2025)&quot;,&quot;manualOverrideText&quot;:&quot;&quot;},&quot;citationTag&quot;:&quot;MENDELEY_CITATION_v3_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&quot;,&quot;citationItems&quot;:[{&quot;id&quot;:&quot;96abb91d-e4a3-3536-90b9-f8ed595956bd&quot;,&quot;itemData&quot;:{&quot;type&quot;:&quot;article-journal&quot;,&quot;id&quot;:&quot;96abb91d-e4a3-3536-90b9-f8ed595956bd&quot;,&quot;title&quot;:&quot;From policy to action: a document content analysis reviewing the adoption of the healthcare inequalities programme in local health system plans in England&quot;,&quot;author&quot;:[{&quot;family&quot;:&quot;Elliott&quot;,&quot;given&quot;:&quot;Hannah&quot;,&quot;parse-names&quot;:false,&quot;dropping-particle&quot;:&quot;&quot;,&quot;non-dropping-particle&quot;:&quot;&quot;},{&quot;family&quot;:&quot;Tozer&quot;,&quot;given&quot;:&quot;Chloe&quot;,&quot;parse-names&quot;:false,&quot;dropping-particle&quot;:&quot;&quot;,&quot;non-dropping-particle&quot;:&quot;&quot;},{&quot;family&quot;:&quot;Fenton&quot;,&quot;given&quot;:&quot;Andrew&quot;,&quot;parse-names&quot;:false,&quot;dropping-particle&quot;:&quot;&quot;,&quot;non-dropping-particle&quot;:&quot;&quot;},{&quot;family&quot;:&quot;Powers&quot;,&quot;given&quot;:&quot;Cassandra&quot;,&quot;parse-names&quot;:false,&quot;dropping-particle&quot;:&quot;&quot;,&quot;non-dropping-particle&quot;:&quot;&quot;},{&quot;family&quot;:&quot;Lines&quot;,&quot;given&quot;:&quot;Cathy&quot;,&quot;parse-names&quot;:false,&quot;dropping-particle&quot;:&quot;&quot;,&quot;non-dropping-particle&quot;:&quot;&quot;},{&quot;family&quot;:&quot;Hill&quot;,&quot;given&quot;:&quot;Mary&quot;,&quot;parse-names&quot;:false,&quot;dropping-particle&quot;:&quot;&quot;,&quot;non-dropping-particle&quot;:&quot;&quot;},{&quot;family&quot;:&quot;Owolabi&quot;,&quot;given&quot;:&quot;Bola&quot;,&quot;parse-names&quot;:false,&quot;dropping-particle&quot;:&quot;&quot;,&quot;non-dropping-particle&quot;:&quot;&quot;},{&quot;family&quot;:&quot;Ford&quot;,&quot;given&quot;:&quot;John Alexander&quot;,&quot;parse-names&quot;:false,&quot;dropping-particle&quot;:&quot;&quot;,&quot;non-dropping-particle&quot;:&quot;&quot;}],&quot;container-title&quot;:&quot;BMJ Open&quot;,&quot;container-title-short&quot;:&quot;BMJ Open&quot;,&quot;accessed&quot;:{&quot;date-parts&quot;:[[2026,4,3]]},&quot;DOI&quot;:&quot;10.1136/BMJOPEN-2025-102163&quot;,&quot;ISSN&quot;:&quot;20446055&quot;,&quot;PMID&quot;:&quot;41057193&quot;,&quot;URL&quot;:&quot;https://pmc.ncbi.nlm.nih.gov/articles/PMC12506202/&quot;,&quot;issued&quot;:{&quot;date-parts&quot;:[[2025,10,6]]},&quot;page&quot;:&quot;e102163&quot;,&quot;abstract&quot;:&quot;Objectives This analysis aimed to explore how local health system strategies and plans seek to tackle health and care inequalities and address national policies. Specifically, the analysis considered alignment with five national priority areas: restoring services inclusively, mitigating digital exclusion, ensuring the completeness and timeliness of datasets, accelerating preventative programmes and strengthening leadership and accountability. In addition, the analysis explored the extent to which systems are engaging with the Core20PLUS5 approach, which targets the most deprived 20% of the population ('Core 20') and population groups experiencing disproportionately poor access, outcomes or experiences of care ('PLUS'). Design and setting Integrated Care Systems (ICSs) are statutory partnerships that bring together healthcare, social care, local government and wider system organisations to collaboratively address the root causes of ill health and health inequalities. We conducted a document analysis of available ICS strategies, 5-year plans and health inequalities plans published in England between 1 January 2022 and 31 July 2023. A total of 43 strategy documents, 38 5-year plans and 7 health inequalities plans were analysed. A data extraction framework was used to guide reviewers and independent quality assurance was completed to ensure internal validity, intrarater reliability, and reproducibility of the project. Results The analysis highlighted good alignment with national healthcare inequalities policies and local approaches to tackling healthcare inequalities, with the majority of systems citing the Core20PLUS5 framework. There was notable variation between systems on the adoption of the framework with the children and young people's framework being less widely considered than the adult's framework. Across systems, equity-focused tools were widely used, and numerous systems had developed outcome frameworks to monitor progress. Leadership for health inequalities was strengthened with senior leadership roles being established to hold integrated care boards accountable for improving access, experiences and outcomes. However, competing priorities, particularly concerning implementations of new organisational models and multiple national priorities, were evident within the plans which may challenge progress on reducing health and healthcare inequalities. Conclusions The review concluded that while progress has been made in adopting national healthcare inequalities policies and steers, significant variation exists between systems, possibly reflecting local population needs and varying levels of maturity of the systems across England. The review highlights the need for further evaluations at both national and local levels, allowing for further development of the systems. Additionally, consistent and sustainable funding and more robust training for health inequalities leadership roles is needed to ensure equitable access, experience and outcomes.&quot;,&quot;publisher&quot;:&quot;BMJ Publishing Group&quot;,&quot;issue&quot;:&quot;10&quot;,&quot;volume&quot;:&quot;15&quot;},&quot;isTemporary&quot;:false}]},{&quot;citationID&quot;:&quot;MENDELEY_CITATION_e299bddd-0c87-4042-bd74-6eabe3e2846d&quot;,&quot;properties&quot;:{&quot;noteIndex&quot;:0},&quot;isEdited&quot;:false,&quot;manualOverride&quot;:{&quot;isManuallyOverridden&quot;:false,&quot;citeprocText&quot;:&quot;(NHS Support Federation, 2025)&quot;,&quot;manualOverrideText&quot;:&quot;&quot;},&quot;citationTag&quot;:&quot;MENDELEY_CITATION_v3_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&quot;,&quot;citationItems&quot;:[{&quot;id&quot;:&quot;17628dd7-8542-374f-88a7-a5532a4117cd&quot;,&quot;itemData&quot;:{&quot;type&quot;:&quot;webpage&quot;,&quot;id&quot;:&quot;17628dd7-8542-374f-88a7-a5532a4117cd&quot;,&quot;title&quot;:&quot;Cuts to Public Health - NHS Support Federation&quot;,&quot;author&quot;:[{&quot;family&quot;:&quot;NHS Support Federation&quot;,&quot;given&quot;:&quot;&quot;,&quot;parse-names&quot;:false,&quot;dropping-particle&quot;:&quot;&quot;,&quot;non-dropping-particle&quot;:&quot;&quot;}],&quot;accessed&quot;:{&quot;date-parts&quot;:[[2026,4,3]]},&quot;URL&quot;:&quot;https://nhscampaign.org/issues/staff-shortages-copy-4/&quot;,&quot;issued&quot;:{&quot;date-parts&quot;:[[2025]]},&quot;container-title-short&quot;:&quot;&quot;},&quot;isTemporary&quot;:false}]},{&quot;citationID&quot;:&quot;MENDELEY_CITATION_17244ab3-c657-48ea-8876-eeab91c09e5f&quot;,&quot;properties&quot;:{&quot;noteIndex&quot;:0},&quot;isEdited&quot;:false,&quot;manualOverride&quot;:{&quot;isManuallyOverridden&quot;:false,&quot;citeprocText&quot;:&quot;(Marmot, 2020)&quot;,&quot;manualOverrideText&quot;:&quot;&quot;},&quot;citationTag&quot;:&quot;MENDELEY_CITATION_v3_eyJjaXRhdGlvbklEIjoiTUVOREVMRVlfQ0lUQVRJT05fMTcyNDRhYjMtYzY1Ny00OGVhLTg4NzYtZWVhYjkxYzA5ZTVmIiwicHJvcGVydGllcyI6eyJub3RlSW5kZXgiOjB9LCJpc0VkaXRlZCI6ZmFsc2UsIm1hbnVhbE92ZXJyaWRlIjp7ImlzTWFudWFsbHlPdmVycmlkZGVuIjpmYWxzZSwiY2l0ZXByb2NUZXh0IjoiK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quot;citationID&quot;:&quot;MENDELEY_CITATION_59e60327-3672-4640-aba8-0ecc56c74303&quot;,&quot;properties&quot;:{&quot;noteIndex&quot;:0},&quot;isEdited&quot;:false,&quot;manualOverride&quot;:{&quot;isManuallyOverridden&quot;:false,&quot;citeprocText&quot;:&quot;(Marmot, 2020)&quot;,&quot;manualOverrideText&quot;:&quot;&quot;},&quot;citationTag&quot;:&quot;MENDELEY_CITATION_v3_eyJjaXRhdGlvbklEIjoiTUVOREVMRVlfQ0lUQVRJT05fNTllNjAzMjctMzY3Mi00NjQwLWFiYTgtMGVjYzU2Yzc0MzAzIiwicHJvcGVydGllcyI6eyJub3RlSW5kZXgiOjB9LCJpc0VkaXRlZCI6ZmFsc2UsIm1hbnVhbE92ZXJyaWRlIjp7ImlzTWFudWFsbHlPdmVycmlkZGVuIjpmYWxzZSwiY2l0ZXByb2NUZXh0IjoiK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quot;citationID&quot;:&quot;MENDELEY_CITATION_ff82034e-698e-4424-a3f6-d27b554c75ce&quot;,&quot;properties&quot;:{&quot;noteIndex&quot;:0},&quot;isEdited&quot;:false,&quot;manualOverride&quot;:{&quot;isManuallyOverridden&quot;:false,&quot;citeprocText&quot;:&quot;(Birmingham City Council., 2019; Birmingham City Council, 2025; &lt;i&gt;Health and wellbeing strategy | Birmingham City Council&lt;/i&gt;, 2025)&quot;,&quot;manualOverrideText&quot;:&quot;&quot;},&quot;citationTag&quot;:&quot;MENDELEY_CITATION_v3_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&quot;,&quot;citationItems&quot;:[{&quot;id&quot;:&quot;36c72e2f-20a7-32a9-97ac-9a36813a2200&quot;,&quot;itemData&quot;:{&quot;type&quot;:&quot;article-journal&quot;,&quot;id&quot;:&quot;36c72e2f-20a7-32a9-97ac-9a36813a2200&quot;,&quot;title&quot;:&quot;Health and wellbeing strategy&quot;,&quot;author&quot;:[{&quot;family&quot;:&quot;Birmingham City Council&quot;,&quot;given&quot;:&quot;&quot;,&quot;parse-names&quot;:false,&quot;dropping-particle&quot;:&quot;&quot;,&quot;non-dropping-particle&quot;:&quot;&quot;}],&quot;accessed&quot;:{&quot;date-parts&quot;:[[2026,4,3]]},&quot;issued&quot;:{&quot;date-parts&quot;:[[2025]]},&quot;abstract&quot;:&quot;Priorities for the Birmingham Health and Wellbeing Board&quot;,&quot;container-title-short&quot;:&quot;&quot;},&quot;isTemporary&quot;:false},{&quot;id&quot;:&quot;c32339a4-42ce-3100-8415-6135211021a8&quot;,&quot;itemData&quot;:{&quot;type&quot;:&quot;webpage&quot;,&quot;id&quot;:&quot;c32339a4-42ce-3100-8415-6135211021a8&quot;,&quot;title&quot;:&quot;Health and wellbeing strategy | Birmingham City Council&quot;,&quot;accessed&quot;:{&quot;date-parts&quot;:[[2026,4,3]]},&quot;URL&quot;:&quot;https://www.birmingham.gov.uk/info/50119/health_and_wellbeing_board/1300/health_and_wellbeing_strategy&quot;,&quot;issued&quot;:{&quot;date-parts&quot;:[[2025]]},&quot;container-title-short&quot;:&quot;&quot;},&quot;isTemporary&quot;:false},{&quot;id&quot;:&quot;2fd0743b-9479-384f-8b4f-b4ea91e1a566&quot;,&quot;itemData&quot;:{&quot;type&quot;:&quot;article-journal&quot;,&quot;id&quot;:&quot;2fd0743b-9479-384f-8b4f-b4ea91e1a566&quot;,&quot;title&quot;:&quot;Birmingham Public Health Green Paper &quot;,&quot;author&quot;:[{&quot;family&quot;:&quot;Birmingham City Council.&quot;,&quot;given&quot;:&quot;&quot;,&quot;parse-names&quot;:false,&quot;dropping-particle&quot;:&quot;&quot;,&quot;non-dropping-particle&quot;:&quot;&quot;}],&quot;issued&quot;:{&quot;date-parts&quot;:[[2019]]},&quot;container-title-short&quot;:&quot;&quot;},&quot;isTemporary&quot;:false}]},{&quot;citationID&quot;:&quot;MENDELEY_CITATION_c516c7fb-bb10-490a-967a-130f6bf85f2f&quot;,&quot;properties&quot;:{&quot;noteIndex&quot;:0},&quot;isEdited&quot;:false,&quot;manualOverride&quot;:{&quot;isManuallyOverridden&quot;:false,&quot;citeprocText&quot;:&quot;(Technical Team, 2025)&quot;,&quot;manualOverrideText&quot;:&quot;&quot;},&quot;citationTag&quot;:&quot;MENDELEY_CITATION_v3_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&quot;,&quot;citationItems&quot;:[{&quot;id&quot;:&quot;04ee3839-720d-3e9a-b774-46e6db529c5c&quot;,&quot;itemData&quot;:{&quot;type&quot;:&quot;webpage&quot;,&quot;id&quot;:&quot;04ee3839-720d-3e9a-b774-46e6db529c5c&quot;,&quot;title&quot;:&quot;Summary of all 42 NHS Integrated Care System (ICS) Strategies - 6B&quot;,&quot;author&quot;:[{&quot;family&quot;:&quot;Technical Team&quot;,&quot;given&quot;:&quot;&quot;,&quot;parse-names&quot;:false,&quot;dropping-particle&quot;:&quot;&quot;,&quot;non-dropping-particle&quot;:&quot;&quot;}],&quot;accessed&quot;:{&quot;date-parts&quot;:[[2026,4,3]]},&quot;URL&quot;:&quot;https://6b.health/insight/summary-of-all-42-nhs-integrated-care-system-ics-strategies/&quot;,&quot;issued&quot;:{&quot;date-parts&quot;:[[2025]]},&quot;container-title-short&quot;:&quot;&quot;},&quot;isTemporary&quot;:false}]},{&quot;citationID&quot;:&quot;MENDELEY_CITATION_233720bb-c8ab-4d24-ab2b-7b630cb66fa1&quot;,&quot;properties&quot;:{&quot;noteIndex&quot;:0},&quot;isEdited&quot;:false,&quot;manualOverride&quot;:{&quot;isManuallyOverridden&quot;:false,&quot;citeprocText&quot;:&quot;(Haringey Council, no date; Harris &lt;i&gt;et al.&lt;/i&gt;, 2019)&quot;,&quot;manualOverrideText&quot;:&quot;&quot;},&quot;citationTag&quot;:&quot;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&quot;,&quot;citationItems&quot;:[{&quot;id&quot;:&quot;e8092af7-2632-3cc2-add6-0698e56f87b1&quot;,&quot;itemData&quot;:{&quot;type&quot;:&quot;webpage&quot;,&quot;id&quot;:&quot;e8092af7-2632-3cc2-add6-0698e56f87b1&quot;,&quot;title&quot;:&quot;Asthma Friendly Schools &quot;,&quot;author&quot;:[{&quot;family&quot;:&quot;Haringey Council&quot;,&quot;given&quot;:&quot;&quot;,&quot;parse-names&quot;:false,&quot;dropping-particle&quot;:&quot;&quot;,&quot;non-dropping-particle&quot;:&quot;&quot;}],&quot;accessed&quot;:{&quot;date-parts&quot;:[[2026,4,3]]},&quot;URL&quot;:&quot;https://haringey.gov.uk/health-wellbeing/healthy-schools-programme/asthma-friendly-schools&quot;,&quot;container-title-short&quot;:&quot;&quot;},&quot;isTemporary&quot;:false},{&quot;id&quot;:&quot;d788e1d1-821a-3745-a399-5a64be180dff&quot;,&quot;itemData&quot;:{&quot;type&quot;:&quot;article-journal&quot;,&quot;id&quot;:&quot;d788e1d1-821a-3745-a399-5a64be180dff&quot;,&quot;title&quot;:&quot;School‐based self‐management interventions for asthma in children and adolescents: a mixed methods systematic review&quot;,&quot;author&quot;:[{&quot;family&quot;:&quot;Harris&quot;,&quot;given&quot;:&quot;Katherine M.&quot;,&quot;parse-names&quot;:false,&quot;dropping-particle&quot;:&quot;&quot;,&quot;non-dropping-particle&quot;:&quot;&quot;},{&quot;family&quot;:&quot;Kneale&quot;,&quot;given&quot;:&quot;Dylan&quot;,&quot;parse-names&quot;:false,&quot;dropping-particle&quot;:&quot;&quot;,&quot;non-dropping-particle&quot;:&quot;&quot;},{&quot;family&quot;:&quot;Lasserson&quot;,&quot;given&quot;:&quot;Toby J.&quot;,&quot;parse-names&quot;:false,&quot;dropping-particle&quot;:&quot;&quot;,&quot;non-dropping-particle&quot;:&quot;&quot;},{&quot;family&quot;:&quot;Mcdonald&quot;,&quot;given&quot;:&quot;Vanessa M.&quot;,&quot;parse-names&quot;:false,&quot;dropping-particle&quot;:&quot;&quot;,&quot;non-dropping-particle&quot;:&quot;&quot;},{&quot;family&quot;:&quot;Grigg&quot;,&quot;given&quot;:&quot;Jonathan&quot;,&quot;parse-names&quot;:false,&quot;dropping-particle&quot;:&quot;&quot;,&quot;non-dropping-particle&quot;:&quot;&quot;},{&quot;family&quot;:&quot;Thomas&quot;,&quot;given&quot;:&quot;James&quot;,&quot;parse-names&quot;:false,&quot;dropping-particle&quot;:&quot;&quot;,&quot;non-dropping-particle&quot;:&quot;&quot;}],&quot;container-title&quot;:&quot;The Cochrane Database of Systematic Reviews&quot;,&quot;container-title-short&quot;:&quot;Cochrane Database Syst. Rev.&quot;,&quot;accessed&quot;:{&quot;date-parts&quot;:[[2026,4,3]]},&quot;DOI&quot;:&quot;10.1002/14651858.CD011651.PUB2&quot;,&quot;ISSN&quot;:&quot;1469493X&quot;,&quot;PMID&quot;:&quot;30687940&quot;,&quot;URL&quot;:&quot;https://pmc.ncbi.nlm.nih.gov/articles/PMC6353176/&quot;,&quot;issued&quot;:{&quot;date-parts&quot;:[[2019,1,28]]},&quot;page&quot;:&quot;CD011651&quot;,&quot;abstract&quot;:&quot;Background: Asthma is a common respiratory condition in children that is characterised by symptoms including wheeze, shortness of breath, chest tightness, and cough. Children with asthma may be able to manage their condition more effectively by improving inhaler technique, and by recognising and responding to symptoms. Schools offer a potentially supportive environment for delivering interventions aimed at improving self-management skills among children. The educational ethos aligns with skill and knowledge acquisition and makes it easier to reach children with asthma who do not regularly engage with primary care. Given the multi-faceted nature of self-management interventions, there is a need to understand the combination of intervention features that are associated with successful delivery of asthma self-management programmes. Objectives: This review has two primary objectives. To identify the intervention features that are aligned with successful intervention implementation. To assess effectiveness of school-based interventions provided to improve asthma self-management among children. We addressed the first objective by performing qualitative comparative analysis (QCA), a synthesis method described in depth later, of process evaluation studies to identify the combination of intervention components and processes that are aligned with successful intervention implementation. We pursued the second objective by undertaking meta-analyses of outcomes reported by outcome evaluation studies. We explored the link between how well an intervention is implemented and its effectiveness by using separate models, as well as by undertaking additional subgroup analyses. Search methods: We searched the Cochrane Airways Trials Register for randomised studies. To identify eligible process evaluation studies, we searched MEDLINE, Embase, the Cumulative Index to Nursing and Allied Health Literature (CINAHL), PsycINFO, the Cochrane Database of Systematic Reviews (CDSR), Web of Knowledge, the Database of Promoting Health Effectiveness Reviews (DoPHER), the Database of Abstracts of Reviews of Effects (DARE), the International Biography of Social Science (IBSS), Bibliomap, Health Technology Assessment (HTA), Applied Social Sciences Index and Abstracts (ASSIA), and Sociological Abstracts (SocAbs). We conducted the latest search on 28 August 2017. Selection criteria: Participants were school-aged children with asthma who received the intervention in school. Interventions were eligible if their purpose was to help children improve management of their asthma by increasing knowledge, enhancing skills, or changing behaviour. Studies relevant to our first objective could be based on an experimental or quasi-experimental design and could use qualitative or quantitative methods of data collection. For the second objective we included randomised controlled trials (RCTs) where children were allocated individually or in clusters (e.g. classrooms or schools) to self-management interventions or no intervention control. Data collection and analysis: We used qualitative comparative analysis (QCA) to identify intervention features that lead to successful implementation of asthma self-management interventions. We measured implementation success by reviewing reports of attrition, intervention dosage, and treatment adherence, irrespective of effects of the interventions. To measure the effects of interventions, we combined data from eligible studies for our primary outcomes: admission to hospital, emergency department (ED) visits, absence from school, and days of restricted activity due to asthma symptoms. Secondary outcomes included unplanned visits to healthcare providers, daytime and night-time symptoms, use of reliever therapies, and health-related quality of life as measured by the Asthma Quality of Life Questionnaire (AQLQ). Main results: We included 55 studies in the review. Thirty-three studies in 14,174 children provided information for the QCA, and 33 RCTs in 12,623 children measured the effects of interventions. Eleven studies contributed to both the QCA and the analysis of effectiveness. Most studies were conducted in North America in socially disadvantaged populations. High school students were better represented among studies contributing to the QCA than in studies contributing to effectiveness evaluations, which more commonly included younger elementary and junior high school students. The interventions all attempted to improve knowledge of asthma, its triggers, and stressed the importance of regular practitioner review, although there was variation in how they were delivered. QCA results highlighted the importance of an intervention being theory driven, along with the importance of factors such as parent involvement, child satisfaction, and running the intervention outside the child's own time as drivers of successful implementation. Compared with no intervention, school-based self-management interventions probably reduce mean hospitalisations by an average of about 0.16 admissions per child over 12 months (SMD -0.19, 95% CI -0.35 to -0.04; 1873 participants; 6 studies, moderate certainty evidence). They may reduce the number of children who visit EDs from 7.5% to 5.4% over 12 months (OR 0.70, 95% CI 0.53 to 0.92; 3883 participants; 13 studies, low certainty evidence), and probably reduce unplanned visits to hospitals or primary care from 26% to 21% at 6 to 9 months (OR 0.74, 95% CI 0.60 to 0.90; 3490 participants; 5 studies, moderate certainty evidence). Self-management interventions probably reduce the number of days of restricted activity by just under half a day over a two-week period (MD 0.38 days 95% CI -0.41 to -0.18; 1852 participants; 3 studies, moderate certainty evidence). Effects of interventions on school absence are uncertain due to the variation between the results of the studies (MD 0.4 fewer school days missed per year with self-management (-1.25 to 0.45; 4609 participants; 10 studies, low certainty evidence). Evidence is insufficient to show whether the requirement for reliever medications is affected by these interventions (OR 0.52, 95% CI 0.15 to 1.81; 437 participants; 2 studies; very low-certainty evidence). Self-management interventions probably improve children's asthma-related quality of life by a small amount (MD 0.36 units higher on the Paediatric AQLQ(95% CI 0.06 to 0.64; 2587 participants; 7 studies, moderate certainty evidence). Authors' conclusions: School-based asthma self-management interventions probably reduce hospital admission and may slightly reduce ED attendance, although their impact on school attendance could not be measured reliably. They may also reduce the number of days where children experience asthma symptoms, and probably lead to small improvements in asthma-related quality of life. Many of the studies tested the intervention in younger children from socially disadvantaged populations. Interventions that had a theoretical framework, engaged parents and were run outside of children's free time were associated with successful implementation.&quot;,&quot;publisher&quot;:&quot;John Wiley and Sons Ltd&quot;,&quot;issue&quot;:&quot;1&quot;,&quot;volume&quot;:&quot;2019&quot;},&quot;isTemporary&quot;:false}]},{&quot;citationID&quot;:&quot;MENDELEY_CITATION_99444fef-2596-491c-a3ec-cbfc4290b126&quot;,&quot;properties&quot;:{&quot;noteIndex&quot;:0},&quot;isEdited&quot;:false,&quot;manualOverride&quot;:{&quot;isManuallyOverridden&quot;:false,&quot;citeprocText&quot;:&quot;(Dahlgren and Whitehead, 2021)&quot;,&quot;manualOverrideText&quot;:&quot;&quot;},&quot;citationTag&quot;:&quot;MENDELEY_CITATION_v3_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&quot;,&quot;citationItems&quot;:[{&quot;id&quot;:&quot;aadbf289-007b-3f50-84bf-08676ca502ec&quot;,&quot;itemData&quot;:{&quot;type&quot;:&quot;article-journal&quot;,&quot;id&quot;:&quot;aadbf289-007b-3f50-84bf-08676ca502ec&quot;,&quot;title&quot;:&quot;The Dahlgren-Whitehead model of health determinants: 30 years on and still chasing rainbows&quot;,&quot;author&quot;:[{&quot;family&quot;:&quot;Dahlgren&quot;,&quot;given&quot;:&quot;Göran&quot;,&quot;parse-names&quot;:false,&quot;dropping-particle&quot;:&quot;&quot;,&quot;non-dropping-particle&quot;:&quot;&quot;},{&quot;family&quot;:&quot;Whitehead&quot;,&quot;given&quot;:&quot;Margaret&quot;,&quot;parse-names&quot;:false,&quot;dropping-particle&quot;:&quot;&quot;,&quot;non-dropping-particle&quot;:&quot;&quot;}],&quot;container-title&quot;:&quot;Public health&quot;,&quot;container-title-short&quot;:&quot;Public Health&quot;,&quot;accessed&quot;:{&quot;date-parts&quot;:[[2026,4,2]]},&quot;DOI&quot;:&quot;10.1016/J.PUHE.2021.08.009&quot;,&quot;ISSN&quot;:&quot;1476-5616&quot;,&quot;PMID&quot;:&quot;34534885&quot;,&quot;URL&quot;:&quot;https://pubmed.ncbi.nlm.nih.gov/34534885/&quot;,&quot;issued&quot;:{&quot;date-parts&quot;:[[2021,10,1]]},&quot;page&quot;:&quot;20-24&quot;,&quot;abstract&quot;:&quot;This year marks the 30th anniversary of the Dahlgren and Whitehead model of the main determinants of health, sometimes known as ‘The Rainbow Model’. In this article, we reflect on developments over those thirty years before going on to look to the future. We start by telling the story of our model's idiosyncratic journey from initial rejection to worldwide acclaim. We reflect on the many ways in which the model has been used over the years and why it has proved illuminating for people in so many different positions. It is equally important to understand what it does not do and what it was never intended to do, as sometimes the conceptual debate gets side-tracked by mistaken assumptions. We take some space to outline how we ourselves use the model with the complementary Diderichsen Framework to explain the pathways and mechanisms by which the known determinants of health bring about the social gradients in health that are observed within countries. We conclude by looking to the future and what further needs to be done to capture insights for action on the determinants and drivers of health and of growing inequalities in the post-pandemic world.&quot;,&quot;publisher&quot;:&quot;Public Health&quot;,&quot;volume&quot;:&quot;199&quot;},&quot;isTemporary&quot;:false}]},{&quot;citationID&quot;:&quot;MENDELEY_CITATION_30408189-344c-4fb7-af44-9c193281ca14&quot;,&quot;properties&quot;:{&quot;noteIndex&quot;:0},&quot;isEdited&quot;:false,&quot;manualOverride&quot;:{&quot;isManuallyOverridden&quot;:false,&quot;citeprocText&quot;:&quot;(Kapadia &lt;i&gt;et al.&lt;/i&gt;, 2022)&quot;,&quot;manualOverrideText&quot;:&quot;&quot;},&quot;citationTag&quot;:&quot;MENDELEY_CITATION_v3_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&quot;,&quot;citationItems&quot;:[{&quot;id&quot;:&quot;f073853f-f3a7-3072-82f0-6e29abc7e4ec&quot;,&quot;itemData&quot;:{&quot;type&quot;:&quot;report&quot;,&quot;id&quot;:&quot;f073853f-f3a7-3072-82f0-6e29abc7e4ec&quot;,&quot;title&quot;:&quot;Ethnic Inequalities in Healthcare: A Rapid Evidence Review&quot;,&quot;author&quot;:[{&quot;family&quot;:&quot;Kapadia&quot;,&quot;given&quot;:&quot;Dharmi&quot;,&quot;parse-names&quot;:false,&quot;dropping-particle&quot;:&quot;&quot;,&quot;non-dropping-particle&quot;:&quot;&quot;},{&quot;family&quot;:&quot;Zhang&quot;,&quot;given&quot;:&quot;Jingwen&quot;,&quot;parse-names&quot;:false,&quot;dropping-particle&quot;:&quot;&quot;,&quot;non-dropping-particle&quot;:&quot;&quot;},{&quot;family&quot;:&quot;Salway&quot;,&quot;given&quot;:&quot;Sarah&quot;,&quot;parse-names&quot;:false,&quot;dropping-particle&quot;:&quot;&quot;,&quot;non-dropping-particle&quot;:&quot;&quot;},{&quot;family&quot;:&quot;Nazroo&quot;,&quot;given&quot;:&quot;James&quot;,&quot;parse-names&quot;:false,&quot;dropping-particle&quot;:&quot;&quot;,&quot;non-dropping-particle&quot;:&quot;&quot;},{&quot;family&quot;:&quot;Booth&quot;,&quot;given&quot;:&quot;Andrew&quot;,&quot;parse-names&quot;:false,&quot;dropping-particle&quot;:&quot;&quot;,&quot;non-dropping-particle&quot;:&quot;&quot;},{&quot;family&quot;:&quot;Villarroel-Williams&quot;,&quot;given&quot;:&quot;Nazmy&quot;,&quot;parse-names&quot;:false,&quot;dropping-particle&quot;:&quot;&quot;,&quot;non-dropping-particle&quot;:&quot;&quot;},{&quot;family&quot;:&quot;Bécares&quot;,&quot;given&quot;:&quot;Laia&quot;,&quot;parse-names&quot;:false,&quot;dropping-particle&quot;:&quot;&quot;,&quot;non-dropping-particle&quot;:&quot;&quot;},{&quot;family&quot;:&quot;Esmail&quot;,&quot;given&quot;:&quot;Aneez&quot;,&quot;parse-names&quot;:false,&quot;dropping-particle&quot;:&quot;&quot;,&quot;non-dropping-particle&quot;:&quot;&quot;},{&quot;family&quot;:&quot;Naqvi&quot;,&quot;given&quot;:&quot;Habib&quot;,&quot;parse-names&quot;:false,&quot;dropping-particle&quot;:&quot;&quot;,&quot;non-dropping-particle&quot;:&quot;&quot;},{&quot;family&quot;:&quot;Race&quot;,&quot;given&quot;:&quot;Nhs&quot;,&quot;parse-names&quot;:false,&quot;dropping-particle&quot;:&quot;&quot;,&quot;non-dropping-particle&quot;:&quot;&quot;},{&quot;family&quot;:&quot;Observatory&quot;,&quot;given&quot;:&quot;Health&quot;,&quot;parse-names&quot;:false,&quot;dropping-particle&quot;:&quot;&quot;,&quot;non-dropping-particle&quot;:&quot;&quot;}],&quot;issued&quot;:{&quot;date-parts&quot;:[[2022]]},&quot;abstract&quot;:&quot;Foreword The NHS Race and Health Observatory is, first and foremost, a health research body. We exist to ensure that the best possible evidence is available to support the NHS to tackle ethnic health inequity. But when we speak about what we do, we're sometimes met with a challenge: that we already know what the problem is, that more reports and research won't help, and that what we need now is action. In many ways I agree with this challenge. There has long been evidence of the stark health inequalities faced by ethnic minority communities in this country. But we must also accept that existing evidence hasn't led to significant change. This is why the Observatory exists. Not just to produce more evidence, but to synthesise what already exists, translate it into actionable policy recommendations, and challenge leaders to act. By drawing together the evidence, and plugging the gaps where we find them, we intend to make clear the overwhelming case for radical action on race inequity in our health service. Put another way, we exist to remove excuses. This report represents a foundational step in our development. Early on, we spoke to our stakeholders to determine our priorities. There are many areas that require attention, but some rose above the others-mental health, maternal and neonatal health, digital inclusion, genomics and precision medicine, the health and care workforce. But perhaps more importantly than these individual priorities was the need for the Observatory to engage with the forces that create and reinforce these inequalities in the first place, including structural, institutional and interpersonal racism. This report is the first of its kind to analyse the overwhelming evidence of ethnic health inequality through the lens of racism. A process that, until recently, our leaders have shied away from. I believe, however, that we are living through a time of change, where racism and racial inequality are on the agenda like never before for leaders in our health service. This report should be a tool for them; highlighting the best quality evidence across our priority areas, and making concrete recommendations for change. There is no excuse for inaction.&quot;,&quot;container-title-short&quot;:&quot;&quot;},&quot;isTemporary&quot;:false}]},{&quot;citationID&quot;:&quot;MENDELEY_CITATION_c1fd9f7b-0604-4da9-923a-03e874869d87&quot;,&quot;properties&quot;:{&quot;noteIndex&quot;:0},&quot;isEdited&quot;:false,&quot;manualOverride&quot;:{&quot;isManuallyOverridden&quot;:false,&quot;citeprocText&quot;:&quot;(NHS England Core20PLUS5 (adults), 2022)&quot;,&quot;manualOverrideText&quot;:&quot;&quot;},&quot;citationTag&quot;:&quot;MENDELEY_CITATION_v3_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&quot;,&quot;citationItems&quot;:[{&quot;id&quot;:&quot;65e22147-89fc-3eb7-ab3e-e4dab717c673&quot;,&quot;itemData&quot;:{&quot;type&quot;:&quot;webpage&quot;,&quot;id&quot;:&quot;65e22147-89fc-3eb7-ab3e-e4dab717c673&quot;,&quot;title&quot;:&quot;An approach to reducing healthcare inequalities&quot;,&quot;author&quot;:[{&quot;family&quot;:&quot;NHS England Core20PLUS5 (adults)&quot;,&quot;given&quot;:&quot;&quot;,&quot;parse-names&quot;:false,&quot;dropping-particle&quot;:&quot;&quot;,&quot;non-dropping-particle&quot;:&quot;&quot;}],&quot;accessed&quot;:{&quot;date-parts&quot;:[[2026,4,3]]},&quot;URL&quot;:&quot;https://www.england.nhs.uk/about/equality/equality-hub/national-healthcare-inequalities-improvement-programme/core20plus5/&quot;,&quot;issued&quot;:{&quot;date-parts&quot;:[[2022]]},&quot;container-title-short&quot;:&quot;&quot;},&quot;isTemporary&quot;:false}]},{&quot;citationID&quot;:&quot;MENDELEY_CITATION_46986750-1e98-45d6-9c24-fbc82a923cb2&quot;,&quot;properties&quot;:{&quot;noteIndex&quot;:0},&quot;isEdited&quot;:false,&quot;manualOverride&quot;:{&quot;isManuallyOverridden&quot;:false,&quot;citeprocText&quot;:&quot;(Birmingham City Council, 2025)&quot;,&quot;manualOverrideText&quot;:&quot;&quot;},&quot;citationTag&quot;:&quot;MENDELEY_CITATION_v3_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&quot;,&quot;citationItems&quot;:[{&quot;id&quot;:&quot;36c72e2f-20a7-32a9-97ac-9a36813a2200&quot;,&quot;itemData&quot;:{&quot;type&quot;:&quot;article-journal&quot;,&quot;id&quot;:&quot;36c72e2f-20a7-32a9-97ac-9a36813a2200&quot;,&quot;title&quot;:&quot;Health and wellbeing strategy&quot;,&quot;author&quot;:[{&quot;family&quot;:&quot;Birmingham City Council&quot;,&quot;given&quot;:&quot;&quot;,&quot;parse-names&quot;:false,&quot;dropping-particle&quot;:&quot;&quot;,&quot;non-dropping-particle&quot;:&quot;&quot;}],&quot;accessed&quot;:{&quot;date-parts&quot;:[[2026,4,3]]},&quot;issued&quot;:{&quot;date-parts&quot;:[[2025]]},&quot;abstract&quot;:&quot;Priorities for the Birmingham Health and Wellbeing Board&quot;,&quot;container-title-short&quot;:&quot;&quot;},&quot;isTemporary&quot;:false}]},{&quot;citationID&quot;:&quot;MENDELEY_CITATION_4a85e64b-0b18-4792-96fa-e9ca96f44115&quot;,&quot;properties&quot;:{&quot;noteIndex&quot;:0},&quot;isEdited&quot;:false,&quot;manualOverride&quot;:{&quot;isManuallyOverridden&quot;:false,&quot;citeprocText&quot;:&quot;(Marmot, 2020)&quot;,&quot;manualOverrideText&quot;:&quot;&quot;},&quot;citationTag&quot;:&quot;MENDELEY_CITATION_v3_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&quot;,&quot;citationItems&quot;:[{&quot;id&quot;:&quot;920c049c-6284-3ee8-8ecc-2da89458fbcc&quot;,&quot;itemData&quot;:{&quot;type&quot;:&quot;article-journal&quot;,&quot;id&quot;:&quot;920c049c-6284-3ee8-8ecc-2da89458fbcc&quot;,&quot;title&quot;:&quot;Health equity in England: the Marmot review 10 years on&quot;,&quot;author&quot;:[{&quot;family&quot;:&quot;Marmot&quot;,&quot;given&quot;:&quot;Michael&quot;,&quot;parse-names&quot;:false,&quot;dropping-particle&quot;:&quot;&quot;,&quot;non-dropping-particle&quot;:&quot;&quot;}],&quot;container-title&quot;:&quot;BMJ&quot;,&quot;accessed&quot;:{&quot;date-parts&quot;:[[2026,4,3]]},&quot;DOI&quot;:&quot;10.1136/BMJ.M693&quot;,&quot;ISSN&quot;:&quot;1756-1833&quot;,&quot;PMID&quot;:&quot;32094110&quot;,&quot;URL&quot;:&quot;https://www.bmj.com/content/368/bmj.m693&quot;,&quot;issued&quot;:{&quot;date-parts&quot;:[[2020,2,25]]},&quot;abstract&quot;:&quot;Ten years after the landmark review on health inequalities in England, coauthor Michael Marmot says the situation has become worse\n\nBritain has lost a decade. And it shows. Health, as measured by life expectancy, has stopped improving, and health inequalities are growing wider. Improvement in life expectancy, from the end of the 19th century on, started slowing dramatically in 2011. Now in parts of England, particularly among women in deprived communities and the north, life expectancy has fallen, and the years people spend in poor health might even be increasing—a shocking development. In the UK, as in other countries, we are used to health improving year on year. Bad as health is in England, the damage to the health of people in Scotland, Wales, and Northern Ireland has been worse.\n\nPut simply, if health has stopped improving, then society has stopped improving. Evidence, assembled globally, shows that health is a good measure of social and economic progress. When a society is flourishing, health tends to flourish. When a society has large social and economic inequalities, it also has large inequalities in health.1 The health of the population is not just a matter of how well the health service is funded and functions, important as that is, but also the conditions in which people are born, grow, live, work, and age, and inequities in power, money, and resources. Taken together, these are the social determinants of health.2\n\nThis damage to the nation’s health need not have happened. In 2010, both the Labour government and the Conservative-led coalition government that followed it were concerned that health inequalities in England were too wide and that action was needed to reduce them. To inform that action the government in 2008 commissioned me to review what it and wider society could do to …&quot;,&quot;publisher&quot;:&quot;British Medical Journal Publishing Group&quot;,&quot;volume&quot;:&quot;368&quot;,&quot;container-title-short&quot;:&quot;&quot;},&quot;isTemporary&quot;:false}]}]"/>
    <we:property name="MENDELEY_CITATIONS_LOCALE_CODE" value="&quot;en-GB&quot;"/>
    <we:property name="MENDELEY_CITATIONS_STYLE" value="{&quot;id&quot;:&quot;https://www.zotero.org/styles/harvard-cite-them-right-11th-edition&quot;,&quot;title&quot;:&quot;Cite Them Right 11th edition (author-date/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30708-2530-4682-9FCD-55EA9108B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3319</Words>
  <Characters>18921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Dupsy Akoma</dc:creator>
  <cp:keywords/>
  <dc:description/>
  <cp:lastModifiedBy>Confidence Agomuo Onuoha (2244624)</cp:lastModifiedBy>
  <cp:revision>2</cp:revision>
  <cp:lastPrinted>2026-04-20T22:21:00Z</cp:lastPrinted>
  <dcterms:created xsi:type="dcterms:W3CDTF">2026-04-21T01:53:00Z</dcterms:created>
  <dcterms:modified xsi:type="dcterms:W3CDTF">2026-04-21T01:53:00Z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0feb2ecc-9dab-47f6-8cf3-d9152579ab98</vt:lpwstr>
  </property>
</Properties>
</file>