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E2C374" w14:textId="77777777" w:rsidR="000F247C" w:rsidRDefault="000F247C">
      <w:pPr>
        <w:rPr>
          <w:b/>
          <w:bCs/>
        </w:rPr>
      </w:pPr>
      <w:r>
        <w:rPr>
          <w:b/>
          <w:bCs/>
        </w:rPr>
        <w:t>Samantha MacLaren</w:t>
      </w:r>
    </w:p>
    <w:p w14:paraId="6097B540" w14:textId="2FACEF79" w:rsidR="000F247C" w:rsidRDefault="000F247C">
      <w:pPr>
        <w:rPr>
          <w:b/>
          <w:bCs/>
        </w:rPr>
      </w:pPr>
      <w:r>
        <w:rPr>
          <w:b/>
          <w:bCs/>
        </w:rPr>
        <w:t>Word Count: 2442</w:t>
      </w:r>
    </w:p>
    <w:p w14:paraId="186BD46B" w14:textId="7CFDEF57" w:rsidR="000F247C" w:rsidRPr="000F247C" w:rsidRDefault="000F247C">
      <w:pPr>
        <w:rPr>
          <w:b/>
          <w:bCs/>
        </w:rPr>
      </w:pPr>
      <w:r>
        <w:rPr>
          <w:b/>
          <w:bCs/>
        </w:rPr>
        <w:t>Discuss the theme of death in literature about Brittany. You should make detailed reference to at least two works studied.</w:t>
      </w:r>
    </w:p>
    <w:p w14:paraId="3E046BF2" w14:textId="77777777" w:rsidR="000F247C" w:rsidRDefault="000F247C" w:rsidP="000F247C"/>
    <w:p w14:paraId="73DA20FA" w14:textId="34D3D7A4" w:rsidR="00CA17AF" w:rsidRPr="002C7DC2" w:rsidRDefault="00B25D56" w:rsidP="000F247C">
      <w:pPr>
        <w:ind w:firstLine="720"/>
      </w:pPr>
      <w:r>
        <w:t xml:space="preserve">The theme of death may be one of the most prominent associations with Brittany in its literature and culture. Death, superstition and ‘otherworldliness’ are themes which frequently emerge in </w:t>
      </w:r>
      <w:r w:rsidR="00E673BC">
        <w:t xml:space="preserve">Breton </w:t>
      </w:r>
      <w:r>
        <w:t>stories and myth</w:t>
      </w:r>
      <w:r w:rsidR="00E673BC">
        <w:t>s</w:t>
      </w:r>
      <w:r>
        <w:t xml:space="preserve">, and many writers use </w:t>
      </w:r>
      <w:r w:rsidR="00C6442D">
        <w:t>these themes to great effect in their writings about Brittany as we shall see.</w:t>
      </w:r>
      <w:r w:rsidR="007D7A97">
        <w:t xml:space="preserve"> </w:t>
      </w:r>
      <w:r w:rsidR="00CA17AF">
        <w:t>This essay will explore the theme of death in Brittany</w:t>
      </w:r>
      <w:r w:rsidR="006C24BA">
        <w:t>,</w:t>
      </w:r>
      <w:r w:rsidR="00CA17AF">
        <w:t xml:space="preserve"> paying particular attention to the figure of the </w:t>
      </w:r>
      <w:r w:rsidR="00CA17AF">
        <w:rPr>
          <w:i/>
          <w:iCs/>
        </w:rPr>
        <w:t xml:space="preserve">Ankou </w:t>
      </w:r>
      <w:r w:rsidR="00847F6E">
        <w:t xml:space="preserve">and his entourage the </w:t>
      </w:r>
      <w:r w:rsidR="00847F6E">
        <w:rPr>
          <w:i/>
          <w:iCs/>
        </w:rPr>
        <w:t xml:space="preserve">anaon. </w:t>
      </w:r>
      <w:r w:rsidR="00847F6E">
        <w:t xml:space="preserve">It will discuss the work of several writers and </w:t>
      </w:r>
      <w:r w:rsidR="00705770">
        <w:t>compare</w:t>
      </w:r>
      <w:r w:rsidR="00847F6E">
        <w:t xml:space="preserve"> their representations of death</w:t>
      </w:r>
      <w:r w:rsidR="00A74D3A">
        <w:t xml:space="preserve">, with a large portion of the essay dedicated to exploring </w:t>
      </w:r>
      <w:r w:rsidR="00A74D3A">
        <w:rPr>
          <w:i/>
          <w:iCs/>
        </w:rPr>
        <w:t>L’Intersigne</w:t>
      </w:r>
      <w:r w:rsidR="00A74D3A">
        <w:t xml:space="preserve"> (The Sign), written by </w:t>
      </w:r>
      <w:r w:rsidR="00A74D3A">
        <w:t>Auguste de Villiers de L’Isle-Adam</w:t>
      </w:r>
      <w:r w:rsidR="00DE46F9">
        <w:t>.</w:t>
      </w:r>
      <w:r w:rsidR="00CF309A">
        <w:t xml:space="preserve"> </w:t>
      </w:r>
      <w:r w:rsidR="00DE46F9">
        <w:t xml:space="preserve">The story contains a </w:t>
      </w:r>
      <w:r w:rsidR="00CF309A">
        <w:t xml:space="preserve">rich and atmospheric narrative in the style of a classic </w:t>
      </w:r>
      <w:r w:rsidR="00DE46F9">
        <w:t>g</w:t>
      </w:r>
      <w:r w:rsidR="00CF309A">
        <w:t>othic horror story</w:t>
      </w:r>
      <w:r w:rsidR="00DE46F9">
        <w:t xml:space="preserve">, and uses Brittany, with its reputation as a mysterious and otherworldly place, as a </w:t>
      </w:r>
      <w:r w:rsidR="00026816">
        <w:t>chilling backdrop to his tale.</w:t>
      </w:r>
      <w:r w:rsidR="00A74D3A">
        <w:t xml:space="preserve"> The theme of the unquiet dead will also be discussed, with examples from the Breton ballad ‘Skolvan – A Penitent Soul’, and </w:t>
      </w:r>
      <w:r w:rsidR="002C7DC2">
        <w:t xml:space="preserve">an extract </w:t>
      </w:r>
      <w:r w:rsidR="00A74D3A">
        <w:t xml:space="preserve">from </w:t>
      </w:r>
      <w:r w:rsidR="002C7DC2">
        <w:t xml:space="preserve">‘The Horse of Pride’, a chronicle of Breton life and culture by </w:t>
      </w:r>
      <w:r w:rsidR="002C7DC2">
        <w:rPr>
          <w:rFonts w:cstheme="minorHAnsi"/>
        </w:rPr>
        <w:t>Pierre-Jakez Hélias</w:t>
      </w:r>
      <w:r w:rsidR="002C7DC2">
        <w:rPr>
          <w:rFonts w:cstheme="minorHAnsi"/>
        </w:rPr>
        <w:t>.</w:t>
      </w:r>
      <w:r w:rsidR="00262C13">
        <w:rPr>
          <w:rFonts w:cstheme="minorHAnsi"/>
        </w:rPr>
        <w:t xml:space="preserve"> </w:t>
      </w:r>
      <w:r w:rsidR="002C7DC2">
        <w:rPr>
          <w:rFonts w:cstheme="minorHAnsi"/>
        </w:rPr>
        <w:t xml:space="preserve">Finally, as a contrast to the ideas of death as a figure that elicits fear, the poem </w:t>
      </w:r>
      <w:r w:rsidR="002C7DC2">
        <w:rPr>
          <w:rFonts w:cstheme="minorHAnsi"/>
          <w:i/>
          <w:iCs/>
        </w:rPr>
        <w:t>L’Ankou</w:t>
      </w:r>
      <w:r w:rsidR="002C7DC2">
        <w:rPr>
          <w:rFonts w:cstheme="minorHAnsi"/>
        </w:rPr>
        <w:t>, written by Meavan will be briefly explored.</w:t>
      </w:r>
    </w:p>
    <w:p w14:paraId="06DA505D" w14:textId="6E02934F" w:rsidR="006277DA" w:rsidRDefault="007D7A97" w:rsidP="00CA17AF">
      <w:pPr>
        <w:ind w:firstLine="720"/>
      </w:pPr>
      <w:r>
        <w:t>Brittany is ‘pre-eminently the Land of the Departed’, where the living and the dead exist contiguously</w:t>
      </w:r>
      <w:r w:rsidR="00E133F1">
        <w:t>.</w:t>
      </w:r>
      <w:r w:rsidR="00E133F1">
        <w:rPr>
          <w:rStyle w:val="FootnoteReference"/>
        </w:rPr>
        <w:footnoteReference w:id="1"/>
      </w:r>
      <w:r w:rsidR="00A927EF">
        <w:t xml:space="preserve"> Their souls are not confined to the grave, but rather, they wander</w:t>
      </w:r>
      <w:r w:rsidR="00387C5B">
        <w:t xml:space="preserve"> at night along roads and within the fields and beaches.</w:t>
      </w:r>
      <w:r w:rsidR="00B27FE4">
        <w:t xml:space="preserve"> </w:t>
      </w:r>
      <w:r w:rsidR="002D284C">
        <w:t>The dead are accepted as part of everyday existence:</w:t>
      </w:r>
    </w:p>
    <w:p w14:paraId="73FA7154" w14:textId="423BC6EF" w:rsidR="002D284C" w:rsidRPr="002D284C" w:rsidRDefault="002D284C" w:rsidP="00FA15EB">
      <w:pPr>
        <w:ind w:left="720"/>
      </w:pPr>
      <w:r>
        <w:t>‘</w:t>
      </w:r>
      <w:r>
        <w:rPr>
          <w:i/>
          <w:iCs/>
        </w:rPr>
        <w:t>L’Anaon</w:t>
      </w:r>
      <w:r>
        <w:t>’ (as they name the vast crowd and concourse of the Dead) is feared, as the storm and the tempest are feared</w:t>
      </w:r>
      <w:r w:rsidR="00FA15EB">
        <w:t>, but no more surprise is felt that the thorn bushes and the rushes that border the roadsides should be shaken by the passing of disembodied spirits, than that the birds should warble blithely in those bushes.</w:t>
      </w:r>
      <w:r w:rsidR="00FA15EB">
        <w:rPr>
          <w:rStyle w:val="FootnoteReference"/>
        </w:rPr>
        <w:footnoteReference w:id="2"/>
      </w:r>
    </w:p>
    <w:p w14:paraId="6823A34B" w14:textId="7721CF99" w:rsidR="001824B0" w:rsidRPr="00A07EF0" w:rsidRDefault="001824B0">
      <w:r>
        <w:tab/>
        <w:t>Perhaps the most famous concept around death i</w:t>
      </w:r>
      <w:r w:rsidR="00893E1A">
        <w:t>n Breton culture is the</w:t>
      </w:r>
      <w:r>
        <w:t xml:space="preserve"> </w:t>
      </w:r>
      <w:r>
        <w:rPr>
          <w:i/>
          <w:iCs/>
        </w:rPr>
        <w:t>Ankou</w:t>
      </w:r>
      <w:r>
        <w:t xml:space="preserve">, </w:t>
      </w:r>
      <w:r w:rsidR="00893E1A">
        <w:t xml:space="preserve">the </w:t>
      </w:r>
      <w:r>
        <w:t xml:space="preserve">personification of </w:t>
      </w:r>
      <w:r w:rsidR="0030227A">
        <w:t>D</w:t>
      </w:r>
      <w:r>
        <w:t>eath.</w:t>
      </w:r>
      <w:r w:rsidR="00893E1A">
        <w:t xml:space="preserve"> This figure appears in many stories and poems about Brittany, several of which will be examined here</w:t>
      </w:r>
      <w:r w:rsidR="00E735B9">
        <w:t xml:space="preserve">, however, a brief overview of the main characteristics of the </w:t>
      </w:r>
      <w:r w:rsidR="00E735B9">
        <w:rPr>
          <w:i/>
          <w:iCs/>
        </w:rPr>
        <w:t>Ankou</w:t>
      </w:r>
      <w:r w:rsidR="00E735B9">
        <w:t xml:space="preserve"> may be useful at this point.</w:t>
      </w:r>
      <w:r w:rsidR="003D798C">
        <w:t xml:space="preserve"> Much of the literature describes him as a tall, slender figure (</w:t>
      </w:r>
      <w:r w:rsidR="00FF63E6">
        <w:t xml:space="preserve">much </w:t>
      </w:r>
      <w:r w:rsidR="00990B63">
        <w:t>like</w:t>
      </w:r>
      <w:r w:rsidR="003D798C">
        <w:t xml:space="preserve"> the Grim </w:t>
      </w:r>
      <w:r w:rsidR="00990B63">
        <w:t>R</w:t>
      </w:r>
      <w:r w:rsidR="003D798C">
        <w:t>eaper)</w:t>
      </w:r>
      <w:r w:rsidR="00990B63">
        <w:t>, dressed in black and wearing a hat. Often the face is obscured, or the eyes have hollow sockets. He is said to drive a cart</w:t>
      </w:r>
      <w:r w:rsidR="00E932C8">
        <w:t xml:space="preserve">, </w:t>
      </w:r>
      <w:r w:rsidR="00D731CA">
        <w:rPr>
          <w:i/>
          <w:iCs/>
        </w:rPr>
        <w:t>L</w:t>
      </w:r>
      <w:r w:rsidR="00E932C8">
        <w:rPr>
          <w:i/>
          <w:iCs/>
        </w:rPr>
        <w:t xml:space="preserve">a </w:t>
      </w:r>
      <w:r w:rsidR="00D731CA">
        <w:rPr>
          <w:i/>
          <w:iCs/>
        </w:rPr>
        <w:t>C</w:t>
      </w:r>
      <w:r w:rsidR="00E932C8">
        <w:rPr>
          <w:i/>
          <w:iCs/>
        </w:rPr>
        <w:t xml:space="preserve">harette de la </w:t>
      </w:r>
      <w:r w:rsidR="00D731CA">
        <w:rPr>
          <w:i/>
          <w:iCs/>
        </w:rPr>
        <w:t>M</w:t>
      </w:r>
      <w:r w:rsidR="00E932C8" w:rsidRPr="00E932C8">
        <w:rPr>
          <w:i/>
          <w:iCs/>
        </w:rPr>
        <w:t>orte</w:t>
      </w:r>
      <w:r w:rsidR="00E932C8">
        <w:t xml:space="preserve">, </w:t>
      </w:r>
      <w:r w:rsidR="00FF63E6" w:rsidRPr="00E932C8">
        <w:t>which</w:t>
      </w:r>
      <w:r w:rsidR="00FF63E6">
        <w:t xml:space="preserve"> can be heard squeaking at night</w:t>
      </w:r>
      <w:r w:rsidR="00E932C8">
        <w:t>.</w:t>
      </w:r>
      <w:r w:rsidR="00990B63">
        <w:t xml:space="preserve"> </w:t>
      </w:r>
      <w:r w:rsidR="00E932C8">
        <w:t>He</w:t>
      </w:r>
      <w:r w:rsidR="00990B63">
        <w:t xml:space="preserve"> has an entourage of otherworldly beings</w:t>
      </w:r>
      <w:r w:rsidR="004F30AB">
        <w:t xml:space="preserve"> and props</w:t>
      </w:r>
      <w:r w:rsidR="00990B63">
        <w:t xml:space="preserve"> which assist him</w:t>
      </w:r>
      <w:r w:rsidR="00E932C8">
        <w:t>, including</w:t>
      </w:r>
      <w:r w:rsidR="004F30AB">
        <w:t xml:space="preserve"> </w:t>
      </w:r>
      <w:r w:rsidR="00D731CA">
        <w:rPr>
          <w:i/>
          <w:iCs/>
        </w:rPr>
        <w:t>L</w:t>
      </w:r>
      <w:r w:rsidR="004F30AB">
        <w:rPr>
          <w:i/>
          <w:iCs/>
        </w:rPr>
        <w:t xml:space="preserve">a </w:t>
      </w:r>
      <w:r w:rsidR="00D731CA">
        <w:rPr>
          <w:i/>
          <w:iCs/>
        </w:rPr>
        <w:t>L</w:t>
      </w:r>
      <w:r w:rsidR="004F30AB">
        <w:rPr>
          <w:i/>
          <w:iCs/>
        </w:rPr>
        <w:t>avandi</w:t>
      </w:r>
      <w:r w:rsidR="004F30AB">
        <w:rPr>
          <w:rFonts w:cstheme="minorHAnsi"/>
          <w:i/>
          <w:iCs/>
        </w:rPr>
        <w:t>è</w:t>
      </w:r>
      <w:r w:rsidR="004F30AB">
        <w:rPr>
          <w:i/>
          <w:iCs/>
        </w:rPr>
        <w:t xml:space="preserve">re de </w:t>
      </w:r>
      <w:r w:rsidR="00D731CA">
        <w:rPr>
          <w:i/>
          <w:iCs/>
        </w:rPr>
        <w:t>N</w:t>
      </w:r>
      <w:r w:rsidR="004F30AB">
        <w:rPr>
          <w:i/>
          <w:iCs/>
        </w:rPr>
        <w:t xml:space="preserve">uit </w:t>
      </w:r>
      <w:r w:rsidR="004F30AB">
        <w:t>(the washerwoman at night) and the</w:t>
      </w:r>
      <w:r w:rsidR="00013961">
        <w:t xml:space="preserve"> </w:t>
      </w:r>
      <w:r w:rsidR="00013961">
        <w:rPr>
          <w:i/>
          <w:iCs/>
        </w:rPr>
        <w:t>B</w:t>
      </w:r>
      <w:r w:rsidR="004F30AB">
        <w:rPr>
          <w:i/>
          <w:iCs/>
        </w:rPr>
        <w:t xml:space="preserve">ateau de </w:t>
      </w:r>
      <w:r w:rsidR="00D731CA">
        <w:rPr>
          <w:i/>
          <w:iCs/>
        </w:rPr>
        <w:t>N</w:t>
      </w:r>
      <w:r w:rsidR="004F30AB">
        <w:rPr>
          <w:i/>
          <w:iCs/>
        </w:rPr>
        <w:t xml:space="preserve">uit </w:t>
      </w:r>
      <w:r w:rsidR="004F30AB">
        <w:t xml:space="preserve">(the night boat) which carries souls to the </w:t>
      </w:r>
      <w:r w:rsidR="00D731CA">
        <w:rPr>
          <w:i/>
          <w:iCs/>
        </w:rPr>
        <w:t>I</w:t>
      </w:r>
      <w:r w:rsidR="004F30AB">
        <w:rPr>
          <w:i/>
          <w:iCs/>
        </w:rPr>
        <w:t xml:space="preserve">le des </w:t>
      </w:r>
      <w:r w:rsidR="00D731CA">
        <w:rPr>
          <w:i/>
          <w:iCs/>
        </w:rPr>
        <w:t>M</w:t>
      </w:r>
      <w:r w:rsidR="004F30AB">
        <w:rPr>
          <w:i/>
          <w:iCs/>
        </w:rPr>
        <w:t>orts</w:t>
      </w:r>
      <w:r w:rsidR="004F30AB">
        <w:t xml:space="preserve"> (</w:t>
      </w:r>
      <w:r w:rsidR="004C3ED5">
        <w:t>I</w:t>
      </w:r>
      <w:r w:rsidR="004F30AB">
        <w:t xml:space="preserve">sland of the </w:t>
      </w:r>
      <w:r w:rsidR="004C3ED5">
        <w:t>D</w:t>
      </w:r>
      <w:r w:rsidR="004F30AB">
        <w:t>ead).</w:t>
      </w:r>
      <w:r w:rsidR="00BB318D">
        <w:t xml:space="preserve"> In some parts of Brittany, </w:t>
      </w:r>
      <w:r w:rsidR="00BB318D">
        <w:rPr>
          <w:i/>
          <w:iCs/>
        </w:rPr>
        <w:t>Ankou</w:t>
      </w:r>
      <w:r w:rsidR="00BB318D">
        <w:t xml:space="preserve"> or his servant </w:t>
      </w:r>
      <w:r w:rsidR="00BB318D">
        <w:rPr>
          <w:i/>
          <w:iCs/>
        </w:rPr>
        <w:t>mevel an Ankou</w:t>
      </w:r>
      <w:r w:rsidR="00BB318D">
        <w:t xml:space="preserve"> is said to be the last person in the parish to have died in the previous year.</w:t>
      </w:r>
      <w:r w:rsidR="00993E49">
        <w:t xml:space="preserve"> </w:t>
      </w:r>
      <w:r w:rsidR="00993E49">
        <w:rPr>
          <w:i/>
          <w:iCs/>
        </w:rPr>
        <w:t>Ankou</w:t>
      </w:r>
      <w:r w:rsidR="00A07EF0">
        <w:rPr>
          <w:i/>
          <w:iCs/>
        </w:rPr>
        <w:t xml:space="preserve"> </w:t>
      </w:r>
      <w:r w:rsidR="00A07EF0">
        <w:t>often appears to prophesy the manner of death one may witness or experience</w:t>
      </w:r>
      <w:r w:rsidR="00D63B71">
        <w:t>.</w:t>
      </w:r>
    </w:p>
    <w:p w14:paraId="1088C06D" w14:textId="702AC5C7" w:rsidR="0020084C" w:rsidRDefault="0020084C">
      <w:r>
        <w:tab/>
      </w:r>
      <w:r w:rsidR="00803C38">
        <w:t>Associated</w:t>
      </w:r>
      <w:r>
        <w:t xml:space="preserve"> with </w:t>
      </w:r>
      <w:r>
        <w:rPr>
          <w:i/>
          <w:iCs/>
        </w:rPr>
        <w:t>Ankou</w:t>
      </w:r>
      <w:r>
        <w:t xml:space="preserve"> is a</w:t>
      </w:r>
      <w:r w:rsidR="00803C38">
        <w:t xml:space="preserve"> community</w:t>
      </w:r>
      <w:r>
        <w:t xml:space="preserve"> of otherworldly beings known as </w:t>
      </w:r>
      <w:r w:rsidR="00803C38">
        <w:rPr>
          <w:i/>
          <w:iCs/>
        </w:rPr>
        <w:t>Anaon</w:t>
      </w:r>
      <w:r w:rsidR="00993E49">
        <w:rPr>
          <w:i/>
          <w:iCs/>
        </w:rPr>
        <w:t xml:space="preserve"> </w:t>
      </w:r>
      <w:r w:rsidR="00993E49">
        <w:t>(</w:t>
      </w:r>
      <w:r w:rsidR="00993E49">
        <w:rPr>
          <w:i/>
          <w:iCs/>
        </w:rPr>
        <w:t xml:space="preserve">ensemble des </w:t>
      </w:r>
      <w:r w:rsidR="00993E49">
        <w:rPr>
          <w:rFonts w:cstheme="minorHAnsi"/>
          <w:i/>
          <w:iCs/>
        </w:rPr>
        <w:t>ê</w:t>
      </w:r>
      <w:r w:rsidR="00993E49">
        <w:rPr>
          <w:i/>
          <w:iCs/>
        </w:rPr>
        <w:t xml:space="preserve">tres de l’autre monde – </w:t>
      </w:r>
      <w:r w:rsidR="00993E49">
        <w:t>‘a set of beings from another world’)</w:t>
      </w:r>
      <w:r w:rsidR="00803C38">
        <w:rPr>
          <w:i/>
          <w:iCs/>
        </w:rPr>
        <w:t xml:space="preserve">. </w:t>
      </w:r>
      <w:r w:rsidR="00803C38">
        <w:t xml:space="preserve">Said to be the souls of the dead in Breton culture, the </w:t>
      </w:r>
      <w:r w:rsidR="00803C38">
        <w:rPr>
          <w:i/>
          <w:iCs/>
        </w:rPr>
        <w:t xml:space="preserve">Anaon </w:t>
      </w:r>
      <w:r w:rsidR="00803C38">
        <w:t xml:space="preserve">are understood to be in a state of purgatory, acting out penance on earth. </w:t>
      </w:r>
      <w:r w:rsidR="00013961">
        <w:t>There are several types of lost souls in the Breton tradition, including the female night screecher</w:t>
      </w:r>
      <w:r w:rsidR="008405B0">
        <w:t xml:space="preserve"> </w:t>
      </w:r>
      <w:r w:rsidR="008405B0">
        <w:lastRenderedPageBreak/>
        <w:t>(</w:t>
      </w:r>
      <w:r w:rsidR="008405B0">
        <w:rPr>
          <w:i/>
          <w:iCs/>
        </w:rPr>
        <w:t>skrijerez-noz</w:t>
      </w:r>
      <w:r w:rsidR="008405B0">
        <w:t>)</w:t>
      </w:r>
      <w:r w:rsidR="00013961">
        <w:t xml:space="preserve">, </w:t>
      </w:r>
      <w:r w:rsidR="008405B0">
        <w:t xml:space="preserve">the </w:t>
      </w:r>
      <w:r w:rsidR="00013961">
        <w:t>night child</w:t>
      </w:r>
      <w:r w:rsidR="008405B0">
        <w:t xml:space="preserve"> (</w:t>
      </w:r>
      <w:r w:rsidR="008405B0">
        <w:rPr>
          <w:i/>
          <w:iCs/>
        </w:rPr>
        <w:t>bugel-noz</w:t>
      </w:r>
      <w:r w:rsidR="008405B0">
        <w:t>)</w:t>
      </w:r>
      <w:r w:rsidR="00013961">
        <w:t xml:space="preserve"> and the </w:t>
      </w:r>
      <w:r w:rsidR="00091B4F">
        <w:t xml:space="preserve">previously </w:t>
      </w:r>
      <w:r w:rsidR="00013961">
        <w:t xml:space="preserve">mentioned washerwoman </w:t>
      </w:r>
      <w:r w:rsidR="008405B0">
        <w:t>(</w:t>
      </w:r>
      <w:r w:rsidR="008405B0">
        <w:rPr>
          <w:i/>
          <w:iCs/>
        </w:rPr>
        <w:t>kannerez-noz</w:t>
      </w:r>
      <w:r w:rsidR="008405B0">
        <w:t>):</w:t>
      </w:r>
    </w:p>
    <w:p w14:paraId="1B6080BA" w14:textId="5C7A299B" w:rsidR="008405B0" w:rsidRDefault="008405B0" w:rsidP="008405B0">
      <w:pPr>
        <w:ind w:left="720"/>
      </w:pPr>
      <w:r>
        <w:t>Interaction with these entities is usually fatal in Breton folk tradition; the kannerezed-noz ‘night washerwomen’ will invite passers-by to help, but any mortal giving assistance is caught up in the sheets and killed.</w:t>
      </w:r>
      <w:r>
        <w:rPr>
          <w:rStyle w:val="FootnoteReference"/>
        </w:rPr>
        <w:footnoteReference w:id="3"/>
      </w:r>
    </w:p>
    <w:p w14:paraId="559B092F" w14:textId="7D9D72D0" w:rsidR="003F00A8" w:rsidRDefault="00BA42F5" w:rsidP="003F00A8">
      <w:r>
        <w:t xml:space="preserve">Certain activities could evoke the wrath of the </w:t>
      </w:r>
      <w:r>
        <w:rPr>
          <w:i/>
          <w:iCs/>
        </w:rPr>
        <w:t>Anaon</w:t>
      </w:r>
      <w:r>
        <w:t xml:space="preserve">, such as sleeping after dark or whistling, and they were understood to be omnipresent at night, with isolated places being </w:t>
      </w:r>
      <w:r w:rsidR="000055ED">
        <w:t>particularly</w:t>
      </w:r>
      <w:r>
        <w:t xml:space="preserve"> dangerous for mortals.</w:t>
      </w:r>
      <w:r w:rsidR="00BA45F1">
        <w:t xml:space="preserve"> </w:t>
      </w:r>
    </w:p>
    <w:p w14:paraId="0D8E2D7B" w14:textId="6B4A1ABB" w:rsidR="00BA45F1" w:rsidRDefault="007E64FC" w:rsidP="003F00A8">
      <w:r>
        <w:tab/>
      </w:r>
      <w:r w:rsidR="00B244A5">
        <w:t>The idea</w:t>
      </w:r>
      <w:r>
        <w:t xml:space="preserve"> of the </w:t>
      </w:r>
      <w:r>
        <w:rPr>
          <w:i/>
          <w:iCs/>
        </w:rPr>
        <w:t>anaon</w:t>
      </w:r>
      <w:r w:rsidR="00B244A5">
        <w:t>, the unquiet dead, is exemplified in the Breton ballad</w:t>
      </w:r>
      <w:r>
        <w:t xml:space="preserve"> ‘Skolvan, a penitent soul’</w:t>
      </w:r>
      <w:r w:rsidR="000B40EF">
        <w:t>, in which the spirit of a dead son returns to visit his mother to beg her forgiveness for his terrible crimes.</w:t>
      </w:r>
      <w:r w:rsidR="00B244A5">
        <w:t xml:space="preserve"> This ballad is described by Mary-Ann Constantine as: ‘one of the most beautiful, most mysterious and most moving of all the Breton </w:t>
      </w:r>
      <w:r w:rsidR="00B244A5">
        <w:rPr>
          <w:i/>
          <w:iCs/>
        </w:rPr>
        <w:t>gwerziou.</w:t>
      </w:r>
      <w:r w:rsidR="00B244A5">
        <w:t>’</w:t>
      </w:r>
      <w:r w:rsidR="00B244A5">
        <w:rPr>
          <w:rStyle w:val="FootnoteReference"/>
        </w:rPr>
        <w:footnoteReference w:id="4"/>
      </w:r>
      <w:r w:rsidR="002D5B5B">
        <w:t xml:space="preserve"> The </w:t>
      </w:r>
      <w:r w:rsidR="006E4226">
        <w:t>soul of Skolvan is not at rest and has been subjected to experiences of purgatory and penitence. His arrival at his mothers</w:t>
      </w:r>
      <w:r w:rsidR="003E4822">
        <w:t>’</w:t>
      </w:r>
      <w:r w:rsidR="006E4226">
        <w:t xml:space="preserve"> door</w:t>
      </w:r>
      <w:r w:rsidR="00232C79">
        <w:t xml:space="preserve"> is described in a way that evokes suspense and a sense of dread: ‘</w:t>
      </w:r>
      <w:r w:rsidR="003E4822">
        <w:t xml:space="preserve"> – Who is there at this time of night / Knocking on doors that are safely locked?’</w:t>
      </w:r>
      <w:r w:rsidR="003E4822">
        <w:rPr>
          <w:rStyle w:val="FootnoteReference"/>
        </w:rPr>
        <w:footnoteReference w:id="5"/>
      </w:r>
      <w:r w:rsidR="002D4671">
        <w:t xml:space="preserve"> </w:t>
      </w:r>
    </w:p>
    <w:p w14:paraId="14F07418" w14:textId="28D1E009" w:rsidR="00F501EC" w:rsidRPr="001001E1" w:rsidRDefault="00F501EC" w:rsidP="003F00A8">
      <w:r>
        <w:t xml:space="preserve">The </w:t>
      </w:r>
      <w:r w:rsidR="00847F6E">
        <w:t>ballad</w:t>
      </w:r>
      <w:r>
        <w:t xml:space="preserve"> deals with themes of light and dark, </w:t>
      </w:r>
      <w:r w:rsidR="00DC184C">
        <w:t xml:space="preserve">of penitence and ultimately forgiveness when Skolvan’s mother is </w:t>
      </w:r>
      <w:r w:rsidR="003B351E">
        <w:t xml:space="preserve">finally </w:t>
      </w:r>
      <w:r w:rsidR="00DC184C">
        <w:t>able to forgive her son</w:t>
      </w:r>
      <w:r w:rsidR="00771670">
        <w:t xml:space="preserve"> for his misdeeds</w:t>
      </w:r>
      <w:r w:rsidR="00DC184C">
        <w:t xml:space="preserve">, allowing him passage to heaven and </w:t>
      </w:r>
      <w:r w:rsidR="00E77DED">
        <w:t>freedom</w:t>
      </w:r>
      <w:r w:rsidR="009F0A33">
        <w:t xml:space="preserve"> from</w:t>
      </w:r>
      <w:r w:rsidR="00DC184C">
        <w:t xml:space="preserve"> the </w:t>
      </w:r>
      <w:r w:rsidR="001001E1">
        <w:t xml:space="preserve">world of the </w:t>
      </w:r>
      <w:r w:rsidR="001001E1">
        <w:rPr>
          <w:i/>
          <w:iCs/>
        </w:rPr>
        <w:t>anaon</w:t>
      </w:r>
      <w:r w:rsidR="001001E1">
        <w:t>.</w:t>
      </w:r>
    </w:p>
    <w:p w14:paraId="0AE81F61" w14:textId="791E8CB0" w:rsidR="00CB72A4" w:rsidRDefault="00D731CA" w:rsidP="00CB72A4">
      <w:pPr>
        <w:ind w:firstLine="720"/>
      </w:pPr>
      <w:r>
        <w:rPr>
          <w:i/>
          <w:iCs/>
        </w:rPr>
        <w:t>Ankou</w:t>
      </w:r>
      <w:r w:rsidR="00C459EC">
        <w:t>, although he is never referred to as such,</w:t>
      </w:r>
      <w:r>
        <w:rPr>
          <w:i/>
          <w:iCs/>
        </w:rPr>
        <w:t xml:space="preserve"> </w:t>
      </w:r>
      <w:r>
        <w:t>appears as a frightening figure in</w:t>
      </w:r>
      <w:r w:rsidR="00CB72A4">
        <w:t xml:space="preserve"> </w:t>
      </w:r>
      <w:r w:rsidR="00CB72A4">
        <w:rPr>
          <w:i/>
          <w:iCs/>
        </w:rPr>
        <w:t>L’intersigne</w:t>
      </w:r>
      <w:r>
        <w:t xml:space="preserve"> </w:t>
      </w:r>
      <w:r w:rsidR="00CB72A4">
        <w:t>(</w:t>
      </w:r>
      <w:r w:rsidR="000E6183">
        <w:t>‘The Sign’</w:t>
      </w:r>
      <w:r w:rsidR="00CB72A4">
        <w:t>)</w:t>
      </w:r>
      <w:r w:rsidR="000E6183">
        <w:t xml:space="preserve"> by </w:t>
      </w:r>
      <w:r w:rsidR="00A57071">
        <w:t>French author</w:t>
      </w:r>
      <w:r w:rsidR="00E06323">
        <w:t xml:space="preserve"> </w:t>
      </w:r>
      <w:bookmarkStart w:id="1" w:name="_Hlk89974102"/>
      <w:r w:rsidR="00E06323">
        <w:t>Auguste de</w:t>
      </w:r>
      <w:r w:rsidR="00A57071">
        <w:t xml:space="preserve"> </w:t>
      </w:r>
      <w:r w:rsidR="000E6183">
        <w:t>Villiers de L’Isle-Adam</w:t>
      </w:r>
      <w:r w:rsidR="00A57071">
        <w:t xml:space="preserve"> </w:t>
      </w:r>
      <w:bookmarkEnd w:id="1"/>
      <w:r w:rsidR="00A57071">
        <w:t>(1838 – 1889)</w:t>
      </w:r>
      <w:r w:rsidR="000E6183">
        <w:t xml:space="preserve">, a short story </w:t>
      </w:r>
      <w:r w:rsidR="0069128A">
        <w:t xml:space="preserve">which formed part of a larger collection titled ‘Cruel Tales’ published in 1883. Although born in Brittany, Villiers did not champion his Breton heritage, </w:t>
      </w:r>
      <w:r w:rsidR="000D5AD4">
        <w:t>so consequently</w:t>
      </w:r>
      <w:r w:rsidR="0069128A">
        <w:t xml:space="preserve"> could scarcely be </w:t>
      </w:r>
      <w:r w:rsidR="00BA3211">
        <w:t>referred to as</w:t>
      </w:r>
      <w:r w:rsidR="0069128A">
        <w:t xml:space="preserve"> a </w:t>
      </w:r>
      <w:r w:rsidR="000D5AD4">
        <w:t xml:space="preserve">‘Breton writer’, and very rarely received any acknowledgement in surveys of Breton literature of French expression. </w:t>
      </w:r>
      <w:r w:rsidR="00BA3211">
        <w:t>He undoubtedly</w:t>
      </w:r>
      <w:r w:rsidR="000D5AD4">
        <w:t xml:space="preserve"> wanted to make his mark in mainstream French literature, so </w:t>
      </w:r>
      <w:r w:rsidR="00DC69C5">
        <w:t>chose Brittany as the setting for his story, not because he was seeking to glorify his country of origin, but because he wanted to make use of the clich</w:t>
      </w:r>
      <w:r w:rsidR="008A6551">
        <w:rPr>
          <w:rFonts w:cstheme="minorHAnsi"/>
        </w:rPr>
        <w:t>é</w:t>
      </w:r>
      <w:r w:rsidR="00DC69C5">
        <w:t>s attached to Brittany, in particular its associations</w:t>
      </w:r>
      <w:r w:rsidR="00D53557">
        <w:t xml:space="preserve"> with being a place for retreat</w:t>
      </w:r>
      <w:r w:rsidR="00195101">
        <w:t xml:space="preserve"> and restoration of the spirit, and </w:t>
      </w:r>
      <w:r w:rsidR="00DC69C5">
        <w:t xml:space="preserve"> with death.</w:t>
      </w:r>
      <w:r w:rsidR="00BA3211">
        <w:t xml:space="preserve"> His choice of setting provided a perfect backdrop for his venture into the world of the gothic horror story</w:t>
      </w:r>
      <w:r w:rsidR="004D68CB">
        <w:t>, and he used Brittany’s reputation as a mysterious, otherworldly place to his full advantage.</w:t>
      </w:r>
      <w:r w:rsidR="00D53557">
        <w:t xml:space="preserve"> </w:t>
      </w:r>
    </w:p>
    <w:p w14:paraId="20912676" w14:textId="1B113E0D" w:rsidR="00FE5224" w:rsidRDefault="00CB72A4" w:rsidP="00FE5224">
      <w:pPr>
        <w:ind w:firstLine="720"/>
      </w:pPr>
      <w:r>
        <w:t xml:space="preserve">Villiers’ protagonist and alter-ego in </w:t>
      </w:r>
      <w:r>
        <w:rPr>
          <w:i/>
          <w:iCs/>
        </w:rPr>
        <w:t>L’</w:t>
      </w:r>
      <w:r w:rsidR="007E5013">
        <w:rPr>
          <w:i/>
          <w:iCs/>
        </w:rPr>
        <w:t>I</w:t>
      </w:r>
      <w:r>
        <w:rPr>
          <w:i/>
          <w:iCs/>
        </w:rPr>
        <w:t>ntersigne</w:t>
      </w:r>
      <w:r>
        <w:t xml:space="preserve">, the baron Xavier de la V------ chooses to </w:t>
      </w:r>
      <w:r w:rsidR="00CF257F">
        <w:t>retreat</w:t>
      </w:r>
      <w:r>
        <w:t xml:space="preserve"> to Brittany</w:t>
      </w:r>
      <w:r w:rsidR="00CF257F">
        <w:t xml:space="preserve"> to escape the excesses of Parisian life and stay with his old friend the Abb</w:t>
      </w:r>
      <w:r w:rsidR="00037384">
        <w:rPr>
          <w:rFonts w:cstheme="minorHAnsi"/>
        </w:rPr>
        <w:t>é</w:t>
      </w:r>
      <w:r w:rsidR="002D435E">
        <w:t xml:space="preserve"> Maucombe in an un-named town</w:t>
      </w:r>
      <w:r w:rsidR="00CF257F">
        <w:t xml:space="preserve"> </w:t>
      </w:r>
      <w:r w:rsidR="00540521">
        <w:t>five miles from Saint-Maur</w:t>
      </w:r>
      <w:r w:rsidR="008868B4">
        <w:t xml:space="preserve">. </w:t>
      </w:r>
      <w:r w:rsidR="002B2D88">
        <w:t>Although the clich</w:t>
      </w:r>
      <w:r w:rsidR="00305DFD">
        <w:rPr>
          <w:rFonts w:cstheme="minorHAnsi"/>
        </w:rPr>
        <w:t>é</w:t>
      </w:r>
      <w:r w:rsidR="002B2D88">
        <w:t xml:space="preserve">s attached to Brittany are not </w:t>
      </w:r>
      <w:r w:rsidR="00FE5224">
        <w:t>overtly expressed in the story, the theme of religion is given some attention. The piety of the Abb</w:t>
      </w:r>
      <w:r w:rsidR="009F5B42">
        <w:rPr>
          <w:rFonts w:cstheme="minorHAnsi"/>
        </w:rPr>
        <w:t>é</w:t>
      </w:r>
      <w:r w:rsidR="00FE5224">
        <w:t xml:space="preserve"> is alluded to: ‘I discovered that the priest - as a worthy representative of a God of mercy - had acquired the sincere affection of his flock.’</w:t>
      </w:r>
      <w:r w:rsidR="00FE5224">
        <w:rPr>
          <w:rStyle w:val="FootnoteReference"/>
        </w:rPr>
        <w:footnoteReference w:id="6"/>
      </w:r>
      <w:r w:rsidR="00305DFD">
        <w:t xml:space="preserve"> </w:t>
      </w:r>
      <w:r w:rsidR="0037491B">
        <w:t xml:space="preserve">The theme of </w:t>
      </w:r>
      <w:r w:rsidR="00D437F5">
        <w:t xml:space="preserve">the restorative qualities of </w:t>
      </w:r>
      <w:r w:rsidR="0037491B">
        <w:t>nature also</w:t>
      </w:r>
      <w:r w:rsidR="00D437F5">
        <w:t xml:space="preserve"> appears, as upon his arrival at the presbytery the baron remarks:</w:t>
      </w:r>
    </w:p>
    <w:p w14:paraId="74CD9AE4" w14:textId="6F50470E" w:rsidR="00D437F5" w:rsidRDefault="00D437F5" w:rsidP="00D437F5">
      <w:pPr>
        <w:ind w:left="720"/>
      </w:pPr>
      <w:r>
        <w:lastRenderedPageBreak/>
        <w:t>The rustic appearance of the house, the windows with their green blinds, the three sandstone steps, the ivy, the clematis, the tea-roses clambering up the walls as far as the roof, where a little cloud of smoke was rising from a revolving chimney-cowl, filled one with ideas of meditation, health, and profound peace.</w:t>
      </w:r>
      <w:r>
        <w:rPr>
          <w:rStyle w:val="FootnoteReference"/>
        </w:rPr>
        <w:footnoteReference w:id="7"/>
      </w:r>
    </w:p>
    <w:p w14:paraId="3DEA3100" w14:textId="79DEB98B" w:rsidR="00C23411" w:rsidRDefault="008035A3" w:rsidP="00C23411">
      <w:r>
        <w:t xml:space="preserve">The theme of nature continues to wash through the story, </w:t>
      </w:r>
      <w:r w:rsidR="003A1F82">
        <w:t xml:space="preserve">both </w:t>
      </w:r>
      <w:r>
        <w:t xml:space="preserve">in its spiritual </w:t>
      </w:r>
      <w:r w:rsidR="00BD3FD3">
        <w:t xml:space="preserve">capacity as noted above, </w:t>
      </w:r>
      <w:r w:rsidR="003A1F82">
        <w:t>and</w:t>
      </w:r>
      <w:r w:rsidR="00BD3FD3">
        <w:t xml:space="preserve"> in a more sinister form as the narrative progresses.</w:t>
      </w:r>
      <w:r w:rsidR="00EB729B">
        <w:t xml:space="preserve"> As </w:t>
      </w:r>
      <w:r w:rsidR="00A644B1">
        <w:t>night falls</w:t>
      </w:r>
      <w:r w:rsidR="00EB729B">
        <w:t xml:space="preserve">, the ambience begins to shift towards something foreboding and malevolent, setting the scene for the nightmarish experiences to come. The landscape becomes cold and harsh, a ‘deserted countryside’ and the baron’s thoughts </w:t>
      </w:r>
      <w:r w:rsidR="00C23411">
        <w:t>turn to death: ‘Here dead dreams revive, anticipating the moment of the grave!’</w:t>
      </w:r>
      <w:r w:rsidR="00C23411">
        <w:rPr>
          <w:rStyle w:val="FootnoteReference"/>
        </w:rPr>
        <w:footnoteReference w:id="8"/>
      </w:r>
    </w:p>
    <w:p w14:paraId="37535C04" w14:textId="75AE6D50" w:rsidR="003E15B6" w:rsidRDefault="003E15B6" w:rsidP="00C23411">
      <w:r>
        <w:tab/>
        <w:t xml:space="preserve">At this point, the </w:t>
      </w:r>
      <w:r w:rsidR="00021DCA">
        <w:t>barons’</w:t>
      </w:r>
      <w:r>
        <w:t xml:space="preserve"> perceptions begin to </w:t>
      </w:r>
      <w:r w:rsidR="00A20797">
        <w:t>alter,</w:t>
      </w:r>
      <w:r>
        <w:t xml:space="preserve"> and he experiences hallucinations; the graveyard appears to have closed in on him, perhaps as a metaphor for the presence of death drawing closer</w:t>
      </w:r>
      <w:r w:rsidR="00D66C4A">
        <w:t>;</w:t>
      </w:r>
      <w:r>
        <w:t xml:space="preserve"> </w:t>
      </w:r>
      <w:r w:rsidR="00D66C4A">
        <w:t>the flagstones leading up to the door become grave stones</w:t>
      </w:r>
      <w:r w:rsidR="00161EEF">
        <w:t>,</w:t>
      </w:r>
      <w:r w:rsidR="00D66C4A">
        <w:t xml:space="preserve"> </w:t>
      </w:r>
      <w:r>
        <w:t>and even the door-knocker echoes with the sound of a ‘mourning bell’.</w:t>
      </w:r>
      <w:r>
        <w:rPr>
          <w:rStyle w:val="FootnoteReference"/>
        </w:rPr>
        <w:footnoteReference w:id="9"/>
      </w:r>
      <w:r w:rsidR="00A20797">
        <w:t xml:space="preserve"> </w:t>
      </w:r>
      <w:r w:rsidR="00BD5D6D">
        <w:t xml:space="preserve">The author uses death imagery in a subtle way to set the scene for the rest of the story – the shifts in perception, his hallucinations and the sense that all is not what it seems, coupled with images of a cheerful housekeeper and warm reunions allow the reader to vacillate between </w:t>
      </w:r>
      <w:r w:rsidR="006674F7">
        <w:t>disquiet</w:t>
      </w:r>
      <w:r w:rsidR="00BD5D6D">
        <w:t xml:space="preserve"> and comfort.</w:t>
      </w:r>
    </w:p>
    <w:p w14:paraId="3934522F" w14:textId="635D97A3" w:rsidR="00EC14F7" w:rsidRDefault="00C459EC" w:rsidP="00C23411">
      <w:pPr>
        <w:rPr>
          <w:rFonts w:cstheme="minorHAnsi"/>
        </w:rPr>
      </w:pPr>
      <w:r>
        <w:tab/>
      </w:r>
      <w:r w:rsidR="00A644B1">
        <w:t>Death</w:t>
      </w:r>
      <w:r>
        <w:rPr>
          <w:i/>
          <w:iCs/>
        </w:rPr>
        <w:t xml:space="preserve"> </w:t>
      </w:r>
      <w:r>
        <w:t xml:space="preserve">follows Xavier into the house, a reminder that </w:t>
      </w:r>
      <w:r w:rsidR="00A644B1">
        <w:t>it</w:t>
      </w:r>
      <w:r>
        <w:t xml:space="preserve"> is ever-present – a presence which permeates all things, </w:t>
      </w:r>
      <w:r w:rsidR="00C851BA">
        <w:t>from which no-one is safe. The baron experiences a number</w:t>
      </w:r>
      <w:r w:rsidR="000929CD">
        <w:t xml:space="preserve"> of terrifying visions presaging the death of the Abb</w:t>
      </w:r>
      <w:r w:rsidR="000929CD">
        <w:rPr>
          <w:rFonts w:cstheme="minorHAnsi"/>
        </w:rPr>
        <w:t xml:space="preserve">é. </w:t>
      </w:r>
      <w:r w:rsidR="005F096F">
        <w:rPr>
          <w:rFonts w:cstheme="minorHAnsi"/>
        </w:rPr>
        <w:t xml:space="preserve">Villiers uses the element of suspense expertly in his description of </w:t>
      </w:r>
      <w:r w:rsidR="005F096F">
        <w:rPr>
          <w:rFonts w:cstheme="minorHAnsi"/>
          <w:i/>
          <w:iCs/>
        </w:rPr>
        <w:t xml:space="preserve">Ankou </w:t>
      </w:r>
      <w:r w:rsidR="00EC14F7">
        <w:rPr>
          <w:rFonts w:cstheme="minorHAnsi"/>
        </w:rPr>
        <w:t>peering through the keyhole</w:t>
      </w:r>
      <w:r w:rsidR="002B163C">
        <w:rPr>
          <w:rFonts w:cstheme="minorHAnsi"/>
        </w:rPr>
        <w:t xml:space="preserve"> of the bedroom door</w:t>
      </w:r>
      <w:r w:rsidR="00705270">
        <w:rPr>
          <w:rFonts w:cstheme="minorHAnsi"/>
        </w:rPr>
        <w:t xml:space="preserve"> before opening </w:t>
      </w:r>
      <w:r w:rsidR="002B163C">
        <w:rPr>
          <w:rFonts w:cstheme="minorHAnsi"/>
        </w:rPr>
        <w:t>it</w:t>
      </w:r>
      <w:r w:rsidR="00705270">
        <w:rPr>
          <w:rFonts w:cstheme="minorHAnsi"/>
        </w:rPr>
        <w:t xml:space="preserve"> and revealing himself</w:t>
      </w:r>
      <w:r w:rsidR="00EC14F7">
        <w:rPr>
          <w:rFonts w:cstheme="minorHAnsi"/>
        </w:rPr>
        <w:t xml:space="preserve">: </w:t>
      </w:r>
    </w:p>
    <w:p w14:paraId="2EF7CDD0" w14:textId="6871C9C2" w:rsidR="00A435E7" w:rsidRDefault="00C9448D" w:rsidP="003630EC">
      <w:pPr>
        <w:ind w:left="720"/>
        <w:rPr>
          <w:rFonts w:cstheme="minorHAnsi"/>
        </w:rPr>
      </w:pPr>
      <w:r w:rsidRPr="00C9448D">
        <w:rPr>
          <w:rFonts w:cstheme="minorHAnsi"/>
        </w:rPr>
        <w:t>Morbid ideas occurred to me. What was happening? The darkness had an extraordinary quality. As I was approaching the door, a patch of light, coming from the keyhole, started moving over my hand and my sleeve. There was somebody outside the door: there really had been someone knocking.</w:t>
      </w:r>
      <w:r w:rsidR="008143A5">
        <w:rPr>
          <w:rStyle w:val="FootnoteReference"/>
          <w:rFonts w:cstheme="minorHAnsi"/>
        </w:rPr>
        <w:footnoteReference w:id="10"/>
      </w:r>
    </w:p>
    <w:p w14:paraId="6F3F3158" w14:textId="421E55B3" w:rsidR="00C459EC" w:rsidRDefault="006627C1" w:rsidP="00153D25">
      <w:pPr>
        <w:ind w:firstLine="720"/>
        <w:rPr>
          <w:rFonts w:cstheme="minorHAnsi"/>
        </w:rPr>
      </w:pPr>
      <w:r>
        <w:rPr>
          <w:rFonts w:cstheme="minorHAnsi"/>
        </w:rPr>
        <w:t xml:space="preserve">The possibility of the experience being a dream </w:t>
      </w:r>
      <w:r w:rsidR="00705270">
        <w:rPr>
          <w:rFonts w:cstheme="minorHAnsi"/>
        </w:rPr>
        <w:t>is</w:t>
      </w:r>
      <w:r>
        <w:rPr>
          <w:rFonts w:cstheme="minorHAnsi"/>
        </w:rPr>
        <w:t xml:space="preserve"> </w:t>
      </w:r>
      <w:r w:rsidR="00705270">
        <w:rPr>
          <w:rFonts w:cstheme="minorHAnsi"/>
        </w:rPr>
        <w:t xml:space="preserve">quickly dismissed when Xavier discovers his door has been unlocked from the inside. </w:t>
      </w:r>
      <w:r w:rsidR="000929CD">
        <w:rPr>
          <w:rFonts w:cstheme="minorHAnsi"/>
        </w:rPr>
        <w:t>It is interesting to note that even the beetles in the walls are the ‘death-watch’ variety</w:t>
      </w:r>
      <w:r w:rsidR="00D15973">
        <w:rPr>
          <w:rFonts w:cstheme="minorHAnsi"/>
        </w:rPr>
        <w:t xml:space="preserve">, </w:t>
      </w:r>
      <w:r w:rsidR="006A1AA7">
        <w:rPr>
          <w:rFonts w:cstheme="minorHAnsi"/>
        </w:rPr>
        <w:t>adding to the</w:t>
      </w:r>
      <w:r w:rsidR="00D15973">
        <w:rPr>
          <w:rFonts w:cstheme="minorHAnsi"/>
        </w:rPr>
        <w:t xml:space="preserve"> sense that death and his messengers are omnipresent.</w:t>
      </w:r>
      <w:r w:rsidR="00165332">
        <w:rPr>
          <w:rStyle w:val="FootnoteReference"/>
          <w:rFonts w:cstheme="minorHAnsi"/>
        </w:rPr>
        <w:footnoteReference w:id="11"/>
      </w:r>
      <w:r w:rsidR="0097061C">
        <w:rPr>
          <w:rFonts w:cstheme="minorHAnsi"/>
        </w:rPr>
        <w:t xml:space="preserve"> </w:t>
      </w:r>
      <w:r w:rsidR="00192EE5">
        <w:rPr>
          <w:rFonts w:cstheme="minorHAnsi"/>
        </w:rPr>
        <w:t>The strange and the supernatural weave together</w:t>
      </w:r>
      <w:r w:rsidR="002B163C">
        <w:rPr>
          <w:rFonts w:cstheme="minorHAnsi"/>
        </w:rPr>
        <w:t xml:space="preserve"> in this story</w:t>
      </w:r>
      <w:r w:rsidR="00192EE5">
        <w:rPr>
          <w:rFonts w:cstheme="minorHAnsi"/>
        </w:rPr>
        <w:t xml:space="preserve"> to create an uncomfortable atmosphere for the reader and connect it seamlessly to the legend of the </w:t>
      </w:r>
      <w:r w:rsidR="00192EE5">
        <w:rPr>
          <w:rFonts w:cstheme="minorHAnsi"/>
          <w:i/>
          <w:iCs/>
        </w:rPr>
        <w:t xml:space="preserve">Ankou. </w:t>
      </w:r>
      <w:r w:rsidR="0097061C">
        <w:rPr>
          <w:rFonts w:cstheme="minorHAnsi"/>
        </w:rPr>
        <w:t xml:space="preserve">The </w:t>
      </w:r>
      <w:r w:rsidR="002B163C">
        <w:rPr>
          <w:rFonts w:cstheme="minorHAnsi"/>
        </w:rPr>
        <w:t>tale</w:t>
      </w:r>
      <w:r w:rsidR="0097061C">
        <w:rPr>
          <w:rFonts w:cstheme="minorHAnsi"/>
        </w:rPr>
        <w:t xml:space="preserve"> ends with Xavier learning that his friend the Abb</w:t>
      </w:r>
      <w:r w:rsidR="004A2086">
        <w:rPr>
          <w:rFonts w:cstheme="minorHAnsi"/>
        </w:rPr>
        <w:t>é</w:t>
      </w:r>
      <w:r w:rsidR="0097061C">
        <w:rPr>
          <w:rFonts w:cstheme="minorHAnsi"/>
        </w:rPr>
        <w:t xml:space="preserve"> did indeed pass away in the manner prophesied by the appearance of</w:t>
      </w:r>
      <w:r w:rsidR="00192EE5">
        <w:rPr>
          <w:rFonts w:cstheme="minorHAnsi"/>
        </w:rPr>
        <w:t xml:space="preserve"> Death.</w:t>
      </w:r>
    </w:p>
    <w:p w14:paraId="15861CF9" w14:textId="700FF549" w:rsidR="004A2086" w:rsidRDefault="004A2086" w:rsidP="00C23411">
      <w:pPr>
        <w:rPr>
          <w:rFonts w:cstheme="minorHAnsi"/>
        </w:rPr>
      </w:pPr>
      <w:r>
        <w:rPr>
          <w:rFonts w:cstheme="minorHAnsi"/>
        </w:rPr>
        <w:tab/>
        <w:t>‘The Horse of Pride’</w:t>
      </w:r>
      <w:r w:rsidR="00A83A4C">
        <w:rPr>
          <w:rFonts w:cstheme="minorHAnsi"/>
        </w:rPr>
        <w:t xml:space="preserve"> is</w:t>
      </w:r>
      <w:r w:rsidR="00112454">
        <w:rPr>
          <w:rFonts w:cstheme="minorHAnsi"/>
        </w:rPr>
        <w:t xml:space="preserve"> </w:t>
      </w:r>
      <w:r w:rsidR="00A83A4C">
        <w:rPr>
          <w:rFonts w:cstheme="minorHAnsi"/>
        </w:rPr>
        <w:t xml:space="preserve">a chronicle of Breton life, recounting the memoirs of </w:t>
      </w:r>
      <w:bookmarkStart w:id="2" w:name="_Hlk89974334"/>
      <w:r w:rsidR="00A83A4C">
        <w:rPr>
          <w:rFonts w:cstheme="minorHAnsi"/>
        </w:rPr>
        <w:t>Pierre-Jakez Hélias</w:t>
      </w:r>
      <w:r w:rsidR="00C03789">
        <w:rPr>
          <w:rFonts w:cstheme="minorHAnsi"/>
        </w:rPr>
        <w:t xml:space="preserve"> </w:t>
      </w:r>
      <w:bookmarkEnd w:id="2"/>
      <w:r w:rsidR="00C03789">
        <w:rPr>
          <w:rFonts w:cstheme="minorHAnsi"/>
        </w:rPr>
        <w:t>of life in Brittany between the two world wars,</w:t>
      </w:r>
      <w:r w:rsidR="00A83A4C">
        <w:rPr>
          <w:rFonts w:cstheme="minorHAnsi"/>
        </w:rPr>
        <w:t xml:space="preserve"> and </w:t>
      </w:r>
      <w:r w:rsidR="00112454">
        <w:rPr>
          <w:rFonts w:cstheme="minorHAnsi"/>
        </w:rPr>
        <w:t>published in 1986</w:t>
      </w:r>
      <w:r w:rsidR="00C03789">
        <w:rPr>
          <w:rFonts w:cstheme="minorHAnsi"/>
        </w:rPr>
        <w:t>.</w:t>
      </w:r>
      <w:r w:rsidR="0022097B">
        <w:rPr>
          <w:rFonts w:cstheme="minorHAnsi"/>
        </w:rPr>
        <w:t xml:space="preserve"> </w:t>
      </w:r>
      <w:r w:rsidR="00C03789">
        <w:rPr>
          <w:rFonts w:cstheme="minorHAnsi"/>
        </w:rPr>
        <w:t xml:space="preserve">One account of the death of </w:t>
      </w:r>
      <w:r w:rsidR="00942106">
        <w:rPr>
          <w:rFonts w:cstheme="minorHAnsi"/>
        </w:rPr>
        <w:t>the</w:t>
      </w:r>
      <w:r w:rsidR="00C03789">
        <w:rPr>
          <w:rFonts w:cstheme="minorHAnsi"/>
        </w:rPr>
        <w:t xml:space="preserve"> farmer</w:t>
      </w:r>
      <w:r w:rsidR="00942106">
        <w:rPr>
          <w:rFonts w:cstheme="minorHAnsi"/>
        </w:rPr>
        <w:t xml:space="preserve"> Tiñ ar C’halvez</w:t>
      </w:r>
      <w:r w:rsidR="00C03789">
        <w:rPr>
          <w:rFonts w:cstheme="minorHAnsi"/>
        </w:rPr>
        <w:t xml:space="preserve"> introduces </w:t>
      </w:r>
      <w:r w:rsidR="00C03789">
        <w:rPr>
          <w:rFonts w:cstheme="minorHAnsi"/>
          <w:i/>
          <w:iCs/>
        </w:rPr>
        <w:t>Ankou</w:t>
      </w:r>
      <w:r w:rsidR="00C03789">
        <w:rPr>
          <w:rFonts w:cstheme="minorHAnsi"/>
        </w:rPr>
        <w:t xml:space="preserve"> in a more traditional form, as well as the </w:t>
      </w:r>
      <w:r w:rsidR="00C03789">
        <w:rPr>
          <w:rFonts w:cstheme="minorHAnsi"/>
          <w:i/>
          <w:iCs/>
        </w:rPr>
        <w:t>anaon</w:t>
      </w:r>
      <w:r w:rsidR="00BE25A6">
        <w:rPr>
          <w:rFonts w:cstheme="minorHAnsi"/>
        </w:rPr>
        <w:t xml:space="preserve"> in the form of </w:t>
      </w:r>
      <w:r w:rsidR="00396E85">
        <w:rPr>
          <w:rFonts w:cstheme="minorHAnsi"/>
          <w:i/>
          <w:iCs/>
        </w:rPr>
        <w:t xml:space="preserve">Ankou’s </w:t>
      </w:r>
      <w:r w:rsidR="00396E85">
        <w:rPr>
          <w:rFonts w:cstheme="minorHAnsi"/>
        </w:rPr>
        <w:t xml:space="preserve">entourage and </w:t>
      </w:r>
      <w:r w:rsidR="00BE25A6">
        <w:rPr>
          <w:rFonts w:cstheme="minorHAnsi"/>
        </w:rPr>
        <w:t xml:space="preserve">the farmer’s ghost which wanders from the </w:t>
      </w:r>
      <w:r w:rsidR="00293A11">
        <w:rPr>
          <w:rFonts w:cstheme="minorHAnsi"/>
        </w:rPr>
        <w:t>injured</w:t>
      </w:r>
      <w:r w:rsidR="00BE25A6">
        <w:rPr>
          <w:rFonts w:cstheme="minorHAnsi"/>
        </w:rPr>
        <w:t xml:space="preserve"> man’s body, wretchedly trying to escape the attention of </w:t>
      </w:r>
      <w:r w:rsidR="00BE25A6">
        <w:rPr>
          <w:rFonts w:cstheme="minorHAnsi"/>
          <w:i/>
          <w:iCs/>
        </w:rPr>
        <w:t>Ankou</w:t>
      </w:r>
      <w:r w:rsidR="00BE25A6">
        <w:rPr>
          <w:rFonts w:cstheme="minorHAnsi"/>
        </w:rPr>
        <w:t>:</w:t>
      </w:r>
    </w:p>
    <w:p w14:paraId="5B12DA71" w14:textId="54A8B8A1" w:rsidR="00BE25A6" w:rsidRDefault="00BE25A6" w:rsidP="007501F3">
      <w:pPr>
        <w:ind w:left="720"/>
        <w:rPr>
          <w:rFonts w:cstheme="minorHAnsi"/>
        </w:rPr>
      </w:pPr>
      <w:r>
        <w:rPr>
          <w:rFonts w:cstheme="minorHAnsi"/>
        </w:rPr>
        <w:lastRenderedPageBreak/>
        <w:t>He did not know how he managed to escape, but he was sure the Ankou was still searching for him. He kept on saying that he was feeling cold. The only way to escape from the death messenger, he said, was to hold the hand of some living person.</w:t>
      </w:r>
      <w:r w:rsidR="007501F3">
        <w:rPr>
          <w:rStyle w:val="FootnoteReference"/>
          <w:rFonts w:cstheme="minorHAnsi"/>
        </w:rPr>
        <w:footnoteReference w:id="12"/>
      </w:r>
    </w:p>
    <w:p w14:paraId="67BFCDD4" w14:textId="2ED7981B" w:rsidR="00293A11" w:rsidRDefault="00293A11" w:rsidP="00293A11">
      <w:pPr>
        <w:rPr>
          <w:rFonts w:cstheme="minorHAnsi"/>
        </w:rPr>
      </w:pPr>
      <w:r>
        <w:rPr>
          <w:rFonts w:cstheme="minorHAnsi"/>
        </w:rPr>
        <w:t>It is not until the end of the story that we learn that it was C’halvez’s soul that was wandering, seeking assistance from the living to escape death, as his body was lying in bed at that time recovering from a serious accident with a cart.</w:t>
      </w:r>
    </w:p>
    <w:p w14:paraId="715CEA6E" w14:textId="4FF5E1D4" w:rsidR="00293A11" w:rsidRDefault="00293A11" w:rsidP="00293A11">
      <w:pPr>
        <w:rPr>
          <w:rFonts w:cstheme="minorHAnsi"/>
        </w:rPr>
      </w:pPr>
      <w:r>
        <w:rPr>
          <w:rFonts w:cstheme="minorHAnsi"/>
        </w:rPr>
        <w:tab/>
      </w:r>
      <w:r w:rsidR="00360193">
        <w:rPr>
          <w:rFonts w:cstheme="minorHAnsi"/>
        </w:rPr>
        <w:t>C’ha</w:t>
      </w:r>
      <w:r w:rsidR="00676509">
        <w:rPr>
          <w:rFonts w:cstheme="minorHAnsi"/>
        </w:rPr>
        <w:t>l</w:t>
      </w:r>
      <w:r w:rsidR="00360193">
        <w:rPr>
          <w:rFonts w:cstheme="minorHAnsi"/>
        </w:rPr>
        <w:t>vez states</w:t>
      </w:r>
      <w:r>
        <w:rPr>
          <w:rFonts w:cstheme="minorHAnsi"/>
        </w:rPr>
        <w:t xml:space="preserve"> t</w:t>
      </w:r>
      <w:r w:rsidR="00360193">
        <w:rPr>
          <w:rFonts w:cstheme="minorHAnsi"/>
        </w:rPr>
        <w:t xml:space="preserve">hat the </w:t>
      </w:r>
      <w:r w:rsidR="00360193">
        <w:rPr>
          <w:rFonts w:cstheme="minorHAnsi"/>
          <w:i/>
          <w:iCs/>
        </w:rPr>
        <w:t xml:space="preserve">Ankou </w:t>
      </w:r>
      <w:r w:rsidR="00360193">
        <w:rPr>
          <w:rFonts w:cstheme="minorHAnsi"/>
        </w:rPr>
        <w:t>had ‘looked deep into his eyes through his empty sockets</w:t>
      </w:r>
      <w:r w:rsidR="006261E9">
        <w:rPr>
          <w:rFonts w:cstheme="minorHAnsi"/>
        </w:rPr>
        <w:t>.</w:t>
      </w:r>
      <w:r w:rsidR="00360193">
        <w:rPr>
          <w:rFonts w:cstheme="minorHAnsi"/>
        </w:rPr>
        <w:t>’</w:t>
      </w:r>
      <w:r w:rsidR="00360193">
        <w:rPr>
          <w:rStyle w:val="FootnoteReference"/>
          <w:rFonts w:cstheme="minorHAnsi"/>
        </w:rPr>
        <w:footnoteReference w:id="13"/>
      </w:r>
      <w:r w:rsidR="006261E9">
        <w:rPr>
          <w:rFonts w:cstheme="minorHAnsi"/>
        </w:rPr>
        <w:t xml:space="preserve"> The man’s terror reaches its crescendo when he exclaims: </w:t>
      </w:r>
    </w:p>
    <w:p w14:paraId="15FA649D" w14:textId="557F5A51" w:rsidR="006261E9" w:rsidRDefault="006261E9" w:rsidP="002A44AD">
      <w:pPr>
        <w:ind w:left="720"/>
        <w:rPr>
          <w:rFonts w:cstheme="minorHAnsi"/>
        </w:rPr>
      </w:pPr>
      <w:r>
        <w:rPr>
          <w:rFonts w:cstheme="minorHAnsi"/>
        </w:rPr>
        <w:t>There he is! He is coming! Do you hear the cart squeaking?</w:t>
      </w:r>
      <w:r w:rsidR="002A44AD">
        <w:rPr>
          <w:rFonts w:cstheme="minorHAnsi"/>
        </w:rPr>
        <w:t xml:space="preserve"> Do you hear all these voices around him singing the Hymn of Hell? Why Hell? Purgatory maybe, but Hell! I don’t want to go there. Keep hold of me!</w:t>
      </w:r>
      <w:r w:rsidR="002A44AD">
        <w:rPr>
          <w:rStyle w:val="FootnoteReference"/>
          <w:rFonts w:cstheme="minorHAnsi"/>
        </w:rPr>
        <w:footnoteReference w:id="14"/>
      </w:r>
    </w:p>
    <w:p w14:paraId="11B8B4F6" w14:textId="3384C66A" w:rsidR="006D2B07" w:rsidRDefault="006D2B07" w:rsidP="006D2B07">
      <w:pPr>
        <w:rPr>
          <w:rFonts w:cstheme="minorHAnsi"/>
        </w:rPr>
      </w:pPr>
      <w:r>
        <w:rPr>
          <w:rFonts w:cstheme="minorHAnsi"/>
        </w:rPr>
        <w:t xml:space="preserve">In this extract are all the traditional associations with </w:t>
      </w:r>
      <w:r>
        <w:rPr>
          <w:rFonts w:cstheme="minorHAnsi"/>
          <w:i/>
          <w:iCs/>
        </w:rPr>
        <w:t>Ankou</w:t>
      </w:r>
      <w:r w:rsidR="00D822BA">
        <w:rPr>
          <w:rFonts w:cstheme="minorHAnsi"/>
          <w:i/>
          <w:iCs/>
        </w:rPr>
        <w:t xml:space="preserve"> </w:t>
      </w:r>
      <w:r w:rsidR="00D822BA">
        <w:rPr>
          <w:rFonts w:cstheme="minorHAnsi"/>
        </w:rPr>
        <w:t xml:space="preserve">and the </w:t>
      </w:r>
      <w:r w:rsidR="00D822BA">
        <w:rPr>
          <w:rFonts w:cstheme="minorHAnsi"/>
          <w:i/>
          <w:iCs/>
        </w:rPr>
        <w:t>anaon</w:t>
      </w:r>
      <w:r>
        <w:rPr>
          <w:rFonts w:cstheme="minorHAnsi"/>
          <w:i/>
          <w:iCs/>
        </w:rPr>
        <w:t xml:space="preserve"> – </w:t>
      </w:r>
      <w:r>
        <w:rPr>
          <w:rFonts w:cstheme="minorHAnsi"/>
        </w:rPr>
        <w:t>the squeaking cart, the voices of his helpe</w:t>
      </w:r>
      <w:r w:rsidR="00D822BA">
        <w:rPr>
          <w:rFonts w:cstheme="minorHAnsi"/>
        </w:rPr>
        <w:t>rs</w:t>
      </w:r>
      <w:r w:rsidR="0033683E">
        <w:rPr>
          <w:rFonts w:cstheme="minorHAnsi"/>
        </w:rPr>
        <w:t>, the restless spirit of C’ha</w:t>
      </w:r>
      <w:r w:rsidR="00676509">
        <w:rPr>
          <w:rFonts w:cstheme="minorHAnsi"/>
        </w:rPr>
        <w:t>l</w:t>
      </w:r>
      <w:r w:rsidR="0033683E">
        <w:rPr>
          <w:rFonts w:cstheme="minorHAnsi"/>
        </w:rPr>
        <w:t>vez</w:t>
      </w:r>
      <w:r>
        <w:rPr>
          <w:rFonts w:cstheme="minorHAnsi"/>
        </w:rPr>
        <w:t xml:space="preserve"> and the idea of purgatory and punishment. The association with hell indicates a religious connection with </w:t>
      </w:r>
      <w:r>
        <w:rPr>
          <w:rFonts w:cstheme="minorHAnsi"/>
          <w:i/>
          <w:iCs/>
        </w:rPr>
        <w:t>Ankou</w:t>
      </w:r>
      <w:r>
        <w:rPr>
          <w:rFonts w:cstheme="minorHAnsi"/>
        </w:rPr>
        <w:t>, that his cart could convey one to heaven or hell</w:t>
      </w:r>
      <w:r w:rsidR="000464B4">
        <w:rPr>
          <w:rFonts w:cstheme="minorHAnsi"/>
        </w:rPr>
        <w:t>, which is suggestive of a Christian acceptance of this figure.</w:t>
      </w:r>
      <w:r w:rsidR="00536D66">
        <w:rPr>
          <w:rFonts w:cstheme="minorHAnsi"/>
        </w:rPr>
        <w:t xml:space="preserve"> </w:t>
      </w:r>
      <w:r w:rsidR="00E926F1">
        <w:rPr>
          <w:rFonts w:cstheme="minorHAnsi"/>
        </w:rPr>
        <w:t xml:space="preserve">It certainly appears that religion played a central role in beliefs around death in Brittany. </w:t>
      </w:r>
      <w:r w:rsidR="00CE6372">
        <w:rPr>
          <w:rFonts w:cstheme="minorHAnsi"/>
        </w:rPr>
        <w:t>For example, t</w:t>
      </w:r>
      <w:r w:rsidR="00E926F1">
        <w:rPr>
          <w:rFonts w:cstheme="minorHAnsi"/>
        </w:rPr>
        <w:t>he night before All Saint’s Day (November 1</w:t>
      </w:r>
      <w:r w:rsidR="00E926F1" w:rsidRPr="00E926F1">
        <w:rPr>
          <w:rFonts w:cstheme="minorHAnsi"/>
          <w:vertAlign w:val="superscript"/>
        </w:rPr>
        <w:t>st</w:t>
      </w:r>
      <w:r w:rsidR="00E926F1">
        <w:rPr>
          <w:rFonts w:cstheme="minorHAnsi"/>
        </w:rPr>
        <w:t xml:space="preserve">) known as </w:t>
      </w:r>
      <w:r w:rsidR="00E926F1">
        <w:rPr>
          <w:rFonts w:cstheme="minorHAnsi"/>
          <w:i/>
          <w:iCs/>
        </w:rPr>
        <w:t>La Touissant</w:t>
      </w:r>
      <w:r w:rsidR="00E926F1">
        <w:rPr>
          <w:rFonts w:cstheme="minorHAnsi"/>
        </w:rPr>
        <w:t xml:space="preserve"> was observed in the following way: </w:t>
      </w:r>
    </w:p>
    <w:p w14:paraId="6D140EB3" w14:textId="73BD66EA" w:rsidR="00E926F1" w:rsidRDefault="00E926F1" w:rsidP="00F81B08">
      <w:pPr>
        <w:ind w:left="720"/>
        <w:rPr>
          <w:rFonts w:cstheme="minorHAnsi"/>
        </w:rPr>
      </w:pPr>
      <w:r>
        <w:rPr>
          <w:rFonts w:cstheme="minorHAnsi"/>
        </w:rPr>
        <w:t xml:space="preserve">By each church in old Brittany is a receptacle of bones, which are rendered plainly visible by grated windows. These receptacles are called </w:t>
      </w:r>
      <w:r>
        <w:rPr>
          <w:rFonts w:cstheme="minorHAnsi"/>
          <w:i/>
          <w:iCs/>
        </w:rPr>
        <w:t xml:space="preserve">Charniers </w:t>
      </w:r>
      <w:r>
        <w:rPr>
          <w:rFonts w:cstheme="minorHAnsi"/>
        </w:rPr>
        <w:t xml:space="preserve">or </w:t>
      </w:r>
      <w:r>
        <w:rPr>
          <w:rFonts w:cstheme="minorHAnsi"/>
          <w:i/>
          <w:iCs/>
        </w:rPr>
        <w:t>Ossuaries</w:t>
      </w:r>
      <w:r>
        <w:rPr>
          <w:rFonts w:cstheme="minorHAnsi"/>
        </w:rPr>
        <w:t>, and the dead are dug up after a certain time to be placed in them.</w:t>
      </w:r>
      <w:r w:rsidR="00F81B08">
        <w:rPr>
          <w:rStyle w:val="FootnoteReference"/>
          <w:rFonts w:cstheme="minorHAnsi"/>
        </w:rPr>
        <w:footnoteReference w:id="15"/>
      </w:r>
    </w:p>
    <w:p w14:paraId="44220775" w14:textId="437D1EEF" w:rsidR="00043341" w:rsidRPr="00043341" w:rsidRDefault="00043341" w:rsidP="00043341">
      <w:pPr>
        <w:rPr>
          <w:rFonts w:cstheme="minorHAnsi"/>
        </w:rPr>
      </w:pPr>
      <w:r>
        <w:rPr>
          <w:rFonts w:cstheme="minorHAnsi"/>
        </w:rPr>
        <w:t xml:space="preserve">It was believed that the dead would come to visit the living, and priests would sing a dedicated </w:t>
      </w:r>
      <w:r>
        <w:rPr>
          <w:rFonts w:cstheme="minorHAnsi"/>
          <w:i/>
          <w:iCs/>
        </w:rPr>
        <w:t xml:space="preserve">Gwerz </w:t>
      </w:r>
      <w:r>
        <w:rPr>
          <w:rFonts w:cstheme="minorHAnsi"/>
        </w:rPr>
        <w:t xml:space="preserve"> in front of the </w:t>
      </w:r>
      <w:r>
        <w:rPr>
          <w:rFonts w:cstheme="minorHAnsi"/>
          <w:i/>
          <w:iCs/>
        </w:rPr>
        <w:t xml:space="preserve">Charnier. </w:t>
      </w:r>
      <w:r>
        <w:rPr>
          <w:rFonts w:cstheme="minorHAnsi"/>
        </w:rPr>
        <w:t xml:space="preserve">After singing the </w:t>
      </w:r>
      <w:r>
        <w:rPr>
          <w:rFonts w:cstheme="minorHAnsi"/>
          <w:i/>
          <w:iCs/>
        </w:rPr>
        <w:t>Gwerz</w:t>
      </w:r>
      <w:r>
        <w:rPr>
          <w:rFonts w:cstheme="minorHAnsi"/>
        </w:rPr>
        <w:t>, people would return to their homes and prepare a feast for the departed and speak of their deeds. The feast</w:t>
      </w:r>
      <w:r w:rsidR="00CE6372">
        <w:rPr>
          <w:rFonts w:cstheme="minorHAnsi"/>
        </w:rPr>
        <w:t xml:space="preserve"> was comprised of cider, pancakes, </w:t>
      </w:r>
      <w:r w:rsidR="000055ED">
        <w:rPr>
          <w:rFonts w:cstheme="minorHAnsi"/>
        </w:rPr>
        <w:t>curds,</w:t>
      </w:r>
      <w:r w:rsidR="00CE6372">
        <w:rPr>
          <w:rFonts w:cstheme="minorHAnsi"/>
        </w:rPr>
        <w:t xml:space="preserve"> and whey. The ‘log of the dead’ </w:t>
      </w:r>
      <w:r w:rsidR="00914B63">
        <w:rPr>
          <w:rFonts w:cstheme="minorHAnsi"/>
        </w:rPr>
        <w:t>was</w:t>
      </w:r>
      <w:r w:rsidR="00CE6372">
        <w:rPr>
          <w:rFonts w:cstheme="minorHAnsi"/>
        </w:rPr>
        <w:t xml:space="preserve"> left blazing on the hearth as people retired to bed.</w:t>
      </w:r>
      <w:r w:rsidR="00DB55B0">
        <w:rPr>
          <w:rStyle w:val="FootnoteReference"/>
          <w:rFonts w:cstheme="minorHAnsi"/>
        </w:rPr>
        <w:footnoteReference w:id="16"/>
      </w:r>
      <w:r w:rsidR="00914B63">
        <w:rPr>
          <w:rFonts w:cstheme="minorHAnsi"/>
        </w:rPr>
        <w:t xml:space="preserve"> These rites may represent a more ancient form of pre-Christian ancestor worship which fuses seamlessly with Christianity. The morning after the rites, the dead were believed to go </w:t>
      </w:r>
      <w:r w:rsidR="007C2703">
        <w:rPr>
          <w:rFonts w:cstheme="minorHAnsi"/>
        </w:rPr>
        <w:t>to mass in the parish church which was celebrated in their honour.</w:t>
      </w:r>
    </w:p>
    <w:p w14:paraId="5E8D311F" w14:textId="4DEB9E4F" w:rsidR="00F87677" w:rsidRDefault="00536D66" w:rsidP="006D2B07">
      <w:pPr>
        <w:rPr>
          <w:rFonts w:cstheme="minorHAnsi"/>
        </w:rPr>
      </w:pPr>
      <w:r>
        <w:rPr>
          <w:rFonts w:cstheme="minorHAnsi"/>
        </w:rPr>
        <w:tab/>
      </w:r>
      <w:r w:rsidR="0089188D">
        <w:rPr>
          <w:rFonts w:cstheme="minorHAnsi"/>
        </w:rPr>
        <w:t xml:space="preserve">Returning to </w:t>
      </w:r>
      <w:r w:rsidR="0089188D">
        <w:rPr>
          <w:rFonts w:cstheme="minorHAnsi"/>
          <w:i/>
          <w:iCs/>
        </w:rPr>
        <w:t xml:space="preserve">Ankou, </w:t>
      </w:r>
      <w:r w:rsidR="0089188D">
        <w:rPr>
          <w:rFonts w:cstheme="minorHAnsi"/>
        </w:rPr>
        <w:t>n</w:t>
      </w:r>
      <w:r w:rsidR="00051D9A">
        <w:rPr>
          <w:rFonts w:cstheme="minorHAnsi"/>
        </w:rPr>
        <w:t xml:space="preserve">ot all Breton literature </w:t>
      </w:r>
      <w:r w:rsidR="0089188D">
        <w:rPr>
          <w:rFonts w:cstheme="minorHAnsi"/>
        </w:rPr>
        <w:t>relating to him</w:t>
      </w:r>
      <w:r w:rsidR="00051D9A">
        <w:rPr>
          <w:rFonts w:cstheme="minorHAnsi"/>
          <w:i/>
          <w:iCs/>
        </w:rPr>
        <w:t xml:space="preserve"> </w:t>
      </w:r>
      <w:r w:rsidR="00051D9A">
        <w:rPr>
          <w:rFonts w:cstheme="minorHAnsi"/>
        </w:rPr>
        <w:t xml:space="preserve">views him as something to be feared. The poem </w:t>
      </w:r>
      <w:r w:rsidR="00051D9A">
        <w:rPr>
          <w:rFonts w:cstheme="minorHAnsi"/>
          <w:i/>
          <w:iCs/>
        </w:rPr>
        <w:t>L’Ankou</w:t>
      </w:r>
      <w:r w:rsidR="00051D9A">
        <w:rPr>
          <w:rFonts w:cstheme="minorHAnsi"/>
        </w:rPr>
        <w:t>, written by Meavenn</w:t>
      </w:r>
      <w:r w:rsidR="007F7DC4">
        <w:rPr>
          <w:rFonts w:cstheme="minorHAnsi"/>
        </w:rPr>
        <w:t xml:space="preserve"> (Francine Rozec, 1911 – 1992)</w:t>
      </w:r>
      <w:r w:rsidR="00051D9A">
        <w:rPr>
          <w:rFonts w:cstheme="minorHAnsi"/>
        </w:rPr>
        <w:t xml:space="preserve"> in 1933, casts him</w:t>
      </w:r>
      <w:r w:rsidR="008818C8">
        <w:rPr>
          <w:rFonts w:cstheme="minorHAnsi"/>
        </w:rPr>
        <w:t>, and the state of death</w:t>
      </w:r>
      <w:r w:rsidR="00A22723">
        <w:rPr>
          <w:rFonts w:cstheme="minorHAnsi"/>
        </w:rPr>
        <w:t>,</w:t>
      </w:r>
      <w:r w:rsidR="00051D9A">
        <w:rPr>
          <w:rFonts w:cstheme="minorHAnsi"/>
        </w:rPr>
        <w:t xml:space="preserve"> in a much more positive light</w:t>
      </w:r>
      <w:r w:rsidR="008818C8">
        <w:rPr>
          <w:rFonts w:cstheme="minorHAnsi"/>
        </w:rPr>
        <w:t>: ‘Why are you made out to be fearsome / You are not ugly; / You are not distressing, / Just unknown.</w:t>
      </w:r>
      <w:r w:rsidR="00A22723">
        <w:rPr>
          <w:rFonts w:cstheme="minorHAnsi"/>
        </w:rPr>
        <w:t>’</w:t>
      </w:r>
      <w:r w:rsidR="0034568D">
        <w:rPr>
          <w:rStyle w:val="FootnoteReference"/>
          <w:rFonts w:cstheme="minorHAnsi"/>
        </w:rPr>
        <w:footnoteReference w:id="17"/>
      </w:r>
      <w:r w:rsidR="0071257A">
        <w:rPr>
          <w:rFonts w:cstheme="minorHAnsi"/>
        </w:rPr>
        <w:t xml:space="preserve"> In fact, Meavenn seems to welcome the prospect of death as an entry into another realm which is a secret place,</w:t>
      </w:r>
      <w:r w:rsidR="00C97E4C">
        <w:rPr>
          <w:rFonts w:cstheme="minorHAnsi"/>
        </w:rPr>
        <w:t xml:space="preserve"> a place</w:t>
      </w:r>
      <w:r w:rsidR="0071257A">
        <w:rPr>
          <w:rFonts w:cstheme="minorHAnsi"/>
        </w:rPr>
        <w:t xml:space="preserve"> ‘which will be our land.’</w:t>
      </w:r>
      <w:r w:rsidR="0071257A">
        <w:rPr>
          <w:rStyle w:val="FootnoteReference"/>
          <w:rFonts w:cstheme="minorHAnsi"/>
        </w:rPr>
        <w:footnoteReference w:id="18"/>
      </w:r>
      <w:r w:rsidR="00C97E4C">
        <w:rPr>
          <w:rFonts w:cstheme="minorHAnsi"/>
        </w:rPr>
        <w:t xml:space="preserve"> </w:t>
      </w:r>
      <w:r w:rsidR="00D555D7">
        <w:rPr>
          <w:rFonts w:cstheme="minorHAnsi"/>
        </w:rPr>
        <w:t xml:space="preserve">The poem as a whole treats death as mysterious and intriguing rather than terrifying, and </w:t>
      </w:r>
      <w:r w:rsidR="00D555D7">
        <w:rPr>
          <w:rFonts w:cstheme="minorHAnsi"/>
        </w:rPr>
        <w:lastRenderedPageBreak/>
        <w:t xml:space="preserve">the last </w:t>
      </w:r>
      <w:r w:rsidR="00C54B6F">
        <w:rPr>
          <w:rFonts w:cstheme="minorHAnsi"/>
        </w:rPr>
        <w:t>verse is rather powerful: ‘To die. / What is it like? / I don’t know / But I am ready to go.’</w:t>
      </w:r>
      <w:r w:rsidR="00C54B6F">
        <w:rPr>
          <w:rStyle w:val="FootnoteReference"/>
          <w:rFonts w:cstheme="minorHAnsi"/>
        </w:rPr>
        <w:footnoteReference w:id="19"/>
      </w:r>
      <w:r w:rsidR="00982073">
        <w:rPr>
          <w:rFonts w:cstheme="minorHAnsi"/>
        </w:rPr>
        <w:t xml:space="preserve"> </w:t>
      </w:r>
      <w:r w:rsidR="006E3AF3">
        <w:rPr>
          <w:rFonts w:cstheme="minorHAnsi"/>
        </w:rPr>
        <w:t>There is n</w:t>
      </w:r>
      <w:r w:rsidR="00171F36">
        <w:rPr>
          <w:rFonts w:cstheme="minorHAnsi"/>
        </w:rPr>
        <w:t>o fear, just a willingness to embrace the mystery</w:t>
      </w:r>
      <w:r w:rsidR="00410AEE">
        <w:rPr>
          <w:rFonts w:cstheme="minorHAnsi"/>
        </w:rPr>
        <w:t>.</w:t>
      </w:r>
    </w:p>
    <w:p w14:paraId="3570B55D" w14:textId="02DE46E8" w:rsidR="00C5178D" w:rsidRDefault="00C5178D" w:rsidP="006D2B07">
      <w:pPr>
        <w:rPr>
          <w:rFonts w:cstheme="minorHAnsi"/>
        </w:rPr>
      </w:pPr>
      <w:r>
        <w:rPr>
          <w:rFonts w:cstheme="minorHAnsi"/>
        </w:rPr>
        <w:tab/>
        <w:t>In conclusion, there is no doubt that Brittany is indeed the ‘Land of the Departed’, and death is intricately woven into the tapestry of Breton culture.</w:t>
      </w:r>
      <w:r w:rsidR="00AC330C">
        <w:rPr>
          <w:rFonts w:cstheme="minorHAnsi"/>
        </w:rPr>
        <w:t xml:space="preserve"> There is a wealth of literature dealing with the subject, of which this essay has </w:t>
      </w:r>
      <w:r w:rsidR="004A42A8">
        <w:rPr>
          <w:rFonts w:cstheme="minorHAnsi"/>
        </w:rPr>
        <w:t>barely</w:t>
      </w:r>
      <w:r w:rsidR="00AC330C">
        <w:rPr>
          <w:rFonts w:cstheme="minorHAnsi"/>
        </w:rPr>
        <w:t xml:space="preserve"> scratched the surface. The living and the dead co-exist with each other, the two worlds interacting at all times.</w:t>
      </w:r>
      <w:r w:rsidR="003F0708">
        <w:rPr>
          <w:rFonts w:cstheme="minorHAnsi"/>
        </w:rPr>
        <w:t xml:space="preserve"> The figure of </w:t>
      </w:r>
      <w:r w:rsidR="003F0708">
        <w:rPr>
          <w:rFonts w:cstheme="minorHAnsi"/>
          <w:i/>
          <w:iCs/>
        </w:rPr>
        <w:t>Ankou</w:t>
      </w:r>
      <w:r w:rsidR="004A42A8">
        <w:rPr>
          <w:rFonts w:cstheme="minorHAnsi"/>
        </w:rPr>
        <w:t xml:space="preserve">, although generally feared, </w:t>
      </w:r>
      <w:r w:rsidR="00770AC4">
        <w:rPr>
          <w:rFonts w:cstheme="minorHAnsi"/>
        </w:rPr>
        <w:t>i</w:t>
      </w:r>
      <w:r w:rsidR="004A42A8">
        <w:rPr>
          <w:rFonts w:cstheme="minorHAnsi"/>
        </w:rPr>
        <w:t xml:space="preserve">s also accepted as a part of the natural order, so much so that death rites which may have been pre-Christian in origin, were integrated seamlessly into </w:t>
      </w:r>
      <w:r w:rsidR="00770AC4">
        <w:rPr>
          <w:rFonts w:cstheme="minorHAnsi"/>
        </w:rPr>
        <w:t>the Breton Catholic doctrine.</w:t>
      </w:r>
    </w:p>
    <w:p w14:paraId="2452E3D0" w14:textId="1AFA5884" w:rsidR="00F6183D" w:rsidRDefault="00F6183D" w:rsidP="006D2B07">
      <w:pPr>
        <w:rPr>
          <w:rFonts w:cstheme="minorHAnsi"/>
        </w:rPr>
      </w:pPr>
    </w:p>
    <w:p w14:paraId="1122820B" w14:textId="73E39B69" w:rsidR="00F6183D" w:rsidRDefault="00F6183D" w:rsidP="006D2B07">
      <w:pPr>
        <w:rPr>
          <w:rFonts w:cstheme="minorHAnsi"/>
        </w:rPr>
      </w:pPr>
    </w:p>
    <w:p w14:paraId="7DCE0CEB" w14:textId="64D28449" w:rsidR="00F6183D" w:rsidRDefault="00F6183D" w:rsidP="006D2B07">
      <w:pPr>
        <w:rPr>
          <w:rFonts w:cstheme="minorHAnsi"/>
        </w:rPr>
      </w:pPr>
    </w:p>
    <w:p w14:paraId="7B29DA87" w14:textId="0FB17078" w:rsidR="00F6183D" w:rsidRDefault="00F6183D" w:rsidP="006D2B07">
      <w:pPr>
        <w:rPr>
          <w:rFonts w:cstheme="minorHAnsi"/>
        </w:rPr>
      </w:pPr>
    </w:p>
    <w:p w14:paraId="25347626" w14:textId="68A55F60" w:rsidR="00F6183D" w:rsidRDefault="00F6183D" w:rsidP="006D2B07">
      <w:pPr>
        <w:rPr>
          <w:rFonts w:cstheme="minorHAnsi"/>
        </w:rPr>
      </w:pPr>
    </w:p>
    <w:p w14:paraId="2B48E255" w14:textId="261FA568" w:rsidR="00F6183D" w:rsidRDefault="00F6183D" w:rsidP="006D2B07">
      <w:pPr>
        <w:rPr>
          <w:rFonts w:cstheme="minorHAnsi"/>
        </w:rPr>
      </w:pPr>
    </w:p>
    <w:p w14:paraId="2719480C" w14:textId="0FEDAFDB" w:rsidR="00F6183D" w:rsidRDefault="00F6183D" w:rsidP="006D2B07">
      <w:pPr>
        <w:rPr>
          <w:rFonts w:cstheme="minorHAnsi"/>
        </w:rPr>
      </w:pPr>
    </w:p>
    <w:p w14:paraId="2C802094" w14:textId="4A6E9433" w:rsidR="00F6183D" w:rsidRDefault="00F6183D" w:rsidP="006D2B07">
      <w:pPr>
        <w:rPr>
          <w:rFonts w:cstheme="minorHAnsi"/>
        </w:rPr>
      </w:pPr>
    </w:p>
    <w:p w14:paraId="0F38387B" w14:textId="7ADB72E3" w:rsidR="00F6183D" w:rsidRDefault="00F6183D" w:rsidP="006D2B07">
      <w:pPr>
        <w:rPr>
          <w:rFonts w:cstheme="minorHAnsi"/>
        </w:rPr>
      </w:pPr>
    </w:p>
    <w:p w14:paraId="4FD3751C" w14:textId="7E409CBE" w:rsidR="00F6183D" w:rsidRDefault="00F6183D" w:rsidP="006D2B07">
      <w:pPr>
        <w:rPr>
          <w:rFonts w:cstheme="minorHAnsi"/>
        </w:rPr>
      </w:pPr>
    </w:p>
    <w:p w14:paraId="0FCA229B" w14:textId="589E5844" w:rsidR="00F6183D" w:rsidRDefault="00F6183D" w:rsidP="006D2B07">
      <w:pPr>
        <w:rPr>
          <w:rFonts w:cstheme="minorHAnsi"/>
        </w:rPr>
      </w:pPr>
    </w:p>
    <w:p w14:paraId="4DAD1F3D" w14:textId="05944EA4" w:rsidR="00F6183D" w:rsidRDefault="00F6183D" w:rsidP="006D2B07">
      <w:pPr>
        <w:rPr>
          <w:rFonts w:cstheme="minorHAnsi"/>
        </w:rPr>
      </w:pPr>
    </w:p>
    <w:p w14:paraId="25999723" w14:textId="1047DDFA" w:rsidR="00F6183D" w:rsidRDefault="00F6183D" w:rsidP="006D2B07">
      <w:pPr>
        <w:rPr>
          <w:rFonts w:cstheme="minorHAnsi"/>
        </w:rPr>
      </w:pPr>
    </w:p>
    <w:p w14:paraId="301B8581" w14:textId="2ADD7CDB" w:rsidR="00F6183D" w:rsidRDefault="00F6183D" w:rsidP="006D2B07">
      <w:pPr>
        <w:rPr>
          <w:rFonts w:cstheme="minorHAnsi"/>
        </w:rPr>
      </w:pPr>
    </w:p>
    <w:p w14:paraId="0E0BB2FB" w14:textId="71DDFD5B" w:rsidR="00F6183D" w:rsidRDefault="00F6183D" w:rsidP="006D2B07">
      <w:pPr>
        <w:rPr>
          <w:rFonts w:cstheme="minorHAnsi"/>
        </w:rPr>
      </w:pPr>
    </w:p>
    <w:p w14:paraId="6C4D7269" w14:textId="722B04C7" w:rsidR="00F6183D" w:rsidRDefault="00F6183D" w:rsidP="006D2B07">
      <w:pPr>
        <w:rPr>
          <w:rFonts w:cstheme="minorHAnsi"/>
        </w:rPr>
      </w:pPr>
    </w:p>
    <w:p w14:paraId="77633004" w14:textId="3335EEAF" w:rsidR="00F6183D" w:rsidRDefault="00F6183D" w:rsidP="006D2B07">
      <w:pPr>
        <w:rPr>
          <w:rFonts w:cstheme="minorHAnsi"/>
        </w:rPr>
      </w:pPr>
    </w:p>
    <w:p w14:paraId="37127256" w14:textId="59B92103" w:rsidR="00F6183D" w:rsidRDefault="00F6183D" w:rsidP="006D2B07">
      <w:pPr>
        <w:rPr>
          <w:rFonts w:cstheme="minorHAnsi"/>
        </w:rPr>
      </w:pPr>
    </w:p>
    <w:p w14:paraId="2E344CC7" w14:textId="27723C38" w:rsidR="00F6183D" w:rsidRDefault="00F6183D" w:rsidP="006D2B07">
      <w:pPr>
        <w:rPr>
          <w:rFonts w:cstheme="minorHAnsi"/>
        </w:rPr>
      </w:pPr>
    </w:p>
    <w:p w14:paraId="647D0696" w14:textId="2B7284F5" w:rsidR="00F6183D" w:rsidRDefault="00F6183D" w:rsidP="006D2B07">
      <w:pPr>
        <w:rPr>
          <w:rFonts w:cstheme="minorHAnsi"/>
        </w:rPr>
      </w:pPr>
    </w:p>
    <w:p w14:paraId="63636406" w14:textId="77011CC8" w:rsidR="00F6183D" w:rsidRDefault="00F6183D" w:rsidP="006D2B07">
      <w:pPr>
        <w:rPr>
          <w:rFonts w:cstheme="minorHAnsi"/>
        </w:rPr>
      </w:pPr>
    </w:p>
    <w:p w14:paraId="00BA265C" w14:textId="005E5B16" w:rsidR="00F6183D" w:rsidRDefault="00F6183D" w:rsidP="006D2B07">
      <w:pPr>
        <w:rPr>
          <w:rFonts w:cstheme="minorHAnsi"/>
        </w:rPr>
      </w:pPr>
    </w:p>
    <w:p w14:paraId="3ED90F4B" w14:textId="282C8D58" w:rsidR="00F6183D" w:rsidRDefault="00F6183D" w:rsidP="006D2B07">
      <w:pPr>
        <w:rPr>
          <w:rFonts w:cstheme="minorHAnsi"/>
        </w:rPr>
      </w:pPr>
    </w:p>
    <w:p w14:paraId="503735EB" w14:textId="711C671D" w:rsidR="00F6183D" w:rsidRDefault="00F6183D" w:rsidP="006D2B07">
      <w:pPr>
        <w:rPr>
          <w:rFonts w:cstheme="minorHAnsi"/>
        </w:rPr>
      </w:pPr>
    </w:p>
    <w:p w14:paraId="69ACAF34" w14:textId="20CA5ED8" w:rsidR="00F6183D" w:rsidRDefault="00F6183D" w:rsidP="006D2B07">
      <w:pPr>
        <w:rPr>
          <w:rFonts w:cstheme="minorHAnsi"/>
        </w:rPr>
      </w:pPr>
    </w:p>
    <w:p w14:paraId="0EA54F1A" w14:textId="76D8489F" w:rsidR="00F6183D" w:rsidRDefault="00F6183D" w:rsidP="006D2B07">
      <w:pPr>
        <w:rPr>
          <w:rFonts w:cstheme="minorHAnsi"/>
        </w:rPr>
      </w:pPr>
    </w:p>
    <w:p w14:paraId="6266F418" w14:textId="22AF3222" w:rsidR="00F6183D" w:rsidRDefault="00F6183D" w:rsidP="006D2B07">
      <w:pPr>
        <w:rPr>
          <w:rFonts w:cstheme="minorHAnsi"/>
        </w:rPr>
      </w:pPr>
    </w:p>
    <w:p w14:paraId="36230E08" w14:textId="08A105F1" w:rsidR="00F6183D" w:rsidRDefault="00F6183D" w:rsidP="006D2B07">
      <w:pPr>
        <w:rPr>
          <w:rFonts w:cstheme="minorHAnsi"/>
        </w:rPr>
      </w:pPr>
      <w:r>
        <w:rPr>
          <w:rFonts w:cstheme="minorHAnsi"/>
        </w:rPr>
        <w:t>Bibliography:</w:t>
      </w:r>
    </w:p>
    <w:p w14:paraId="0D0F66AD" w14:textId="12D10C59" w:rsidR="006B6CBF" w:rsidRDefault="00187211" w:rsidP="00187211">
      <w:pPr>
        <w:rPr>
          <w:rFonts w:cstheme="minorHAnsi"/>
        </w:rPr>
      </w:pPr>
      <w:r>
        <w:rPr>
          <w:rFonts w:cstheme="minorHAnsi"/>
        </w:rPr>
        <w:t>Constantine, Mary-Ann and Éva</w:t>
      </w:r>
      <w:r w:rsidR="00032CEC">
        <w:rPr>
          <w:rFonts w:cstheme="minorHAnsi"/>
        </w:rPr>
        <w:t xml:space="preserve"> Guillorel</w:t>
      </w:r>
      <w:r>
        <w:rPr>
          <w:rFonts w:cstheme="minorHAnsi"/>
        </w:rPr>
        <w:t xml:space="preserve">, </w:t>
      </w:r>
      <w:r>
        <w:rPr>
          <w:rFonts w:cstheme="minorHAnsi"/>
          <w:i/>
          <w:iCs/>
        </w:rPr>
        <w:t xml:space="preserve">Miracles and Murders – An introductory Anthology of </w:t>
      </w:r>
      <w:r>
        <w:rPr>
          <w:rFonts w:cstheme="minorHAnsi"/>
          <w:i/>
          <w:iCs/>
        </w:rPr>
        <w:tab/>
        <w:t>Breton Ballads</w:t>
      </w:r>
      <w:r>
        <w:rPr>
          <w:rFonts w:cstheme="minorHAnsi"/>
        </w:rPr>
        <w:t>, (Oxford: Oxford University Press, 2017)</w:t>
      </w:r>
    </w:p>
    <w:p w14:paraId="2C4139F1" w14:textId="63E5BDA6" w:rsidR="00187211" w:rsidRDefault="00187211" w:rsidP="00187211">
      <w:pPr>
        <w:rPr>
          <w:rFonts w:cstheme="minorHAnsi"/>
        </w:rPr>
      </w:pPr>
      <w:r>
        <w:rPr>
          <w:rFonts w:cstheme="minorHAnsi"/>
        </w:rPr>
        <w:t>Gibson, Jacqueline and</w:t>
      </w:r>
      <w:r w:rsidR="00032CEC">
        <w:rPr>
          <w:rFonts w:cstheme="minorHAnsi"/>
        </w:rPr>
        <w:t xml:space="preserve"> Gwyn Griffiths, </w:t>
      </w:r>
      <w:r w:rsidR="00032CEC">
        <w:rPr>
          <w:rFonts w:cstheme="minorHAnsi"/>
          <w:i/>
          <w:iCs/>
        </w:rPr>
        <w:t>The Turn of the Ermine</w:t>
      </w:r>
      <w:r w:rsidR="006C5A25">
        <w:rPr>
          <w:rFonts w:cstheme="minorHAnsi"/>
          <w:i/>
          <w:iCs/>
        </w:rPr>
        <w:t>,</w:t>
      </w:r>
      <w:r w:rsidR="00032CEC">
        <w:rPr>
          <w:rFonts w:cstheme="minorHAnsi"/>
          <w:i/>
          <w:iCs/>
        </w:rPr>
        <w:t xml:space="preserve"> An Anthology of Breton Literature</w:t>
      </w:r>
      <w:r w:rsidR="00032CEC">
        <w:rPr>
          <w:rFonts w:cstheme="minorHAnsi"/>
        </w:rPr>
        <w:t xml:space="preserve">, </w:t>
      </w:r>
      <w:r w:rsidR="00032CEC">
        <w:rPr>
          <w:rFonts w:cstheme="minorHAnsi"/>
        </w:rPr>
        <w:tab/>
        <w:t>(London: Francis Boutle Publishers, 2006)</w:t>
      </w:r>
      <w:r w:rsidR="00B10628">
        <w:rPr>
          <w:rFonts w:cstheme="minorHAnsi"/>
        </w:rPr>
        <w:t xml:space="preserve"> </w:t>
      </w:r>
    </w:p>
    <w:p w14:paraId="1B06CB57" w14:textId="73943B0E" w:rsidR="00032CEC" w:rsidRDefault="00032CEC" w:rsidP="00187211">
      <w:pPr>
        <w:rPr>
          <w:rFonts w:cstheme="minorHAnsi"/>
        </w:rPr>
      </w:pPr>
      <w:r>
        <w:rPr>
          <w:rFonts w:cstheme="minorHAnsi"/>
        </w:rPr>
        <w:t xml:space="preserve">Le Braz, Anatole and Mrs. A. E Whitehead, </w:t>
      </w:r>
      <w:r>
        <w:rPr>
          <w:rFonts w:cstheme="minorHAnsi"/>
          <w:i/>
          <w:iCs/>
        </w:rPr>
        <w:t xml:space="preserve">Dealings </w:t>
      </w:r>
      <w:r w:rsidR="000055ED">
        <w:rPr>
          <w:rFonts w:cstheme="minorHAnsi"/>
          <w:i/>
          <w:iCs/>
        </w:rPr>
        <w:t>with</w:t>
      </w:r>
      <w:r>
        <w:rPr>
          <w:rFonts w:cstheme="minorHAnsi"/>
          <w:i/>
          <w:iCs/>
        </w:rPr>
        <w:t xml:space="preserve"> The Dead Narratives From </w:t>
      </w:r>
      <w:r w:rsidR="006C5A25">
        <w:rPr>
          <w:rFonts w:cstheme="minorHAnsi"/>
          <w:i/>
          <w:iCs/>
        </w:rPr>
        <w:t>“</w:t>
      </w:r>
      <w:r>
        <w:rPr>
          <w:rFonts w:cstheme="minorHAnsi"/>
          <w:i/>
          <w:iCs/>
        </w:rPr>
        <w:t xml:space="preserve">La Légende De </w:t>
      </w:r>
      <w:r w:rsidR="00A0100A">
        <w:rPr>
          <w:rFonts w:cstheme="minorHAnsi"/>
          <w:i/>
          <w:iCs/>
        </w:rPr>
        <w:tab/>
      </w:r>
      <w:r>
        <w:rPr>
          <w:rFonts w:cstheme="minorHAnsi"/>
          <w:i/>
          <w:iCs/>
        </w:rPr>
        <w:t>La Morte En Basse Bretagne</w:t>
      </w:r>
      <w:r w:rsidR="006C5A25">
        <w:rPr>
          <w:rFonts w:cstheme="minorHAnsi"/>
          <w:i/>
          <w:iCs/>
        </w:rPr>
        <w:t xml:space="preserve">” </w:t>
      </w:r>
      <w:r w:rsidR="00A0100A">
        <w:rPr>
          <w:rFonts w:cstheme="minorHAnsi"/>
        </w:rPr>
        <w:t xml:space="preserve"> (London: George Redway, 1898)</w:t>
      </w:r>
    </w:p>
    <w:p w14:paraId="7C53C9D9" w14:textId="483FACF4" w:rsidR="002151A5" w:rsidRDefault="002151A5" w:rsidP="00187211">
      <w:r>
        <w:rPr>
          <w:rFonts w:cstheme="minorHAnsi"/>
        </w:rPr>
        <w:t xml:space="preserve">Minard, Dr. Antone, </w:t>
      </w:r>
      <w:r>
        <w:t xml:space="preserve">‘Anaon’, in </w:t>
      </w:r>
      <w:r>
        <w:rPr>
          <w:i/>
          <w:iCs/>
        </w:rPr>
        <w:t>Celtic Culture - A Historical Encyclopedia</w:t>
      </w:r>
      <w:r>
        <w:t xml:space="preserve">, ed. by John T. Koch, (Santa </w:t>
      </w:r>
      <w:r w:rsidR="006B6CBF">
        <w:tab/>
      </w:r>
      <w:r>
        <w:t>Barbara: ABC-CLIO 2005)</w:t>
      </w:r>
      <w:r w:rsidR="006B6CBF">
        <w:t>, p. 51</w:t>
      </w:r>
    </w:p>
    <w:p w14:paraId="4DDAF2EB" w14:textId="5F050A2E" w:rsidR="006B6CBF" w:rsidRDefault="006B6CBF" w:rsidP="00187211">
      <w:r>
        <w:t xml:space="preserve">Unknown Author, </w:t>
      </w:r>
      <w:r>
        <w:rPr>
          <w:i/>
          <w:iCs/>
        </w:rPr>
        <w:t xml:space="preserve">Death Lore </w:t>
      </w:r>
      <w:r w:rsidR="000055ED">
        <w:rPr>
          <w:i/>
          <w:iCs/>
        </w:rPr>
        <w:t>of</w:t>
      </w:r>
      <w:r>
        <w:rPr>
          <w:i/>
          <w:iCs/>
        </w:rPr>
        <w:t xml:space="preserve"> Brittany</w:t>
      </w:r>
      <w:r>
        <w:t xml:space="preserve"> (2021) </w:t>
      </w:r>
      <w:hyperlink r:id="rId7" w:history="1">
        <w:r w:rsidRPr="001E0A4B">
          <w:rPr>
            <w:rStyle w:val="Hyperlink"/>
          </w:rPr>
          <w:t>https://www.bonjourfrombrittany.wordpress.com</w:t>
        </w:r>
      </w:hyperlink>
      <w:r>
        <w:t xml:space="preserve"> </w:t>
      </w:r>
      <w:r>
        <w:tab/>
        <w:t>[accessed 01 November 2021]</w:t>
      </w:r>
    </w:p>
    <w:p w14:paraId="64510133" w14:textId="2F5446D2" w:rsidR="006B6CBF" w:rsidRPr="006C5A25" w:rsidRDefault="006B6CBF" w:rsidP="00187211">
      <w:r>
        <w:t>Villiers De L’Isle-Adam, Auguste</w:t>
      </w:r>
      <w:r w:rsidR="006C5A25">
        <w:t xml:space="preserve"> De, ‘The Sign’ in </w:t>
      </w:r>
      <w:r w:rsidR="006C5A25">
        <w:rPr>
          <w:i/>
          <w:iCs/>
        </w:rPr>
        <w:t>Cruel Tales</w:t>
      </w:r>
      <w:r w:rsidR="006C5A25">
        <w:t xml:space="preserve">, trans. By Robert Boldick, (Oxford: </w:t>
      </w:r>
      <w:r w:rsidR="006C5A25">
        <w:tab/>
        <w:t>Oxford University Press, 1963), pp. 182 - 200</w:t>
      </w:r>
    </w:p>
    <w:p w14:paraId="3B5E5571" w14:textId="77777777" w:rsidR="006B6CBF" w:rsidRPr="006B6CBF" w:rsidRDefault="006B6CBF" w:rsidP="00187211">
      <w:pPr>
        <w:rPr>
          <w:rFonts w:cstheme="minorHAnsi"/>
        </w:rPr>
      </w:pPr>
    </w:p>
    <w:p w14:paraId="0572C6C0" w14:textId="383F4338" w:rsidR="00982073" w:rsidRPr="00051D9A" w:rsidRDefault="00982073" w:rsidP="006D2B07">
      <w:r>
        <w:rPr>
          <w:rFonts w:cstheme="minorHAnsi"/>
        </w:rPr>
        <w:tab/>
      </w:r>
    </w:p>
    <w:p w14:paraId="2BF0FF92" w14:textId="57895197" w:rsidR="001815C2" w:rsidRDefault="001815C2" w:rsidP="00C23411">
      <w:r>
        <w:tab/>
      </w:r>
    </w:p>
    <w:p w14:paraId="5C66A185" w14:textId="77777777" w:rsidR="00C23411" w:rsidRDefault="00C23411" w:rsidP="00C23411"/>
    <w:p w14:paraId="75C2D081" w14:textId="517E3A2F" w:rsidR="008035A3" w:rsidRDefault="008035A3" w:rsidP="00C23411"/>
    <w:p w14:paraId="0EBC1012" w14:textId="77777777" w:rsidR="00D437F5" w:rsidRDefault="00D437F5" w:rsidP="00D437F5">
      <w:pPr>
        <w:ind w:firstLine="720"/>
      </w:pPr>
    </w:p>
    <w:p w14:paraId="7CC62E40" w14:textId="2B428275" w:rsidR="00D437F5" w:rsidRDefault="00D437F5" w:rsidP="00D437F5"/>
    <w:p w14:paraId="7B7D508F" w14:textId="77777777" w:rsidR="00FE5224" w:rsidRDefault="00FE5224" w:rsidP="00FE5224">
      <w:pPr>
        <w:ind w:firstLine="720"/>
      </w:pPr>
    </w:p>
    <w:p w14:paraId="0A35EF15" w14:textId="1AC41362" w:rsidR="00CB72A4" w:rsidRPr="00CB72A4" w:rsidRDefault="00CB72A4" w:rsidP="00FE5224">
      <w:pPr>
        <w:ind w:firstLine="720"/>
      </w:pPr>
    </w:p>
    <w:p w14:paraId="4E944B38" w14:textId="77777777" w:rsidR="002177C2" w:rsidRDefault="002177C2" w:rsidP="00D731CA">
      <w:pPr>
        <w:ind w:firstLine="720"/>
      </w:pPr>
    </w:p>
    <w:p w14:paraId="13E935ED" w14:textId="77777777" w:rsidR="008A6551" w:rsidRPr="00D731CA" w:rsidRDefault="008A6551" w:rsidP="00D731CA">
      <w:pPr>
        <w:ind w:firstLine="720"/>
      </w:pPr>
    </w:p>
    <w:sectPr w:rsidR="008A6551" w:rsidRPr="00D731CA">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779B8D" w14:textId="77777777" w:rsidR="00782401" w:rsidRDefault="00782401" w:rsidP="008405B0">
      <w:pPr>
        <w:spacing w:after="0" w:line="240" w:lineRule="auto"/>
      </w:pPr>
      <w:r>
        <w:separator/>
      </w:r>
    </w:p>
  </w:endnote>
  <w:endnote w:type="continuationSeparator" w:id="0">
    <w:p w14:paraId="00298330" w14:textId="77777777" w:rsidR="00782401" w:rsidRDefault="00782401" w:rsidP="008405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72741010"/>
      <w:docPartObj>
        <w:docPartGallery w:val="Page Numbers (Bottom of Page)"/>
        <w:docPartUnique/>
      </w:docPartObj>
    </w:sdtPr>
    <w:sdtEndPr>
      <w:rPr>
        <w:noProof/>
      </w:rPr>
    </w:sdtEndPr>
    <w:sdtContent>
      <w:p w14:paraId="723D6ECC" w14:textId="0ED0E4FC" w:rsidR="00B24F6F" w:rsidRDefault="00B24F6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DE3FA2" w14:textId="77777777" w:rsidR="00B24F6F" w:rsidRDefault="00B24F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D8662B" w14:textId="77777777" w:rsidR="00782401" w:rsidRDefault="00782401" w:rsidP="008405B0">
      <w:pPr>
        <w:spacing w:after="0" w:line="240" w:lineRule="auto"/>
      </w:pPr>
      <w:r>
        <w:separator/>
      </w:r>
    </w:p>
  </w:footnote>
  <w:footnote w:type="continuationSeparator" w:id="0">
    <w:p w14:paraId="0F47A0B9" w14:textId="77777777" w:rsidR="00782401" w:rsidRDefault="00782401" w:rsidP="008405B0">
      <w:pPr>
        <w:spacing w:after="0" w:line="240" w:lineRule="auto"/>
      </w:pPr>
      <w:r>
        <w:continuationSeparator/>
      </w:r>
    </w:p>
  </w:footnote>
  <w:footnote w:id="1">
    <w:p w14:paraId="42FC9824" w14:textId="2BCCD0E2" w:rsidR="00E133F1" w:rsidRDefault="00E133F1">
      <w:pPr>
        <w:pStyle w:val="FootnoteText"/>
      </w:pPr>
      <w:r>
        <w:rPr>
          <w:rStyle w:val="FootnoteReference"/>
        </w:rPr>
        <w:footnoteRef/>
      </w:r>
      <w:r>
        <w:t xml:space="preserve"> Anatole Le Braz and Mrs. A. E. Whitehead, </w:t>
      </w:r>
      <w:r w:rsidRPr="00A0100A">
        <w:rPr>
          <w:i/>
          <w:iCs/>
        </w:rPr>
        <w:t xml:space="preserve">Dealings </w:t>
      </w:r>
      <w:r w:rsidR="000055ED" w:rsidRPr="00A0100A">
        <w:rPr>
          <w:i/>
          <w:iCs/>
        </w:rPr>
        <w:t>with</w:t>
      </w:r>
      <w:r w:rsidRPr="00A0100A">
        <w:rPr>
          <w:i/>
          <w:iCs/>
        </w:rPr>
        <w:t xml:space="preserve"> The Dead, Narratives </w:t>
      </w:r>
      <w:r w:rsidR="00A0100A">
        <w:rPr>
          <w:i/>
          <w:iCs/>
        </w:rPr>
        <w:t>F</w:t>
      </w:r>
      <w:r w:rsidRPr="00A0100A">
        <w:rPr>
          <w:i/>
          <w:iCs/>
        </w:rPr>
        <w:t xml:space="preserve">rom </w:t>
      </w:r>
      <w:r w:rsidR="00A0100A" w:rsidRPr="00A0100A">
        <w:rPr>
          <w:i/>
          <w:iCs/>
        </w:rPr>
        <w:t>“</w:t>
      </w:r>
      <w:r w:rsidRPr="00A0100A">
        <w:rPr>
          <w:i/>
          <w:iCs/>
        </w:rPr>
        <w:t>La L</w:t>
      </w:r>
      <w:r w:rsidR="00A0100A">
        <w:rPr>
          <w:rFonts w:cstheme="minorHAnsi"/>
          <w:i/>
          <w:iCs/>
        </w:rPr>
        <w:t>é</w:t>
      </w:r>
      <w:r w:rsidRPr="00A0100A">
        <w:rPr>
          <w:i/>
          <w:iCs/>
        </w:rPr>
        <w:t>gende De La Mort En Basse Bretagne</w:t>
      </w:r>
      <w:r w:rsidR="00A0100A" w:rsidRPr="00A0100A">
        <w:rPr>
          <w:i/>
          <w:iCs/>
        </w:rPr>
        <w:t>”</w:t>
      </w:r>
      <w:r>
        <w:t>, (London: George Redway, 1898), p. 35.</w:t>
      </w:r>
    </w:p>
  </w:footnote>
  <w:footnote w:id="2">
    <w:p w14:paraId="0A4B8616" w14:textId="549FDE6D" w:rsidR="00FA15EB" w:rsidRDefault="00FA15EB">
      <w:pPr>
        <w:pStyle w:val="FootnoteText"/>
      </w:pPr>
      <w:r>
        <w:rPr>
          <w:rStyle w:val="FootnoteReference"/>
        </w:rPr>
        <w:footnoteRef/>
      </w:r>
      <w:r>
        <w:t xml:space="preserve"> Le Braz and Whitehead, p. 24.</w:t>
      </w:r>
    </w:p>
  </w:footnote>
  <w:footnote w:id="3">
    <w:p w14:paraId="4F197D88" w14:textId="5DD1A3F9" w:rsidR="008405B0" w:rsidRPr="008405B0" w:rsidRDefault="008405B0">
      <w:pPr>
        <w:pStyle w:val="FootnoteText"/>
      </w:pPr>
      <w:bookmarkStart w:id="0" w:name="_Hlk89976393"/>
      <w:r>
        <w:rPr>
          <w:rStyle w:val="FootnoteReference"/>
        </w:rPr>
        <w:footnoteRef/>
      </w:r>
      <w:r>
        <w:t xml:space="preserve"> Dr. Antone Minard, ‘Anaon’, in </w:t>
      </w:r>
      <w:r>
        <w:rPr>
          <w:i/>
          <w:iCs/>
        </w:rPr>
        <w:t>Celtic Culture - A Historical Encyclopedia</w:t>
      </w:r>
      <w:r>
        <w:t>, ed. by John T. Koch</w:t>
      </w:r>
      <w:r w:rsidR="00DD6C08">
        <w:t>, (Santa Barbara: ABC-CLIO 2005)</w:t>
      </w:r>
      <w:bookmarkEnd w:id="0"/>
      <w:r w:rsidR="00DD6C08">
        <w:t>, p. 51.</w:t>
      </w:r>
    </w:p>
  </w:footnote>
  <w:footnote w:id="4">
    <w:p w14:paraId="3B591FBD" w14:textId="25F514BB" w:rsidR="00B244A5" w:rsidRDefault="00B244A5">
      <w:pPr>
        <w:pStyle w:val="FootnoteText"/>
      </w:pPr>
      <w:r>
        <w:rPr>
          <w:rStyle w:val="FootnoteReference"/>
        </w:rPr>
        <w:footnoteRef/>
      </w:r>
      <w:r>
        <w:t xml:space="preserve"> Mary-Ann Constantine and </w:t>
      </w:r>
      <w:r>
        <w:rPr>
          <w:rFonts w:cstheme="minorHAnsi"/>
        </w:rPr>
        <w:t>É</w:t>
      </w:r>
      <w:r>
        <w:t>va Guillorel</w:t>
      </w:r>
      <w:r w:rsidR="00210D04">
        <w:t>, ‘Miracles and Murders, An Introductory Anthology of Breton Ballads’, (Oxford: Oxford University Press, 2017), p. 52.</w:t>
      </w:r>
    </w:p>
  </w:footnote>
  <w:footnote w:id="5">
    <w:p w14:paraId="6C322E2F" w14:textId="69ADF749" w:rsidR="003E4822" w:rsidRDefault="003E4822">
      <w:pPr>
        <w:pStyle w:val="FootnoteText"/>
      </w:pPr>
      <w:r>
        <w:rPr>
          <w:rStyle w:val="FootnoteReference"/>
        </w:rPr>
        <w:footnoteRef/>
      </w:r>
      <w:r>
        <w:t xml:space="preserve"> Constantine and Guillorel, ‘Miracles and Murders’, p. 49.</w:t>
      </w:r>
    </w:p>
  </w:footnote>
  <w:footnote w:id="6">
    <w:p w14:paraId="667417BB" w14:textId="3ECF8329" w:rsidR="00FE5224" w:rsidRPr="0096263E" w:rsidRDefault="00FE5224">
      <w:pPr>
        <w:pStyle w:val="FootnoteText"/>
      </w:pPr>
      <w:r>
        <w:rPr>
          <w:rStyle w:val="FootnoteReference"/>
        </w:rPr>
        <w:footnoteRef/>
      </w:r>
      <w:r>
        <w:t xml:space="preserve"> </w:t>
      </w:r>
      <w:r w:rsidR="006C5A25">
        <w:t xml:space="preserve">Auguste de </w:t>
      </w:r>
      <w:r w:rsidR="0096263E">
        <w:t xml:space="preserve">Villiers de L’Isle-Adam, ‘The Sign’ in </w:t>
      </w:r>
      <w:r w:rsidR="0096263E">
        <w:rPr>
          <w:i/>
          <w:iCs/>
        </w:rPr>
        <w:t>Cruel Tales</w:t>
      </w:r>
      <w:r w:rsidR="0096263E">
        <w:t xml:space="preserve">, </w:t>
      </w:r>
      <w:r w:rsidR="00191C6F">
        <w:t xml:space="preserve">trans. Robert Boldick, </w:t>
      </w:r>
      <w:r w:rsidR="0096263E">
        <w:t>(</w:t>
      </w:r>
      <w:r w:rsidR="00191C6F">
        <w:t>Oxford: Oxford University Press, 1963, 1985</w:t>
      </w:r>
      <w:r w:rsidR="0096263E">
        <w:t>), p. 182.</w:t>
      </w:r>
    </w:p>
  </w:footnote>
  <w:footnote w:id="7">
    <w:p w14:paraId="732297A1" w14:textId="0138B399" w:rsidR="00D437F5" w:rsidRDefault="00D437F5">
      <w:pPr>
        <w:pStyle w:val="FootnoteText"/>
      </w:pPr>
      <w:r>
        <w:rPr>
          <w:rStyle w:val="FootnoteReference"/>
        </w:rPr>
        <w:footnoteRef/>
      </w:r>
      <w:r>
        <w:t xml:space="preserve"> Villiers, p. 185.</w:t>
      </w:r>
    </w:p>
  </w:footnote>
  <w:footnote w:id="8">
    <w:p w14:paraId="25022060" w14:textId="4D061D7E" w:rsidR="00C23411" w:rsidRDefault="00C23411">
      <w:pPr>
        <w:pStyle w:val="FootnoteText"/>
      </w:pPr>
      <w:r>
        <w:rPr>
          <w:rStyle w:val="FootnoteReference"/>
        </w:rPr>
        <w:footnoteRef/>
      </w:r>
      <w:r>
        <w:t xml:space="preserve"> Villiers, p. 186.</w:t>
      </w:r>
    </w:p>
  </w:footnote>
  <w:footnote w:id="9">
    <w:p w14:paraId="468AA5F5" w14:textId="608FBD10" w:rsidR="003E15B6" w:rsidRDefault="003E15B6">
      <w:pPr>
        <w:pStyle w:val="FootnoteText"/>
      </w:pPr>
      <w:r>
        <w:rPr>
          <w:rStyle w:val="FootnoteReference"/>
        </w:rPr>
        <w:footnoteRef/>
      </w:r>
      <w:r>
        <w:t xml:space="preserve"> </w:t>
      </w:r>
      <w:r w:rsidR="00F5339C">
        <w:t>Villiers, p. 187.</w:t>
      </w:r>
    </w:p>
  </w:footnote>
  <w:footnote w:id="10">
    <w:p w14:paraId="2C3E1C07" w14:textId="6195203F" w:rsidR="008143A5" w:rsidRDefault="008143A5">
      <w:pPr>
        <w:pStyle w:val="FootnoteText"/>
      </w:pPr>
      <w:r>
        <w:rPr>
          <w:rStyle w:val="FootnoteReference"/>
        </w:rPr>
        <w:footnoteRef/>
      </w:r>
      <w:r>
        <w:t xml:space="preserve"> Villiers, p. 191.</w:t>
      </w:r>
    </w:p>
  </w:footnote>
  <w:footnote w:id="11">
    <w:p w14:paraId="62133892" w14:textId="05570EFE" w:rsidR="00165332" w:rsidRDefault="00165332">
      <w:pPr>
        <w:pStyle w:val="FootnoteText"/>
      </w:pPr>
      <w:r>
        <w:rPr>
          <w:rStyle w:val="FootnoteReference"/>
        </w:rPr>
        <w:footnoteRef/>
      </w:r>
      <w:r>
        <w:t xml:space="preserve"> Villiers, p. 190.</w:t>
      </w:r>
    </w:p>
  </w:footnote>
  <w:footnote w:id="12">
    <w:p w14:paraId="1704B4A7" w14:textId="21D2CF97" w:rsidR="007501F3" w:rsidRDefault="007501F3">
      <w:pPr>
        <w:pStyle w:val="FootnoteText"/>
      </w:pPr>
      <w:r>
        <w:rPr>
          <w:rStyle w:val="FootnoteReference"/>
        </w:rPr>
        <w:footnoteRef/>
      </w:r>
      <w:r>
        <w:t xml:space="preserve"> Jaqueline Gibson and Gwyn Griffiths, ‘The Turn of the Ermine, An Anthology of Breton Literature’, (London: Francis Boutle Publishers, 2006), p. 300.</w:t>
      </w:r>
    </w:p>
  </w:footnote>
  <w:footnote w:id="13">
    <w:p w14:paraId="2835CF61" w14:textId="3A0AC13F" w:rsidR="00360193" w:rsidRDefault="00360193">
      <w:pPr>
        <w:pStyle w:val="FootnoteText"/>
      </w:pPr>
      <w:r>
        <w:rPr>
          <w:rStyle w:val="FootnoteReference"/>
        </w:rPr>
        <w:footnoteRef/>
      </w:r>
      <w:r>
        <w:t xml:space="preserve"> Ibid.</w:t>
      </w:r>
    </w:p>
  </w:footnote>
  <w:footnote w:id="14">
    <w:p w14:paraId="49E594C8" w14:textId="29DF5DFC" w:rsidR="002A44AD" w:rsidRPr="00051D9A" w:rsidRDefault="002A44AD">
      <w:pPr>
        <w:pStyle w:val="FootnoteText"/>
        <w:rPr>
          <w:i/>
          <w:iCs/>
        </w:rPr>
      </w:pPr>
      <w:r>
        <w:rPr>
          <w:rStyle w:val="FootnoteReference"/>
        </w:rPr>
        <w:footnoteRef/>
      </w:r>
      <w:r>
        <w:t xml:space="preserve"> Ibid.</w:t>
      </w:r>
    </w:p>
  </w:footnote>
  <w:footnote w:id="15">
    <w:p w14:paraId="4021915A" w14:textId="7BF74D72" w:rsidR="00F81B08" w:rsidRDefault="00F81B08">
      <w:pPr>
        <w:pStyle w:val="FootnoteText"/>
      </w:pPr>
      <w:r>
        <w:rPr>
          <w:rStyle w:val="FootnoteReference"/>
        </w:rPr>
        <w:footnoteRef/>
      </w:r>
      <w:r>
        <w:t xml:space="preserve"> Le Braz and Whitehead, p. 11.</w:t>
      </w:r>
    </w:p>
  </w:footnote>
  <w:footnote w:id="16">
    <w:p w14:paraId="74339F44" w14:textId="10D27B9D" w:rsidR="00DB55B0" w:rsidRDefault="00DB55B0">
      <w:pPr>
        <w:pStyle w:val="FootnoteText"/>
      </w:pPr>
      <w:r>
        <w:rPr>
          <w:rStyle w:val="FootnoteReference"/>
        </w:rPr>
        <w:footnoteRef/>
      </w:r>
      <w:r>
        <w:t xml:space="preserve"> Le Braz and Whitehead, p.13.</w:t>
      </w:r>
    </w:p>
  </w:footnote>
  <w:footnote w:id="17">
    <w:p w14:paraId="5261C3E0" w14:textId="46251A90" w:rsidR="0034568D" w:rsidRDefault="0034568D">
      <w:pPr>
        <w:pStyle w:val="FootnoteText"/>
      </w:pPr>
      <w:r>
        <w:rPr>
          <w:rStyle w:val="FootnoteReference"/>
        </w:rPr>
        <w:footnoteRef/>
      </w:r>
      <w:r>
        <w:t xml:space="preserve"> Gibson and Griffiths, ‘The Turn of the Ermine’, pp. 301 – 302.</w:t>
      </w:r>
    </w:p>
  </w:footnote>
  <w:footnote w:id="18">
    <w:p w14:paraId="01A5C192" w14:textId="5849A030" w:rsidR="0071257A" w:rsidRDefault="0071257A">
      <w:pPr>
        <w:pStyle w:val="FootnoteText"/>
      </w:pPr>
      <w:r>
        <w:rPr>
          <w:rStyle w:val="FootnoteReference"/>
        </w:rPr>
        <w:footnoteRef/>
      </w:r>
      <w:r>
        <w:t xml:space="preserve"> Gibson and Griffiths, p. 302.</w:t>
      </w:r>
    </w:p>
  </w:footnote>
  <w:footnote w:id="19">
    <w:p w14:paraId="4582BB97" w14:textId="2F663F6B" w:rsidR="00C54B6F" w:rsidRDefault="00C54B6F">
      <w:pPr>
        <w:pStyle w:val="FootnoteText"/>
      </w:pPr>
      <w:r>
        <w:rPr>
          <w:rStyle w:val="FootnoteReference"/>
        </w:rPr>
        <w:footnoteRef/>
      </w:r>
      <w:r>
        <w:t xml:space="preserve"> Ibid.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3E9B1F" w14:textId="31B26BBC" w:rsidR="000F247C" w:rsidRDefault="000F247C">
    <w:pPr>
      <w:pStyle w:val="Header"/>
    </w:pPr>
  </w:p>
  <w:p w14:paraId="24DBE4B0" w14:textId="22E1022A" w:rsidR="000F247C" w:rsidRDefault="000F247C">
    <w:pPr>
      <w:pStyle w:val="Header"/>
    </w:pPr>
  </w:p>
  <w:p w14:paraId="07266910" w14:textId="77777777" w:rsidR="000F247C" w:rsidRDefault="000F247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5D56"/>
    <w:rsid w:val="00003BEA"/>
    <w:rsid w:val="000055ED"/>
    <w:rsid w:val="00013961"/>
    <w:rsid w:val="00021DCA"/>
    <w:rsid w:val="00026816"/>
    <w:rsid w:val="00032CEC"/>
    <w:rsid w:val="00037384"/>
    <w:rsid w:val="00043341"/>
    <w:rsid w:val="000464B4"/>
    <w:rsid w:val="00051D9A"/>
    <w:rsid w:val="00081102"/>
    <w:rsid w:val="00091B4F"/>
    <w:rsid w:val="000929CD"/>
    <w:rsid w:val="000B25F6"/>
    <w:rsid w:val="000B40EF"/>
    <w:rsid w:val="000D5AD4"/>
    <w:rsid w:val="000E6183"/>
    <w:rsid w:val="000F247C"/>
    <w:rsid w:val="001001E1"/>
    <w:rsid w:val="00112454"/>
    <w:rsid w:val="00153D25"/>
    <w:rsid w:val="00161EEF"/>
    <w:rsid w:val="00165332"/>
    <w:rsid w:val="00171F36"/>
    <w:rsid w:val="001815C2"/>
    <w:rsid w:val="001824B0"/>
    <w:rsid w:val="00187211"/>
    <w:rsid w:val="00191C6F"/>
    <w:rsid w:val="0019240C"/>
    <w:rsid w:val="00192EE5"/>
    <w:rsid w:val="00195101"/>
    <w:rsid w:val="0020084C"/>
    <w:rsid w:val="00210D04"/>
    <w:rsid w:val="002151A5"/>
    <w:rsid w:val="002177C2"/>
    <w:rsid w:val="0022097B"/>
    <w:rsid w:val="00232388"/>
    <w:rsid w:val="00232C79"/>
    <w:rsid w:val="00262C13"/>
    <w:rsid w:val="00293A11"/>
    <w:rsid w:val="002A44AD"/>
    <w:rsid w:val="002B163C"/>
    <w:rsid w:val="002B2D88"/>
    <w:rsid w:val="002C7DC2"/>
    <w:rsid w:val="002D284C"/>
    <w:rsid w:val="002D435E"/>
    <w:rsid w:val="002D4671"/>
    <w:rsid w:val="002D5B5B"/>
    <w:rsid w:val="0030227A"/>
    <w:rsid w:val="00305DFD"/>
    <w:rsid w:val="0033683E"/>
    <w:rsid w:val="0034568D"/>
    <w:rsid w:val="00360193"/>
    <w:rsid w:val="003630EC"/>
    <w:rsid w:val="0037491B"/>
    <w:rsid w:val="00387C5B"/>
    <w:rsid w:val="00396E85"/>
    <w:rsid w:val="003A1F82"/>
    <w:rsid w:val="003A3179"/>
    <w:rsid w:val="003B351E"/>
    <w:rsid w:val="003D798C"/>
    <w:rsid w:val="003E15B6"/>
    <w:rsid w:val="003E4822"/>
    <w:rsid w:val="003F00A8"/>
    <w:rsid w:val="003F0708"/>
    <w:rsid w:val="00410AEE"/>
    <w:rsid w:val="004A2086"/>
    <w:rsid w:val="004A42A8"/>
    <w:rsid w:val="004C3ED5"/>
    <w:rsid w:val="004D68CB"/>
    <w:rsid w:val="004F30AB"/>
    <w:rsid w:val="00503C58"/>
    <w:rsid w:val="00536D66"/>
    <w:rsid w:val="00540521"/>
    <w:rsid w:val="005D0EA8"/>
    <w:rsid w:val="005F096F"/>
    <w:rsid w:val="006261E9"/>
    <w:rsid w:val="006277DA"/>
    <w:rsid w:val="006621D8"/>
    <w:rsid w:val="006627C1"/>
    <w:rsid w:val="006674F7"/>
    <w:rsid w:val="00676509"/>
    <w:rsid w:val="0069128A"/>
    <w:rsid w:val="00697F2B"/>
    <w:rsid w:val="006A1AA7"/>
    <w:rsid w:val="006B6CBF"/>
    <w:rsid w:val="006C24BA"/>
    <w:rsid w:val="006C5A25"/>
    <w:rsid w:val="006D2B07"/>
    <w:rsid w:val="006E3AF3"/>
    <w:rsid w:val="006E4226"/>
    <w:rsid w:val="00705270"/>
    <w:rsid w:val="00705770"/>
    <w:rsid w:val="0071257A"/>
    <w:rsid w:val="007501F3"/>
    <w:rsid w:val="00770AC4"/>
    <w:rsid w:val="00771670"/>
    <w:rsid w:val="00776F20"/>
    <w:rsid w:val="00782401"/>
    <w:rsid w:val="007C2703"/>
    <w:rsid w:val="007D7A97"/>
    <w:rsid w:val="007E5013"/>
    <w:rsid w:val="007E64FC"/>
    <w:rsid w:val="007F7DC4"/>
    <w:rsid w:val="008035A3"/>
    <w:rsid w:val="00803C38"/>
    <w:rsid w:val="008143A5"/>
    <w:rsid w:val="008405B0"/>
    <w:rsid w:val="00847F6E"/>
    <w:rsid w:val="008818C8"/>
    <w:rsid w:val="008868B4"/>
    <w:rsid w:val="0089188D"/>
    <w:rsid w:val="00891FB1"/>
    <w:rsid w:val="00893E1A"/>
    <w:rsid w:val="008A6551"/>
    <w:rsid w:val="00914B63"/>
    <w:rsid w:val="00942106"/>
    <w:rsid w:val="0096263E"/>
    <w:rsid w:val="0097061C"/>
    <w:rsid w:val="00982073"/>
    <w:rsid w:val="00990B63"/>
    <w:rsid w:val="00993E49"/>
    <w:rsid w:val="009F0A33"/>
    <w:rsid w:val="009F5B42"/>
    <w:rsid w:val="00A0100A"/>
    <w:rsid w:val="00A07EF0"/>
    <w:rsid w:val="00A20797"/>
    <w:rsid w:val="00A22723"/>
    <w:rsid w:val="00A435E7"/>
    <w:rsid w:val="00A57071"/>
    <w:rsid w:val="00A644B1"/>
    <w:rsid w:val="00A74D3A"/>
    <w:rsid w:val="00A83A4C"/>
    <w:rsid w:val="00A927EF"/>
    <w:rsid w:val="00AA6A74"/>
    <w:rsid w:val="00AC330C"/>
    <w:rsid w:val="00B10628"/>
    <w:rsid w:val="00B244A5"/>
    <w:rsid w:val="00B24F6F"/>
    <w:rsid w:val="00B25D56"/>
    <w:rsid w:val="00B27FE4"/>
    <w:rsid w:val="00B9030B"/>
    <w:rsid w:val="00BA3211"/>
    <w:rsid w:val="00BA42F5"/>
    <w:rsid w:val="00BA45F1"/>
    <w:rsid w:val="00BB318D"/>
    <w:rsid w:val="00BD3FD3"/>
    <w:rsid w:val="00BD5D6D"/>
    <w:rsid w:val="00BE25A6"/>
    <w:rsid w:val="00C03789"/>
    <w:rsid w:val="00C12C1F"/>
    <w:rsid w:val="00C23411"/>
    <w:rsid w:val="00C258C6"/>
    <w:rsid w:val="00C459EC"/>
    <w:rsid w:val="00C5178D"/>
    <w:rsid w:val="00C54B6F"/>
    <w:rsid w:val="00C6442D"/>
    <w:rsid w:val="00C75F05"/>
    <w:rsid w:val="00C83153"/>
    <w:rsid w:val="00C851BA"/>
    <w:rsid w:val="00C9448D"/>
    <w:rsid w:val="00C97E4C"/>
    <w:rsid w:val="00CA17AF"/>
    <w:rsid w:val="00CB4525"/>
    <w:rsid w:val="00CB72A4"/>
    <w:rsid w:val="00CE4D3F"/>
    <w:rsid w:val="00CE6372"/>
    <w:rsid w:val="00CF257F"/>
    <w:rsid w:val="00CF309A"/>
    <w:rsid w:val="00D15973"/>
    <w:rsid w:val="00D437F5"/>
    <w:rsid w:val="00D53557"/>
    <w:rsid w:val="00D555D7"/>
    <w:rsid w:val="00D63B71"/>
    <w:rsid w:val="00D66C4A"/>
    <w:rsid w:val="00D731CA"/>
    <w:rsid w:val="00D822BA"/>
    <w:rsid w:val="00DB55B0"/>
    <w:rsid w:val="00DC184C"/>
    <w:rsid w:val="00DC69C5"/>
    <w:rsid w:val="00DD6C08"/>
    <w:rsid w:val="00DE46F9"/>
    <w:rsid w:val="00E01AE6"/>
    <w:rsid w:val="00E06323"/>
    <w:rsid w:val="00E133F1"/>
    <w:rsid w:val="00E673BC"/>
    <w:rsid w:val="00E735B9"/>
    <w:rsid w:val="00E77DED"/>
    <w:rsid w:val="00E926F1"/>
    <w:rsid w:val="00E932C8"/>
    <w:rsid w:val="00EB729B"/>
    <w:rsid w:val="00EC14F7"/>
    <w:rsid w:val="00EC4134"/>
    <w:rsid w:val="00F501EC"/>
    <w:rsid w:val="00F5339C"/>
    <w:rsid w:val="00F6183D"/>
    <w:rsid w:val="00F66631"/>
    <w:rsid w:val="00F81B08"/>
    <w:rsid w:val="00F87677"/>
    <w:rsid w:val="00FA15EB"/>
    <w:rsid w:val="00FE5224"/>
    <w:rsid w:val="00FF63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8ED89C"/>
  <w15:chartTrackingRefBased/>
  <w15:docId w15:val="{2B2F7564-9795-4062-BCD8-CE2CF254D5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8405B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405B0"/>
    <w:rPr>
      <w:sz w:val="20"/>
      <w:szCs w:val="20"/>
    </w:rPr>
  </w:style>
  <w:style w:type="character" w:styleId="FootnoteReference">
    <w:name w:val="footnote reference"/>
    <w:basedOn w:val="DefaultParagraphFont"/>
    <w:uiPriority w:val="99"/>
    <w:semiHidden/>
    <w:unhideWhenUsed/>
    <w:rsid w:val="008405B0"/>
    <w:rPr>
      <w:vertAlign w:val="superscript"/>
    </w:rPr>
  </w:style>
  <w:style w:type="paragraph" w:styleId="Header">
    <w:name w:val="header"/>
    <w:basedOn w:val="Normal"/>
    <w:link w:val="HeaderChar"/>
    <w:uiPriority w:val="99"/>
    <w:unhideWhenUsed/>
    <w:rsid w:val="00B24F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4F6F"/>
  </w:style>
  <w:style w:type="paragraph" w:styleId="Footer">
    <w:name w:val="footer"/>
    <w:basedOn w:val="Normal"/>
    <w:link w:val="FooterChar"/>
    <w:uiPriority w:val="99"/>
    <w:unhideWhenUsed/>
    <w:rsid w:val="00B24F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4F6F"/>
  </w:style>
  <w:style w:type="character" w:styleId="Hyperlink">
    <w:name w:val="Hyperlink"/>
    <w:basedOn w:val="DefaultParagraphFont"/>
    <w:uiPriority w:val="99"/>
    <w:unhideWhenUsed/>
    <w:rsid w:val="006B6CBF"/>
    <w:rPr>
      <w:color w:val="0563C1" w:themeColor="hyperlink"/>
      <w:u w:val="single"/>
    </w:rPr>
  </w:style>
  <w:style w:type="character" w:styleId="UnresolvedMention">
    <w:name w:val="Unresolved Mention"/>
    <w:basedOn w:val="DefaultParagraphFont"/>
    <w:uiPriority w:val="99"/>
    <w:semiHidden/>
    <w:unhideWhenUsed/>
    <w:rsid w:val="006B6CB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bonjourfrombrittany.wordpress.com"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C805F6-B8CF-4AAF-AC71-7EE9D70D83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7600</TotalTime>
  <Pages>6</Pages>
  <Words>2146</Words>
  <Characters>12234</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Jane Maclaren (2011977)</dc:creator>
  <cp:keywords/>
  <dc:description/>
  <cp:lastModifiedBy>Samantha Jane Maclaren (2011977)</cp:lastModifiedBy>
  <cp:revision>120</cp:revision>
  <dcterms:created xsi:type="dcterms:W3CDTF">2021-11-17T19:11:00Z</dcterms:created>
  <dcterms:modified xsi:type="dcterms:W3CDTF">2021-12-09T21:25:00Z</dcterms:modified>
</cp:coreProperties>
</file>