
<file path=[Content_Types].xml><?xml version="1.0" encoding="utf-8"?>
<Types xmlns="http://schemas.openxmlformats.org/package/2006/content-types">
  <Default Extension="jp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1DA4526" w14:textId="20B619AA" w:rsidR="009A02D2" w:rsidRDefault="00E15B5E">
      <w:pPr>
        <w:pBdr>
          <w:top w:val="nil"/>
          <w:left w:val="nil"/>
          <w:bottom w:val="nil"/>
          <w:right w:val="nil"/>
          <w:between w:val="nil"/>
        </w:pBdr>
        <w:spacing w:before="0" w:line="240" w:lineRule="auto"/>
        <w:rPr>
          <w:rFonts w:ascii="Economica" w:eastAsia="Economica" w:hAnsi="Economica" w:cs="Economica"/>
          <w:color w:val="666666"/>
          <w:sz w:val="28"/>
          <w:szCs w:val="28"/>
        </w:rPr>
      </w:pPr>
      <w:r>
        <w:rPr>
          <w:rFonts w:ascii="Economica" w:eastAsia="Economica" w:hAnsi="Economica" w:cs="Economica"/>
          <w:color w:val="666666"/>
          <w:sz w:val="28"/>
          <w:szCs w:val="28"/>
        </w:rPr>
        <w:t>Problem Solving and Innovation (BMSW4014)</w:t>
      </w:r>
    </w:p>
    <w:p w14:paraId="41DA4527" w14:textId="77777777" w:rsidR="009A02D2" w:rsidRDefault="00E15B5E">
      <w:pPr>
        <w:pStyle w:val="Title"/>
        <w:pBdr>
          <w:top w:val="nil"/>
          <w:left w:val="nil"/>
          <w:bottom w:val="nil"/>
          <w:right w:val="nil"/>
          <w:between w:val="nil"/>
        </w:pBdr>
        <w:rPr>
          <w:b/>
        </w:rPr>
      </w:pPr>
      <w:bookmarkStart w:id="0" w:name="_mbjsiz6n6jlo" w:colFirst="0" w:colLast="0"/>
      <w:bookmarkEnd w:id="0"/>
      <w:r>
        <w:rPr>
          <w:b/>
        </w:rPr>
        <w:t>Greenwashing in the Automobile Industry</w:t>
      </w:r>
    </w:p>
    <w:p w14:paraId="41DA4528" w14:textId="2B5CE0AF" w:rsidR="009A02D2" w:rsidRDefault="00E15B5E">
      <w:pPr>
        <w:pStyle w:val="Subtitle"/>
        <w:pBdr>
          <w:top w:val="nil"/>
          <w:left w:val="nil"/>
          <w:bottom w:val="nil"/>
          <w:right w:val="nil"/>
          <w:between w:val="nil"/>
        </w:pBdr>
        <w:rPr>
          <w:color w:val="000000"/>
          <w:sz w:val="60"/>
          <w:szCs w:val="60"/>
        </w:rPr>
      </w:pPr>
      <w:bookmarkStart w:id="1" w:name="_vb8p0lepu9vn" w:colFirst="0" w:colLast="0"/>
      <w:bookmarkEnd w:id="1"/>
      <w:r>
        <w:rPr>
          <w:color w:val="000000"/>
          <w:sz w:val="60"/>
          <w:szCs w:val="60"/>
        </w:rPr>
        <w:t xml:space="preserve">A Root Cause Analysis (RCA) </w:t>
      </w:r>
      <w:r w:rsidR="00C175D2">
        <w:rPr>
          <w:color w:val="000000"/>
          <w:sz w:val="60"/>
          <w:szCs w:val="60"/>
        </w:rPr>
        <w:t>–</w:t>
      </w:r>
      <w:r>
        <w:rPr>
          <w:color w:val="000000"/>
          <w:sz w:val="60"/>
          <w:szCs w:val="60"/>
        </w:rPr>
        <w:t xml:space="preserve"> Summary</w:t>
      </w:r>
    </w:p>
    <w:p w14:paraId="137F5505" w14:textId="4CA28E4C" w:rsidR="00C175D2" w:rsidRPr="00C175D2" w:rsidRDefault="00A46895" w:rsidP="00C175D2">
      <w:r>
        <w:t xml:space="preserve">Iosif Minisan </w:t>
      </w:r>
      <w:r w:rsidR="00535B02">
        <w:t>2435067</w:t>
      </w:r>
    </w:p>
    <w:p w14:paraId="41DA4529" w14:textId="77777777" w:rsidR="009A02D2" w:rsidRDefault="00E15B5E">
      <w:pPr>
        <w:pBdr>
          <w:top w:val="nil"/>
          <w:left w:val="nil"/>
          <w:bottom w:val="nil"/>
          <w:right w:val="nil"/>
          <w:between w:val="nil"/>
        </w:pBdr>
        <w:spacing w:before="60"/>
      </w:pPr>
      <w:r>
        <w:rPr>
          <w:noProof/>
          <w:sz w:val="24"/>
          <w:szCs w:val="24"/>
        </w:rPr>
        <w:drawing>
          <wp:inline distT="114300" distB="114300" distL="114300" distR="114300" wp14:anchorId="41DA454F" wp14:editId="41DA4550">
            <wp:extent cx="5943600" cy="38100"/>
            <wp:effectExtent l="0" t="0" r="0" b="0"/>
            <wp:docPr id="2" name="image1.png" descr="horizontal line"/>
            <wp:cNvGraphicFramePr/>
            <a:graphic xmlns:a="http://schemas.openxmlformats.org/drawingml/2006/main">
              <a:graphicData uri="http://schemas.openxmlformats.org/drawingml/2006/picture">
                <pic:pic xmlns:pic="http://schemas.openxmlformats.org/drawingml/2006/picture">
                  <pic:nvPicPr>
                    <pic:cNvPr id="0" name="image1.png" descr="horizontal line"/>
                    <pic:cNvPicPr preferRelativeResize="0"/>
                  </pic:nvPicPr>
                  <pic:blipFill>
                    <a:blip r:embed="rId6"/>
                    <a:srcRect/>
                    <a:stretch>
                      <a:fillRect/>
                    </a:stretch>
                  </pic:blipFill>
                  <pic:spPr>
                    <a:xfrm>
                      <a:off x="0" y="0"/>
                      <a:ext cx="5943600" cy="38100"/>
                    </a:xfrm>
                    <a:prstGeom prst="rect">
                      <a:avLst/>
                    </a:prstGeom>
                    <a:ln/>
                  </pic:spPr>
                </pic:pic>
              </a:graphicData>
            </a:graphic>
          </wp:inline>
        </w:drawing>
      </w:r>
    </w:p>
    <w:p w14:paraId="41DA452A" w14:textId="77777777" w:rsidR="009A02D2" w:rsidRDefault="00E15B5E">
      <w:pPr>
        <w:pStyle w:val="Heading1"/>
        <w:pBdr>
          <w:top w:val="nil"/>
          <w:left w:val="nil"/>
          <w:bottom w:val="nil"/>
          <w:right w:val="nil"/>
          <w:between w:val="nil"/>
        </w:pBdr>
        <w:spacing w:before="120"/>
        <w:rPr>
          <w:b w:val="0"/>
          <w:sz w:val="22"/>
          <w:szCs w:val="22"/>
        </w:rPr>
      </w:pPr>
      <w:bookmarkStart w:id="2" w:name="_vydniszftb1n" w:colFirst="0" w:colLast="0"/>
      <w:bookmarkEnd w:id="2"/>
      <w:r>
        <w:rPr>
          <w:b w:val="0"/>
          <w:noProof/>
          <w:sz w:val="22"/>
          <w:szCs w:val="22"/>
        </w:rPr>
        <w:drawing>
          <wp:inline distT="114300" distB="114300" distL="114300" distR="114300" wp14:anchorId="41DA4551" wp14:editId="41DA4552">
            <wp:extent cx="6719888" cy="4238625"/>
            <wp:effectExtent l="0" t="0" r="0" b="0"/>
            <wp:docPr id="5" name="image5.jpg" descr="Placeholder image"/>
            <wp:cNvGraphicFramePr/>
            <a:graphic xmlns:a="http://schemas.openxmlformats.org/drawingml/2006/main">
              <a:graphicData uri="http://schemas.openxmlformats.org/drawingml/2006/picture">
                <pic:pic xmlns:pic="http://schemas.openxmlformats.org/drawingml/2006/picture">
                  <pic:nvPicPr>
                    <pic:cNvPr id="0" name="image5.jpg" descr="Placeholder image"/>
                    <pic:cNvPicPr preferRelativeResize="0"/>
                  </pic:nvPicPr>
                  <pic:blipFill>
                    <a:blip r:embed="rId7"/>
                    <a:srcRect r="21300"/>
                    <a:stretch>
                      <a:fillRect/>
                    </a:stretch>
                  </pic:blipFill>
                  <pic:spPr>
                    <a:xfrm>
                      <a:off x="0" y="0"/>
                      <a:ext cx="6719888" cy="4238625"/>
                    </a:xfrm>
                    <a:prstGeom prst="rect">
                      <a:avLst/>
                    </a:prstGeom>
                    <a:ln/>
                  </pic:spPr>
                </pic:pic>
              </a:graphicData>
            </a:graphic>
          </wp:inline>
        </w:drawing>
      </w:r>
    </w:p>
    <w:p w14:paraId="41DA452B" w14:textId="77777777" w:rsidR="009A02D2" w:rsidRDefault="00E15B5E">
      <w:pPr>
        <w:pStyle w:val="Heading1"/>
        <w:pBdr>
          <w:top w:val="nil"/>
          <w:left w:val="nil"/>
          <w:bottom w:val="nil"/>
          <w:right w:val="nil"/>
          <w:between w:val="nil"/>
        </w:pBdr>
      </w:pPr>
      <w:bookmarkStart w:id="3" w:name="_arolcxe0i15c" w:colFirst="0" w:colLast="0"/>
      <w:bookmarkEnd w:id="3"/>
      <w:r>
        <w:t>Introduction</w:t>
      </w:r>
    </w:p>
    <w:p w14:paraId="41DA452C" w14:textId="77777777" w:rsidR="009A02D2" w:rsidRDefault="00E15B5E">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Although known for fossil-fuel dependency and carbon emissions, the automobile industry is a leader in the eco-friendly sector. Greenwashing persists in the automobile industry due to a series of systemic factors. Greenwashing is when a company or organization masks their products and/or methods as being more environmentally friendly than they actually are. </w:t>
      </w:r>
    </w:p>
    <w:p w14:paraId="41DA452E" w14:textId="77777777" w:rsidR="009A02D2" w:rsidRDefault="00E15B5E">
      <w:pPr>
        <w:pStyle w:val="Heading2"/>
        <w:pBdr>
          <w:top w:val="nil"/>
          <w:left w:val="nil"/>
          <w:bottom w:val="nil"/>
          <w:right w:val="nil"/>
          <w:between w:val="nil"/>
        </w:pBdr>
      </w:pPr>
      <w:bookmarkStart w:id="4" w:name="_kk5yg1j787n8" w:colFirst="0" w:colLast="0"/>
      <w:bookmarkStart w:id="5" w:name="_la5jp5tnimjw" w:colFirst="0" w:colLast="0"/>
      <w:bookmarkEnd w:id="4"/>
      <w:bookmarkEnd w:id="5"/>
      <w:r>
        <w:lastRenderedPageBreak/>
        <w:t>Summary of Impact of the current situation</w:t>
      </w:r>
    </w:p>
    <w:p w14:paraId="41DA452F" w14:textId="10D75728" w:rsidR="009A02D2" w:rsidRDefault="00E15B5E">
      <w:pPr>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In 2015, the Volkswagen </w:t>
      </w:r>
      <w:r w:rsidR="00DB72C1">
        <w:rPr>
          <w:rFonts w:ascii="Times New Roman" w:eastAsia="Times New Roman" w:hAnsi="Times New Roman" w:cs="Times New Roman"/>
          <w:sz w:val="24"/>
          <w:szCs w:val="24"/>
        </w:rPr>
        <w:t>Dieselgate</w:t>
      </w:r>
      <w:r>
        <w:rPr>
          <w:rFonts w:ascii="Times New Roman" w:eastAsia="Times New Roman" w:hAnsi="Times New Roman" w:cs="Times New Roman"/>
          <w:sz w:val="24"/>
          <w:szCs w:val="24"/>
        </w:rPr>
        <w:t xml:space="preserve"> scandal hit the automobile industry on multiple levels. The German company had forged its emissions tests in the laboratory, the NOx emissions actually being 40 times over the legal limit. After the scandal settled, Volkswagen managed to shift towards electric vehicles, but one question remains: was actual change made or is it, once again, a smoke-screen? </w:t>
      </w:r>
    </w:p>
    <w:p w14:paraId="41DA4530" w14:textId="77777777" w:rsidR="009A02D2" w:rsidRDefault="00E15B5E">
      <w:pPr>
        <w:pStyle w:val="Heading2"/>
      </w:pPr>
      <w:bookmarkStart w:id="6" w:name="_m8iimuc11ozk" w:colFirst="0" w:colLast="0"/>
      <w:bookmarkEnd w:id="6"/>
      <w:r>
        <w:t>A root cause analysis (RCA)</w:t>
      </w:r>
    </w:p>
    <w:p w14:paraId="41DA4531" w14:textId="57D335CD" w:rsidR="009A02D2" w:rsidRDefault="00E15B5E">
      <w:pPr>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root cause analysis identified up to 6 factors that were in play that led to the greenwashing scandal. </w:t>
      </w:r>
    </w:p>
    <w:p w14:paraId="41DA4532" w14:textId="77777777" w:rsidR="009A02D2" w:rsidRDefault="00E15B5E">
      <w:pPr>
        <w:pBdr>
          <w:top w:val="nil"/>
          <w:left w:val="nil"/>
          <w:bottom w:val="nil"/>
          <w:right w:val="nil"/>
          <w:between w:val="nil"/>
        </w:pBdr>
        <w:ind w:left="0"/>
        <w:rPr>
          <w:rFonts w:ascii="Times New Roman" w:eastAsia="Times New Roman" w:hAnsi="Times New Roman" w:cs="Times New Roman"/>
          <w:sz w:val="24"/>
          <w:szCs w:val="24"/>
        </w:rPr>
      </w:pPr>
      <w:r>
        <w:rPr>
          <w:rFonts w:ascii="Times New Roman" w:eastAsia="Times New Roman" w:hAnsi="Times New Roman" w:cs="Times New Roman"/>
          <w:sz w:val="24"/>
          <w:szCs w:val="24"/>
        </w:rPr>
        <w:t>The automotive industry has historically been dependent on the internal-combustion engine. Thus, transition to a sustainable alternative requires an investment with uncertain profitability. Firms will often signal environmental leadership prematurely (Boiral et al. 2022) in order to maintain the investor confidence and even attract new ones. This factor is known as competitive pressure.</w:t>
      </w:r>
    </w:p>
    <w:p w14:paraId="41DA4533" w14:textId="45ABEF53" w:rsidR="009A02D2" w:rsidRDefault="00E15B5E">
      <w:pPr>
        <w:pBdr>
          <w:top w:val="nil"/>
          <w:left w:val="nil"/>
          <w:bottom w:val="nil"/>
          <w:right w:val="nil"/>
          <w:between w:val="nil"/>
        </w:pBdr>
        <w:ind w:left="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second factor is surrounding fragmented regulations. A lack of a global regulatory </w:t>
      </w:r>
      <w:r w:rsidR="00DB72C1">
        <w:rPr>
          <w:rFonts w:ascii="Times New Roman" w:eastAsia="Times New Roman" w:hAnsi="Times New Roman" w:cs="Times New Roman"/>
          <w:sz w:val="24"/>
          <w:szCs w:val="24"/>
        </w:rPr>
        <w:t>standardization</w:t>
      </w:r>
      <w:r>
        <w:rPr>
          <w:rFonts w:ascii="Times New Roman" w:eastAsia="Times New Roman" w:hAnsi="Times New Roman" w:cs="Times New Roman"/>
          <w:sz w:val="24"/>
          <w:szCs w:val="24"/>
        </w:rPr>
        <w:t xml:space="preserve"> enabled these firms to exploit loop-holes and different standards. Limited penalties and oversight </w:t>
      </w:r>
      <w:r w:rsidR="00DB72C1">
        <w:rPr>
          <w:rFonts w:ascii="Times New Roman" w:eastAsia="Times New Roman" w:hAnsi="Times New Roman" w:cs="Times New Roman"/>
          <w:sz w:val="24"/>
          <w:szCs w:val="24"/>
        </w:rPr>
        <w:t>have</w:t>
      </w:r>
      <w:r>
        <w:rPr>
          <w:rFonts w:ascii="Times New Roman" w:eastAsia="Times New Roman" w:hAnsi="Times New Roman" w:cs="Times New Roman"/>
          <w:sz w:val="24"/>
          <w:szCs w:val="24"/>
        </w:rPr>
        <w:t xml:space="preserve"> allowed greenwashing to grow.</w:t>
      </w:r>
    </w:p>
    <w:p w14:paraId="41DA4534" w14:textId="4F5F4BC9" w:rsidR="009A02D2" w:rsidRDefault="00E15B5E">
      <w:pPr>
        <w:pBdr>
          <w:top w:val="nil"/>
          <w:left w:val="nil"/>
          <w:bottom w:val="nil"/>
          <w:right w:val="nil"/>
          <w:between w:val="nil"/>
        </w:pBdr>
        <w:ind w:left="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Corporate culture played a significant role in the </w:t>
      </w:r>
      <w:r w:rsidR="00DB72C1">
        <w:rPr>
          <w:rFonts w:ascii="Times New Roman" w:eastAsia="Times New Roman" w:hAnsi="Times New Roman" w:cs="Times New Roman"/>
          <w:sz w:val="24"/>
          <w:szCs w:val="24"/>
        </w:rPr>
        <w:t>Dieselgate</w:t>
      </w:r>
      <w:r>
        <w:rPr>
          <w:rFonts w:ascii="Times New Roman" w:eastAsia="Times New Roman" w:hAnsi="Times New Roman" w:cs="Times New Roman"/>
          <w:sz w:val="24"/>
          <w:szCs w:val="24"/>
        </w:rPr>
        <w:t xml:space="preserve"> scandal. Questionable practices can be used and even become the norm within a company under the market pressure. Some companies argue these strategies are better than nothing, but they raise serious ethical questions.</w:t>
      </w:r>
    </w:p>
    <w:p w14:paraId="41DA4535" w14:textId="77777777" w:rsidR="009A02D2" w:rsidRDefault="00E15B5E">
      <w:pPr>
        <w:pBdr>
          <w:top w:val="nil"/>
          <w:left w:val="nil"/>
          <w:bottom w:val="nil"/>
          <w:right w:val="nil"/>
          <w:between w:val="nil"/>
        </w:pBdr>
        <w:ind w:left="0"/>
        <w:rPr>
          <w:rFonts w:ascii="Times New Roman" w:eastAsia="Times New Roman" w:hAnsi="Times New Roman" w:cs="Times New Roman"/>
          <w:sz w:val="24"/>
          <w:szCs w:val="24"/>
        </w:rPr>
      </w:pPr>
      <w:r>
        <w:rPr>
          <w:rFonts w:ascii="Times New Roman" w:eastAsia="Times New Roman" w:hAnsi="Times New Roman" w:cs="Times New Roman"/>
          <w:sz w:val="24"/>
          <w:szCs w:val="24"/>
        </w:rPr>
        <w:t>The superficial green branding has a direct link with the consumers' increasing demand for sustainable products while lacking the technical expertise to verify the environmental claims. This has allowed many companies, including the automobile industry, to exploit labels such as “green aesthetic”, “eco-friendly”.</w:t>
      </w:r>
    </w:p>
    <w:p w14:paraId="41DA4536" w14:textId="7C5A4920" w:rsidR="009A02D2" w:rsidRDefault="00E15B5E">
      <w:pPr>
        <w:pBdr>
          <w:top w:val="nil"/>
          <w:left w:val="nil"/>
          <w:bottom w:val="nil"/>
          <w:right w:val="nil"/>
          <w:between w:val="nil"/>
        </w:pBdr>
        <w:ind w:left="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Another key factor is a company’s sustainability report which relies on self-selected indicators. In VW's case, the company was allowed to highlight </w:t>
      </w:r>
      <w:r w:rsidR="00DB72C1">
        <w:rPr>
          <w:rFonts w:ascii="Times New Roman" w:eastAsia="Times New Roman" w:hAnsi="Times New Roman" w:cs="Times New Roman"/>
          <w:sz w:val="24"/>
          <w:szCs w:val="24"/>
        </w:rPr>
        <w:t>favorable</w:t>
      </w:r>
      <w:r>
        <w:rPr>
          <w:rFonts w:ascii="Times New Roman" w:eastAsia="Times New Roman" w:hAnsi="Times New Roman" w:cs="Times New Roman"/>
          <w:sz w:val="24"/>
          <w:szCs w:val="24"/>
        </w:rPr>
        <w:t xml:space="preserve"> metrics while hiding others. </w:t>
      </w:r>
    </w:p>
    <w:p w14:paraId="41DA4537" w14:textId="77777777" w:rsidR="009A02D2" w:rsidRDefault="00E15B5E">
      <w:pPr>
        <w:pBdr>
          <w:top w:val="nil"/>
          <w:left w:val="nil"/>
          <w:bottom w:val="nil"/>
          <w:right w:val="nil"/>
          <w:between w:val="nil"/>
        </w:pBdr>
        <w:ind w:left="0"/>
      </w:pPr>
      <w:r>
        <w:rPr>
          <w:rFonts w:ascii="Times New Roman" w:eastAsia="Times New Roman" w:hAnsi="Times New Roman" w:cs="Times New Roman"/>
          <w:sz w:val="24"/>
          <w:szCs w:val="24"/>
        </w:rPr>
        <w:lastRenderedPageBreak/>
        <w:t>The final factor in the root cause analysis is the media lens. Volkswagen successfully re-positioned itself after the scandal back to its sustainability leadership (Kell, 2022). PR can reframe a corporation’s image faster than actual environmental transformations, which in turn has reinforced greenwashing through a narrative lens.</w:t>
      </w:r>
    </w:p>
    <w:p w14:paraId="41DA4538" w14:textId="77777777" w:rsidR="009A02D2" w:rsidRDefault="00E15B5E">
      <w:pPr>
        <w:pStyle w:val="Heading2"/>
      </w:pPr>
      <w:bookmarkStart w:id="7" w:name="_wr1h5ep6ayxh" w:colFirst="0" w:colLast="0"/>
      <w:bookmarkEnd w:id="7"/>
      <w:r>
        <w:t>Conclusion</w:t>
      </w:r>
    </w:p>
    <w:p w14:paraId="41DA4539" w14:textId="77777777" w:rsidR="009A02D2" w:rsidRDefault="00E15B5E">
      <w:pPr>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Multiple elements make greenwashing possible. Competitive pressure leads to exaggerated environmental progress. Weak regulations create opportunities for manipulation. Consumers often lack the knowledge to evaluate environmental claims while the media helps rehabilitate corporate images. Greenwashing manifests through multiple factors and it has been allowed to grow because of a lack of uniform regulations and because the media allowed scandals to be swept under the rug.</w:t>
      </w:r>
    </w:p>
    <w:p w14:paraId="41DA453A" w14:textId="77777777" w:rsidR="009A02D2" w:rsidRDefault="00E15B5E">
      <w:pPr>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The Volkswagen greenwashing case is not isolated. It persists in many industries and, if allowed to grow, it can actually do real harm to the environment and even delay actual changes.</w:t>
      </w:r>
    </w:p>
    <w:p w14:paraId="41DA453B" w14:textId="77777777" w:rsidR="009A02D2" w:rsidRDefault="009A02D2">
      <w:pPr>
        <w:pBdr>
          <w:top w:val="nil"/>
          <w:left w:val="nil"/>
          <w:bottom w:val="nil"/>
          <w:right w:val="nil"/>
          <w:between w:val="nil"/>
        </w:pBdr>
        <w:rPr>
          <w:rFonts w:ascii="Times New Roman" w:eastAsia="Times New Roman" w:hAnsi="Times New Roman" w:cs="Times New Roman"/>
          <w:sz w:val="24"/>
          <w:szCs w:val="24"/>
        </w:rPr>
      </w:pPr>
    </w:p>
    <w:p w14:paraId="41DA453C" w14:textId="77777777" w:rsidR="009A02D2" w:rsidRDefault="009A02D2">
      <w:pPr>
        <w:pBdr>
          <w:top w:val="nil"/>
          <w:left w:val="nil"/>
          <w:bottom w:val="nil"/>
          <w:right w:val="nil"/>
          <w:between w:val="nil"/>
        </w:pBdr>
        <w:rPr>
          <w:rFonts w:ascii="Times New Roman" w:eastAsia="Times New Roman" w:hAnsi="Times New Roman" w:cs="Times New Roman"/>
          <w:sz w:val="24"/>
          <w:szCs w:val="24"/>
        </w:rPr>
      </w:pPr>
    </w:p>
    <w:p w14:paraId="41DA453D" w14:textId="77777777" w:rsidR="009A02D2" w:rsidRDefault="009A02D2">
      <w:pPr>
        <w:pBdr>
          <w:top w:val="nil"/>
          <w:left w:val="nil"/>
          <w:bottom w:val="nil"/>
          <w:right w:val="nil"/>
          <w:between w:val="nil"/>
        </w:pBdr>
        <w:rPr>
          <w:rFonts w:ascii="Times New Roman" w:eastAsia="Times New Roman" w:hAnsi="Times New Roman" w:cs="Times New Roman"/>
          <w:sz w:val="24"/>
          <w:szCs w:val="24"/>
        </w:rPr>
      </w:pPr>
    </w:p>
    <w:p w14:paraId="41DA453E" w14:textId="77777777" w:rsidR="009A02D2" w:rsidRDefault="009A02D2">
      <w:pPr>
        <w:pBdr>
          <w:top w:val="nil"/>
          <w:left w:val="nil"/>
          <w:bottom w:val="nil"/>
          <w:right w:val="nil"/>
          <w:between w:val="nil"/>
        </w:pBdr>
        <w:rPr>
          <w:rFonts w:ascii="Times New Roman" w:eastAsia="Times New Roman" w:hAnsi="Times New Roman" w:cs="Times New Roman"/>
          <w:sz w:val="24"/>
          <w:szCs w:val="24"/>
        </w:rPr>
      </w:pPr>
    </w:p>
    <w:p w14:paraId="41DA453F" w14:textId="77777777" w:rsidR="009A02D2" w:rsidRDefault="009A02D2">
      <w:pPr>
        <w:pBdr>
          <w:top w:val="nil"/>
          <w:left w:val="nil"/>
          <w:bottom w:val="nil"/>
          <w:right w:val="nil"/>
          <w:between w:val="nil"/>
        </w:pBdr>
        <w:rPr>
          <w:rFonts w:ascii="Times New Roman" w:eastAsia="Times New Roman" w:hAnsi="Times New Roman" w:cs="Times New Roman"/>
          <w:sz w:val="24"/>
          <w:szCs w:val="24"/>
        </w:rPr>
      </w:pPr>
    </w:p>
    <w:p w14:paraId="41DA4540" w14:textId="77777777" w:rsidR="009A02D2" w:rsidRDefault="009A02D2">
      <w:pPr>
        <w:pBdr>
          <w:top w:val="nil"/>
          <w:left w:val="nil"/>
          <w:bottom w:val="nil"/>
          <w:right w:val="nil"/>
          <w:between w:val="nil"/>
        </w:pBdr>
        <w:rPr>
          <w:rFonts w:ascii="Times New Roman" w:eastAsia="Times New Roman" w:hAnsi="Times New Roman" w:cs="Times New Roman"/>
          <w:sz w:val="24"/>
          <w:szCs w:val="24"/>
        </w:rPr>
      </w:pPr>
    </w:p>
    <w:p w14:paraId="41DA4541" w14:textId="77777777" w:rsidR="009A02D2" w:rsidRDefault="009A02D2">
      <w:pPr>
        <w:pBdr>
          <w:top w:val="nil"/>
          <w:left w:val="nil"/>
          <w:bottom w:val="nil"/>
          <w:right w:val="nil"/>
          <w:between w:val="nil"/>
        </w:pBdr>
        <w:rPr>
          <w:rFonts w:ascii="Times New Roman" w:eastAsia="Times New Roman" w:hAnsi="Times New Roman" w:cs="Times New Roman"/>
          <w:sz w:val="24"/>
          <w:szCs w:val="24"/>
        </w:rPr>
      </w:pPr>
    </w:p>
    <w:p w14:paraId="41DA4542" w14:textId="77777777" w:rsidR="009A02D2" w:rsidRDefault="009A02D2">
      <w:pPr>
        <w:spacing w:before="30"/>
        <w:rPr>
          <w:rFonts w:ascii="Times New Roman" w:eastAsia="Times New Roman" w:hAnsi="Times New Roman" w:cs="Times New Roman"/>
          <w:sz w:val="24"/>
          <w:szCs w:val="24"/>
        </w:rPr>
      </w:pPr>
    </w:p>
    <w:p w14:paraId="41DA4543" w14:textId="77777777" w:rsidR="009A02D2" w:rsidRDefault="009A02D2">
      <w:pPr>
        <w:spacing w:before="30"/>
        <w:rPr>
          <w:rFonts w:ascii="Times New Roman" w:eastAsia="Times New Roman" w:hAnsi="Times New Roman" w:cs="Times New Roman"/>
          <w:sz w:val="24"/>
          <w:szCs w:val="24"/>
        </w:rPr>
      </w:pPr>
    </w:p>
    <w:p w14:paraId="60E3739E" w14:textId="77777777" w:rsidR="00180FEA" w:rsidRDefault="00180FEA">
      <w:pPr>
        <w:pStyle w:val="Heading2"/>
        <w:spacing w:before="30"/>
      </w:pPr>
      <w:bookmarkStart w:id="8" w:name="_xpsavcd55z8s" w:colFirst="0" w:colLast="0"/>
      <w:bookmarkEnd w:id="8"/>
    </w:p>
    <w:p w14:paraId="39BEBB93" w14:textId="77777777" w:rsidR="00DC4240" w:rsidRDefault="00DC4240">
      <w:pPr>
        <w:pStyle w:val="Heading2"/>
        <w:spacing w:before="30"/>
      </w:pPr>
    </w:p>
    <w:p w14:paraId="50F4A0D0" w14:textId="77777777" w:rsidR="00DC4240" w:rsidRDefault="00DC4240">
      <w:pPr>
        <w:pStyle w:val="Heading2"/>
        <w:spacing w:before="30"/>
      </w:pPr>
    </w:p>
    <w:p w14:paraId="101D4EA8" w14:textId="77777777" w:rsidR="00DC4240" w:rsidRDefault="00DC4240">
      <w:pPr>
        <w:pStyle w:val="Heading2"/>
        <w:spacing w:before="30"/>
      </w:pPr>
    </w:p>
    <w:p w14:paraId="41DA4544" w14:textId="53CA39EE" w:rsidR="009A02D2" w:rsidRDefault="00E15B5E">
      <w:pPr>
        <w:pStyle w:val="Heading2"/>
        <w:spacing w:before="30"/>
      </w:pPr>
      <w:r>
        <w:lastRenderedPageBreak/>
        <w:t>References</w:t>
      </w:r>
    </w:p>
    <w:p w14:paraId="41DA4545" w14:textId="26A2C74A" w:rsidR="009A02D2" w:rsidRDefault="00E15B5E">
      <w:pPr>
        <w:spacing w:before="240" w:after="240"/>
        <w:ind w:left="0"/>
      </w:pPr>
      <w:r>
        <w:t xml:space="preserve">Boiral, O., Brotherton, M-C., Yuriev, A. and Talbot, D. (2022) ‘Through the smokescreen of the </w:t>
      </w:r>
      <w:r w:rsidR="00DB72C1">
        <w:t>Diesel gate</w:t>
      </w:r>
      <w:r>
        <w:t xml:space="preserve"> disclosure: Neutralizing the impacts of a major sustainability scandal’, </w:t>
      </w:r>
      <w:r>
        <w:rPr>
          <w:i/>
        </w:rPr>
        <w:t>Organization &amp; Environment</w:t>
      </w:r>
      <w:r>
        <w:t>, 35(2), pp. 175–201. https://journals.sagepub.com/doi/10.1177/10860266211043561</w:t>
      </w:r>
    </w:p>
    <w:p w14:paraId="41DA4546" w14:textId="77777777" w:rsidR="009A02D2" w:rsidRDefault="00E15B5E">
      <w:pPr>
        <w:spacing w:before="240" w:after="240"/>
        <w:ind w:left="0"/>
      </w:pPr>
      <w:r>
        <w:t xml:space="preserve">Kell, G. (2022) </w:t>
      </w:r>
      <w:r>
        <w:rPr>
          <w:i/>
        </w:rPr>
        <w:t>From emissions cheater to climate leader: VW’s journey from Dieselgate to embracing e-mobility</w:t>
      </w:r>
      <w:r>
        <w:t xml:space="preserve">. </w:t>
      </w:r>
      <w:r>
        <w:rPr>
          <w:i/>
        </w:rPr>
        <w:t>Forbes</w:t>
      </w:r>
      <w:r>
        <w:t>, 5 December. Available at:</w:t>
      </w:r>
      <w:hyperlink r:id="rId8">
        <w:r>
          <w:t xml:space="preserve"> </w:t>
        </w:r>
      </w:hyperlink>
      <w:hyperlink r:id="rId9">
        <w:r>
          <w:rPr>
            <w:color w:val="1155CC"/>
            <w:u w:val="single"/>
          </w:rPr>
          <w:t>https://www.forbes.com/sites/georgkell/2022/12/05/from-emissions-cheater-to-climate-leader-vws-journey-from-dieselgate-to-embracing-e-mobility/</w:t>
        </w:r>
      </w:hyperlink>
      <w:r>
        <w:t xml:space="preserve"> </w:t>
      </w:r>
    </w:p>
    <w:p w14:paraId="41DA4547" w14:textId="77777777" w:rsidR="009A02D2" w:rsidRDefault="00E15B5E">
      <w:pPr>
        <w:spacing w:before="240" w:after="240"/>
        <w:ind w:left="0"/>
      </w:pPr>
      <w:r>
        <w:t xml:space="preserve">Koch, C. and Denner, M. (2021) ‘The impact of greenwashing on consumer trust: A study of the automotive sector’, </w:t>
      </w:r>
      <w:r>
        <w:rPr>
          <w:i/>
        </w:rPr>
        <w:t>Journal of Business Ethics</w:t>
      </w:r>
      <w:r>
        <w:t>, 174(2), pp. 223–245.</w:t>
      </w:r>
    </w:p>
    <w:p w14:paraId="41DA4548" w14:textId="77777777" w:rsidR="009A02D2" w:rsidRDefault="00E15B5E">
      <w:pPr>
        <w:spacing w:before="240" w:after="240"/>
        <w:ind w:left="0"/>
      </w:pPr>
      <w:r>
        <w:t xml:space="preserve">Transport &amp; Environment (2020) </w:t>
      </w:r>
      <w:r>
        <w:rPr>
          <w:i/>
        </w:rPr>
        <w:t>Carmakers’ dirty secret: How they mislead consumers on emissions and fuel efficiency</w:t>
      </w:r>
      <w:r>
        <w:t>. Brussels: Transport &amp; Environment.</w:t>
      </w:r>
    </w:p>
    <w:p w14:paraId="41DA4549" w14:textId="77777777" w:rsidR="009A02D2" w:rsidRDefault="00E15B5E">
      <w:pPr>
        <w:spacing w:before="240" w:after="240"/>
        <w:ind w:left="0"/>
      </w:pPr>
      <w:r>
        <w:rPr>
          <w:rFonts w:ascii="Arial" w:eastAsia="Arial" w:hAnsi="Arial" w:cs="Arial"/>
          <w:color w:val="202122"/>
          <w:highlight w:val="white"/>
        </w:rPr>
        <w:t xml:space="preserve">Vaughan, Adam (29 October 2015). </w:t>
      </w:r>
      <w:hyperlink r:id="rId10">
        <w:r>
          <w:rPr>
            <w:rFonts w:ascii="Arial" w:eastAsia="Arial" w:hAnsi="Arial" w:cs="Arial"/>
            <w:color w:val="3056A9"/>
            <w:highlight w:val="white"/>
            <w:u w:val="single"/>
          </w:rPr>
          <w:t>"VW emissions cheat estimated to cause 59 premature US deaths"</w:t>
        </w:r>
      </w:hyperlink>
      <w:r>
        <w:t xml:space="preserve"> </w:t>
      </w:r>
    </w:p>
    <w:p w14:paraId="41DA454A" w14:textId="77777777" w:rsidR="009A02D2" w:rsidRDefault="00E15B5E">
      <w:pPr>
        <w:spacing w:before="240" w:after="240"/>
        <w:ind w:left="0"/>
      </w:pPr>
      <w:r>
        <w:t xml:space="preserve">The Wall Street Journal: Greenwashing: When Companies aren’t as sustainable as they claim </w:t>
      </w:r>
      <w:hyperlink r:id="rId11">
        <w:r>
          <w:rPr>
            <w:color w:val="0000EE"/>
            <w:u w:val="single"/>
          </w:rPr>
          <w:t>Greenwashing: When Companies Aren’t as Sustainable as They Claim | WSJ</w:t>
        </w:r>
      </w:hyperlink>
    </w:p>
    <w:p w14:paraId="41DA454B" w14:textId="77777777" w:rsidR="009A02D2" w:rsidRDefault="009A02D2">
      <w:pPr>
        <w:rPr>
          <w:rFonts w:ascii="Times New Roman" w:eastAsia="Times New Roman" w:hAnsi="Times New Roman" w:cs="Times New Roman"/>
          <w:sz w:val="24"/>
          <w:szCs w:val="24"/>
        </w:rPr>
      </w:pPr>
    </w:p>
    <w:p w14:paraId="41DA454C" w14:textId="77777777" w:rsidR="009A02D2" w:rsidRDefault="009A02D2">
      <w:pPr>
        <w:spacing w:before="240" w:after="240"/>
        <w:ind w:left="0"/>
        <w:rPr>
          <w:rFonts w:ascii="Times New Roman" w:eastAsia="Times New Roman" w:hAnsi="Times New Roman" w:cs="Times New Roman"/>
          <w:sz w:val="24"/>
          <w:szCs w:val="24"/>
        </w:rPr>
      </w:pPr>
    </w:p>
    <w:p w14:paraId="41DA454D" w14:textId="77777777" w:rsidR="009A02D2" w:rsidRDefault="009A02D2">
      <w:pPr>
        <w:spacing w:before="30"/>
      </w:pPr>
    </w:p>
    <w:p w14:paraId="41DA454E" w14:textId="77777777" w:rsidR="009A02D2" w:rsidRDefault="009A02D2">
      <w:pPr>
        <w:spacing w:before="30"/>
      </w:pPr>
    </w:p>
    <w:sectPr w:rsidR="009A02D2">
      <w:headerReference w:type="default" r:id="rId12"/>
      <w:footerReference w:type="default" r:id="rId13"/>
      <w:headerReference w:type="first" r:id="rId14"/>
      <w:footerReference w:type="first" r:id="rId15"/>
      <w:pgSz w:w="12240" w:h="15840"/>
      <w:pgMar w:top="1440" w:right="1440" w:bottom="1440" w:left="1440" w:header="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C2C6109" w14:textId="77777777" w:rsidR="003B6A76" w:rsidRDefault="003B6A76">
      <w:pPr>
        <w:spacing w:before="0" w:line="240" w:lineRule="auto"/>
      </w:pPr>
      <w:r>
        <w:separator/>
      </w:r>
    </w:p>
  </w:endnote>
  <w:endnote w:type="continuationSeparator" w:id="0">
    <w:p w14:paraId="5869A012" w14:textId="77777777" w:rsidR="003B6A76" w:rsidRDefault="003B6A76">
      <w:pPr>
        <w:spacing w:before="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Open Sans">
    <w:panose1 w:val="020B0606030504020204"/>
    <w:charset w:val="00"/>
    <w:family w:val="swiss"/>
    <w:pitch w:val="variable"/>
    <w:sig w:usb0="E00002EF" w:usb1="4000205B" w:usb2="00000028" w:usb3="00000000" w:csb0="0000019F" w:csb1="00000000"/>
    <w:embedRegular r:id="rId1" w:fontKey="{3E3D797B-CE3E-432B-851E-21E57B76106E}"/>
    <w:embedBold r:id="rId2" w:fontKey="{2BFAA993-7355-4444-80C9-EDB59AB4014B}"/>
    <w:embedItalic r:id="rId3" w:fontKey="{9630A7CE-CE7A-41E5-B7CE-3924AD5A5D6E}"/>
  </w:font>
  <w:font w:name="Trebuchet MS">
    <w:panose1 w:val="020B0603020202020204"/>
    <w:charset w:val="00"/>
    <w:family w:val="swiss"/>
    <w:pitch w:val="variable"/>
    <w:sig w:usb0="00000687" w:usb1="00000000"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Economica">
    <w:charset w:val="00"/>
    <w:family w:val="auto"/>
    <w:pitch w:val="default"/>
    <w:embedRegular r:id="rId4" w:fontKey="{A203E4AF-FF94-EF4D-B7F1-D5D3C9730D5B}"/>
    <w:embedBold r:id="rId5" w:fontKey="{064FCB43-8A12-B24D-A815-55E4BA20F32E}"/>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embedRegular r:id="rId8" w:fontKey="{85645EEE-008E-401E-A7B9-E400794BED2D}"/>
  </w:font>
  <w:font w:name="Cambria">
    <w:panose1 w:val="02040503050406030204"/>
    <w:charset w:val="00"/>
    <w:family w:val="roman"/>
    <w:pitch w:val="variable"/>
    <w:sig w:usb0="E00006FF" w:usb1="420024FF" w:usb2="02000000" w:usb3="00000000" w:csb0="0000019F" w:csb1="00000000"/>
    <w:embedRegular r:id="rId9" w:fontKey="{DC76D7AE-7CA4-4ACC-BBB8-13055448465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1DA4555" w14:textId="77777777" w:rsidR="009A02D2" w:rsidRDefault="00E15B5E">
    <w:pPr>
      <w:pBdr>
        <w:top w:val="nil"/>
        <w:left w:val="nil"/>
        <w:bottom w:val="nil"/>
        <w:right w:val="nil"/>
        <w:between w:val="nil"/>
      </w:pBdr>
      <w:spacing w:before="0" w:line="240" w:lineRule="auto"/>
    </w:pPr>
    <w:r>
      <w:rPr>
        <w:noProof/>
      </w:rPr>
      <w:drawing>
        <wp:inline distT="114300" distB="114300" distL="114300" distR="114300" wp14:anchorId="41DA455C" wp14:editId="41DA455D">
          <wp:extent cx="5943600" cy="25400"/>
          <wp:effectExtent l="0" t="0" r="0" b="0"/>
          <wp:docPr id="1" name="image4.png" descr="horizontal line"/>
          <wp:cNvGraphicFramePr/>
          <a:graphic xmlns:a="http://schemas.openxmlformats.org/drawingml/2006/main">
            <a:graphicData uri="http://schemas.openxmlformats.org/drawingml/2006/picture">
              <pic:pic xmlns:pic="http://schemas.openxmlformats.org/drawingml/2006/picture">
                <pic:nvPicPr>
                  <pic:cNvPr id="0" name="image4.png" descr="horizontal line"/>
                  <pic:cNvPicPr preferRelativeResize="0"/>
                </pic:nvPicPr>
                <pic:blipFill>
                  <a:blip r:embed="rId1"/>
                  <a:srcRect/>
                  <a:stretch>
                    <a:fillRect/>
                  </a:stretch>
                </pic:blipFill>
                <pic:spPr>
                  <a:xfrm>
                    <a:off x="0" y="0"/>
                    <a:ext cx="5943600" cy="25400"/>
                  </a:xfrm>
                  <a:prstGeom prst="rect">
                    <a:avLst/>
                  </a:prstGeom>
                  <a:ln/>
                </pic:spPr>
              </pic:pic>
            </a:graphicData>
          </a:graphic>
        </wp:inline>
      </w:drawing>
    </w:r>
  </w:p>
  <w:p w14:paraId="41DA4556" w14:textId="17097571" w:rsidR="009A02D2" w:rsidRDefault="00E15B5E">
    <w:pPr>
      <w:pBdr>
        <w:top w:val="nil"/>
        <w:left w:val="nil"/>
        <w:bottom w:val="nil"/>
        <w:right w:val="nil"/>
        <w:between w:val="nil"/>
      </w:pBdr>
      <w:spacing w:before="0" w:line="240" w:lineRule="auto"/>
      <w:ind w:firstLine="75"/>
      <w:rPr>
        <w:rFonts w:ascii="Economica" w:eastAsia="Economica" w:hAnsi="Economica" w:cs="Economica"/>
      </w:rPr>
    </w:pPr>
    <w:r>
      <w:rPr>
        <w:rFonts w:ascii="Economica" w:eastAsia="Economica" w:hAnsi="Economica" w:cs="Economica"/>
      </w:rPr>
      <w:fldChar w:fldCharType="begin"/>
    </w:r>
    <w:r>
      <w:rPr>
        <w:rFonts w:ascii="Economica" w:eastAsia="Economica" w:hAnsi="Economica" w:cs="Economica"/>
      </w:rPr>
      <w:instrText>PAGE</w:instrText>
    </w:r>
    <w:r>
      <w:rPr>
        <w:rFonts w:ascii="Economica" w:eastAsia="Economica" w:hAnsi="Economica" w:cs="Economica"/>
      </w:rPr>
      <w:fldChar w:fldCharType="separate"/>
    </w:r>
    <w:r w:rsidR="00DB72C1">
      <w:rPr>
        <w:rFonts w:ascii="Economica" w:eastAsia="Economica" w:hAnsi="Economica" w:cs="Economica"/>
        <w:noProof/>
      </w:rPr>
      <w:t>2</w:t>
    </w:r>
    <w:r>
      <w:rPr>
        <w:rFonts w:ascii="Economica" w:eastAsia="Economica" w:hAnsi="Economica" w:cs="Economica"/>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1DA4558" w14:textId="77777777" w:rsidR="009A02D2" w:rsidRDefault="00E15B5E">
    <w:pPr>
      <w:pBdr>
        <w:top w:val="nil"/>
        <w:left w:val="nil"/>
        <w:bottom w:val="nil"/>
        <w:right w:val="nil"/>
        <w:between w:val="nil"/>
      </w:pBdr>
      <w:spacing w:before="0"/>
    </w:pPr>
    <w:r>
      <w:rPr>
        <w:noProof/>
      </w:rPr>
      <w:drawing>
        <wp:inline distT="114300" distB="114300" distL="114300" distR="114300" wp14:anchorId="41DA455E" wp14:editId="41DA455F">
          <wp:extent cx="5943600" cy="25400"/>
          <wp:effectExtent l="0" t="0" r="0" b="0"/>
          <wp:docPr id="3" name="image2.png" descr="horizontal line"/>
          <wp:cNvGraphicFramePr/>
          <a:graphic xmlns:a="http://schemas.openxmlformats.org/drawingml/2006/main">
            <a:graphicData uri="http://schemas.openxmlformats.org/drawingml/2006/picture">
              <pic:pic xmlns:pic="http://schemas.openxmlformats.org/drawingml/2006/picture">
                <pic:nvPicPr>
                  <pic:cNvPr id="0" name="image2.png" descr="horizontal line"/>
                  <pic:cNvPicPr preferRelativeResize="0"/>
                </pic:nvPicPr>
                <pic:blipFill>
                  <a:blip r:embed="rId1"/>
                  <a:srcRect/>
                  <a:stretch>
                    <a:fillRect/>
                  </a:stretch>
                </pic:blipFill>
                <pic:spPr>
                  <a:xfrm>
                    <a:off x="0" y="0"/>
                    <a:ext cx="5943600" cy="25400"/>
                  </a:xfrm>
                  <a:prstGeom prst="rect">
                    <a:avLst/>
                  </a:prstGeom>
                  <a:ln/>
                </pic:spPr>
              </pic:pic>
            </a:graphicData>
          </a:graphic>
        </wp:inline>
      </w:drawing>
    </w:r>
  </w:p>
  <w:p w14:paraId="41DA4559" w14:textId="77777777" w:rsidR="009A02D2" w:rsidRDefault="009A02D2">
    <w:pPr>
      <w:pStyle w:val="Subtitle"/>
      <w:pBdr>
        <w:top w:val="nil"/>
        <w:left w:val="nil"/>
        <w:bottom w:val="nil"/>
        <w:right w:val="nil"/>
        <w:between w:val="nil"/>
      </w:pBdr>
    </w:pPr>
    <w:bookmarkStart w:id="10" w:name="_w494w0yg8rg0" w:colFirst="0" w:colLast="0"/>
    <w:bookmarkEnd w:id="10"/>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186D089" w14:textId="77777777" w:rsidR="003B6A76" w:rsidRDefault="003B6A76">
      <w:pPr>
        <w:spacing w:before="0" w:line="240" w:lineRule="auto"/>
      </w:pPr>
      <w:r>
        <w:separator/>
      </w:r>
    </w:p>
  </w:footnote>
  <w:footnote w:type="continuationSeparator" w:id="0">
    <w:p w14:paraId="4927308C" w14:textId="77777777" w:rsidR="003B6A76" w:rsidRDefault="003B6A76">
      <w:pPr>
        <w:spacing w:before="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1DA4553" w14:textId="77777777" w:rsidR="009A02D2" w:rsidRDefault="009A02D2">
    <w:pPr>
      <w:pStyle w:val="Subtitle"/>
      <w:pBdr>
        <w:top w:val="nil"/>
        <w:left w:val="nil"/>
        <w:bottom w:val="nil"/>
        <w:right w:val="nil"/>
        <w:between w:val="nil"/>
      </w:pBdr>
      <w:spacing w:before="600"/>
    </w:pPr>
    <w:bookmarkStart w:id="9" w:name="_leajue2ys1lr" w:colFirst="0" w:colLast="0"/>
    <w:bookmarkEnd w:id="9"/>
  </w:p>
  <w:p w14:paraId="41DA4554" w14:textId="77777777" w:rsidR="009A02D2" w:rsidRDefault="00E15B5E">
    <w:pPr>
      <w:pBdr>
        <w:top w:val="nil"/>
        <w:left w:val="nil"/>
        <w:bottom w:val="nil"/>
        <w:right w:val="nil"/>
        <w:between w:val="nil"/>
      </w:pBdr>
      <w:spacing w:before="0" w:line="240" w:lineRule="auto"/>
    </w:pPr>
    <w:r>
      <w:rPr>
        <w:noProof/>
      </w:rPr>
      <w:drawing>
        <wp:inline distT="114300" distB="114300" distL="114300" distR="114300" wp14:anchorId="41DA455A" wp14:editId="41DA455B">
          <wp:extent cx="5943600" cy="25400"/>
          <wp:effectExtent l="0" t="0" r="0" b="0"/>
          <wp:docPr id="4" name="image3.png" descr="horizontal line"/>
          <wp:cNvGraphicFramePr/>
          <a:graphic xmlns:a="http://schemas.openxmlformats.org/drawingml/2006/main">
            <a:graphicData uri="http://schemas.openxmlformats.org/drawingml/2006/picture">
              <pic:pic xmlns:pic="http://schemas.openxmlformats.org/drawingml/2006/picture">
                <pic:nvPicPr>
                  <pic:cNvPr id="0" name="image3.png" descr="horizontal line"/>
                  <pic:cNvPicPr preferRelativeResize="0"/>
                </pic:nvPicPr>
                <pic:blipFill>
                  <a:blip r:embed="rId1"/>
                  <a:srcRect/>
                  <a:stretch>
                    <a:fillRect/>
                  </a:stretch>
                </pic:blipFill>
                <pic:spPr>
                  <a:xfrm>
                    <a:off x="0" y="0"/>
                    <a:ext cx="5943600" cy="25400"/>
                  </a:xfrm>
                  <a:prstGeom prst="rect">
                    <a:avLst/>
                  </a:prstGeom>
                  <a:ln/>
                </pic:spPr>
              </pic:pic>
            </a:graphicData>
          </a:graphic>
        </wp:inline>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1DA4557" w14:textId="77777777" w:rsidR="009A02D2" w:rsidRDefault="009A02D2">
    <w:pPr>
      <w:pBdr>
        <w:top w:val="nil"/>
        <w:left w:val="nil"/>
        <w:bottom w:val="nil"/>
        <w:right w:val="nil"/>
        <w:between w:val="nil"/>
      </w:pBd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embedTrueTypeFonts/>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A02D2"/>
    <w:rsid w:val="000E4AA2"/>
    <w:rsid w:val="00180FEA"/>
    <w:rsid w:val="003B6A76"/>
    <w:rsid w:val="00535B02"/>
    <w:rsid w:val="00975E49"/>
    <w:rsid w:val="009A02D2"/>
    <w:rsid w:val="00A36682"/>
    <w:rsid w:val="00A46895"/>
    <w:rsid w:val="00A6344B"/>
    <w:rsid w:val="00C175D2"/>
    <w:rsid w:val="00DB72C1"/>
    <w:rsid w:val="00DC4240"/>
    <w:rsid w:val="00E15B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DA4526"/>
  <w15:docId w15:val="{041AE0DE-AE5B-41CE-B92D-CD27F07FEA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Open Sans" w:eastAsia="Open Sans" w:hAnsi="Open Sans" w:cs="Open Sans"/>
        <w:sz w:val="22"/>
        <w:szCs w:val="22"/>
        <w:lang w:val="en" w:eastAsia="en-GB" w:bidi="ar-SA"/>
      </w:rPr>
    </w:rPrDefault>
    <w:pPrDefault>
      <w:pPr>
        <w:spacing w:before="200" w:line="360" w:lineRule="auto"/>
        <w:ind w:left="-15"/>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outlineLvl w:val="0"/>
    </w:pPr>
    <w:rPr>
      <w:b/>
      <w:sz w:val="32"/>
      <w:szCs w:val="32"/>
    </w:rPr>
  </w:style>
  <w:style w:type="paragraph" w:styleId="Heading2">
    <w:name w:val="heading 2"/>
    <w:basedOn w:val="Normal"/>
    <w:next w:val="Normal"/>
    <w:uiPriority w:val="9"/>
    <w:unhideWhenUsed/>
    <w:qFormat/>
    <w:pPr>
      <w:spacing w:before="480" w:line="240" w:lineRule="auto"/>
      <w:ind w:right="1785"/>
      <w:outlineLvl w:val="1"/>
    </w:pPr>
    <w:rPr>
      <w:b/>
      <w:sz w:val="26"/>
      <w:szCs w:val="26"/>
    </w:rPr>
  </w:style>
  <w:style w:type="paragraph" w:styleId="Heading3">
    <w:name w:val="heading 3"/>
    <w:basedOn w:val="Normal"/>
    <w:next w:val="Normal"/>
    <w:uiPriority w:val="9"/>
    <w:semiHidden/>
    <w:unhideWhenUsed/>
    <w:qFormat/>
    <w:pPr>
      <w:outlineLvl w:val="2"/>
    </w:pPr>
    <w:rPr>
      <w:b/>
      <w:color w:val="8C7252"/>
      <w:sz w:val="24"/>
      <w:szCs w:val="24"/>
    </w:rPr>
  </w:style>
  <w:style w:type="paragraph" w:styleId="Heading4">
    <w:name w:val="heading 4"/>
    <w:basedOn w:val="Normal"/>
    <w:next w:val="Normal"/>
    <w:uiPriority w:val="9"/>
    <w:semiHidden/>
    <w:unhideWhenUsed/>
    <w:qFormat/>
    <w:pPr>
      <w:keepNext/>
      <w:keepLines/>
      <w:spacing w:before="160"/>
      <w:outlineLvl w:val="3"/>
    </w:pPr>
    <w:rPr>
      <w:rFonts w:ascii="Trebuchet MS" w:eastAsia="Trebuchet MS" w:hAnsi="Trebuchet MS" w:cs="Trebuchet MS"/>
      <w:color w:val="666666"/>
      <w:u w:val="single"/>
    </w:rPr>
  </w:style>
  <w:style w:type="paragraph" w:styleId="Heading5">
    <w:name w:val="heading 5"/>
    <w:basedOn w:val="Normal"/>
    <w:next w:val="Normal"/>
    <w:uiPriority w:val="9"/>
    <w:semiHidden/>
    <w:unhideWhenUsed/>
    <w:qFormat/>
    <w:pPr>
      <w:keepNext/>
      <w:keepLines/>
      <w:spacing w:before="160"/>
      <w:outlineLvl w:val="4"/>
    </w:pPr>
    <w:rPr>
      <w:rFonts w:ascii="Trebuchet MS" w:eastAsia="Trebuchet MS" w:hAnsi="Trebuchet MS" w:cs="Trebuchet MS"/>
      <w:color w:val="666666"/>
    </w:rPr>
  </w:style>
  <w:style w:type="paragraph" w:styleId="Heading6">
    <w:name w:val="heading 6"/>
    <w:basedOn w:val="Normal"/>
    <w:next w:val="Normal"/>
    <w:uiPriority w:val="9"/>
    <w:semiHidden/>
    <w:unhideWhenUsed/>
    <w:qFormat/>
    <w:pPr>
      <w:keepNext/>
      <w:keepLines/>
      <w:spacing w:before="160"/>
      <w:outlineLvl w:val="5"/>
    </w:pPr>
    <w:rPr>
      <w:rFonts w:ascii="Trebuchet MS" w:eastAsia="Trebuchet MS" w:hAnsi="Trebuchet MS" w:cs="Trebuchet MS"/>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spacing w:before="0" w:line="240" w:lineRule="auto"/>
      <w:ind w:left="0" w:firstLine="15"/>
    </w:pPr>
    <w:rPr>
      <w:rFonts w:ascii="Economica" w:eastAsia="Economica" w:hAnsi="Economica" w:cs="Economica"/>
      <w:sz w:val="60"/>
      <w:szCs w:val="60"/>
    </w:rPr>
  </w:style>
  <w:style w:type="paragraph" w:styleId="Subtitle">
    <w:name w:val="Subtitle"/>
    <w:basedOn w:val="Normal"/>
    <w:next w:val="Normal"/>
    <w:uiPriority w:val="11"/>
    <w:qFormat/>
    <w:pPr>
      <w:spacing w:before="0" w:line="240" w:lineRule="auto"/>
    </w:pPr>
    <w:rPr>
      <w:rFonts w:ascii="Economica" w:eastAsia="Economica" w:hAnsi="Economica" w:cs="Economica"/>
      <w:color w:val="999999"/>
      <w:sz w:val="28"/>
      <w:szCs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www.forbes.com/sites/georgkell/2022/12/05/from-emissions-cheater-to-climate-leader-vws-journey-from-dieselgate-to-embracing-e-mobility/?utm_source=chatgpt.com" TargetMode="External" /><Relationship Id="rId13" Type="http://schemas.openxmlformats.org/officeDocument/2006/relationships/footer" Target="footer1.xml" /><Relationship Id="rId3" Type="http://schemas.openxmlformats.org/officeDocument/2006/relationships/webSettings" Target="webSettings.xml" /><Relationship Id="rId7" Type="http://schemas.openxmlformats.org/officeDocument/2006/relationships/image" Target="media/image2.jpg" /><Relationship Id="rId12" Type="http://schemas.openxmlformats.org/officeDocument/2006/relationships/header" Target="header1.xml" /><Relationship Id="rId17" Type="http://schemas.openxmlformats.org/officeDocument/2006/relationships/theme" Target="theme/theme1.xml" /><Relationship Id="rId2" Type="http://schemas.openxmlformats.org/officeDocument/2006/relationships/settings" Target="settings.xml" /><Relationship Id="rId16" Type="http://schemas.openxmlformats.org/officeDocument/2006/relationships/fontTable" Target="fontTable.xml" /><Relationship Id="rId1" Type="http://schemas.openxmlformats.org/officeDocument/2006/relationships/styles" Target="styles.xml" /><Relationship Id="rId6" Type="http://schemas.openxmlformats.org/officeDocument/2006/relationships/image" Target="media/image1.png" /><Relationship Id="rId11" Type="http://schemas.openxmlformats.org/officeDocument/2006/relationships/hyperlink" Target="https://www.youtube.com/watch?v=2NsBcVrPQok" TargetMode="External" /><Relationship Id="rId5" Type="http://schemas.openxmlformats.org/officeDocument/2006/relationships/endnotes" Target="endnotes.xml" /><Relationship Id="rId15" Type="http://schemas.openxmlformats.org/officeDocument/2006/relationships/footer" Target="footer2.xml" /><Relationship Id="rId10" Type="http://schemas.openxmlformats.org/officeDocument/2006/relationships/hyperlink" Target="https://www.theguardian.com/environment/2015/oct/29/vw-emissions-estimated-to-cause-59-premature-us-deaths" TargetMode="External" /><Relationship Id="rId4" Type="http://schemas.openxmlformats.org/officeDocument/2006/relationships/footnotes" Target="footnotes.xml" /><Relationship Id="rId9" Type="http://schemas.openxmlformats.org/officeDocument/2006/relationships/hyperlink" Target="https://www.forbes.com/sites/georgkell/2022/12/05/from-emissions-cheater-to-climate-leader-vws-journey-from-dieselgate-to-embracing-e-mobility/?utm_source=chatgpt.com" TargetMode="External" /><Relationship Id="rId14" Type="http://schemas.openxmlformats.org/officeDocument/2006/relationships/header" Target="header2.xml" /></Relationships>
</file>

<file path=word/_rels/fontTable.xml.rels><?xml version="1.0" encoding="UTF-8" standalone="yes"?>
<Relationships xmlns="http://schemas.openxmlformats.org/package/2006/relationships"><Relationship Id="rId8" Type="http://schemas.openxmlformats.org/officeDocument/2006/relationships/font" Target="fonts/font8.odttf" /><Relationship Id="rId3" Type="http://schemas.openxmlformats.org/officeDocument/2006/relationships/font" Target="fonts/font3.odttf" /><Relationship Id="rId2" Type="http://schemas.openxmlformats.org/officeDocument/2006/relationships/font" Target="fonts/font2.odttf" /><Relationship Id="rId1" Type="http://schemas.openxmlformats.org/officeDocument/2006/relationships/font" Target="fonts/font1.odttf" /><Relationship Id="rId5" Type="http://schemas.openxmlformats.org/officeDocument/2006/relationships/font" Target="fonts/font5.odttf" /><Relationship Id="rId4" Type="http://schemas.openxmlformats.org/officeDocument/2006/relationships/font" Target="fonts/font4.odttf" /><Relationship Id="rId9" Type="http://schemas.openxmlformats.org/officeDocument/2006/relationships/font" Target="fonts/font9.odttf" /></Relationships>
</file>

<file path=word/_rels/footer1.xml.rels><?xml version="1.0" encoding="UTF-8" standalone="yes"?>
<Relationships xmlns="http://schemas.openxmlformats.org/package/2006/relationships"><Relationship Id="rId1" Type="http://schemas.openxmlformats.org/officeDocument/2006/relationships/image" Target="media/image3.png" /></Relationships>
</file>

<file path=word/_rels/footer2.xml.rels><?xml version="1.0" encoding="UTF-8" standalone="yes"?>
<Relationships xmlns="http://schemas.openxmlformats.org/package/2006/relationships"><Relationship Id="rId1" Type="http://schemas.openxmlformats.org/officeDocument/2006/relationships/image" Target="media/image3.png" /></Relationships>
</file>

<file path=word/_rels/header1.xml.rels><?xml version="1.0" encoding="UTF-8" standalone="yes"?>
<Relationships xmlns="http://schemas.openxmlformats.org/package/2006/relationships"><Relationship Id="rId1" Type="http://schemas.openxmlformats.org/officeDocument/2006/relationships/image" Target="media/image3.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Pages>
  <Words>782</Words>
  <Characters>4463</Characters>
  <Application>Microsoft Office Word</Application>
  <DocSecurity>0</DocSecurity>
  <Lines>37</Lines>
  <Paragraphs>10</Paragraphs>
  <ScaleCrop>false</ScaleCrop>
  <Company/>
  <LinksUpToDate>false</LinksUpToDate>
  <CharactersWithSpaces>5235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Iosif Minisan</cp:lastModifiedBy>
  <cp:revision>2</cp:revision>
  <dcterms:created xsi:type="dcterms:W3CDTF">2025-11-14T18:25:00Z</dcterms:created>
  <dcterms:modified xsi:type="dcterms:W3CDTF">2025-11-14T18:25:00Z</dcterms:modified>
</cp:coreProperties>
</file>