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26F4081C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EA2FC6">
        <w:rPr>
          <w:rFonts w:ascii="Aptos" w:hAnsi="Aptos" w:cs="Arial"/>
          <w:sz w:val="28"/>
          <w:szCs w:val="28"/>
          <w:lang w:val="nl-NL"/>
        </w:rPr>
        <w:t xml:space="preserve"> Iqra </w:t>
      </w:r>
      <w:r w:rsidR="00697A4D">
        <w:rPr>
          <w:rFonts w:ascii="Aptos" w:hAnsi="Aptos" w:cs="Arial"/>
          <w:sz w:val="28"/>
          <w:szCs w:val="28"/>
          <w:lang w:val="nl-NL"/>
        </w:rPr>
        <w:t>Mohammad</w:t>
      </w:r>
      <w:r w:rsidR="00EA2FC6">
        <w:rPr>
          <w:rFonts w:ascii="Aptos" w:hAnsi="Aptos" w:cs="Arial"/>
          <w:sz w:val="28"/>
          <w:szCs w:val="28"/>
          <w:lang w:val="nl-NL"/>
        </w:rPr>
        <w:t xml:space="preserve"> </w:t>
      </w:r>
    </w:p>
    <w:p w14:paraId="4D060E17" w14:textId="3FBD2D06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EA2FC6">
        <w:rPr>
          <w:rFonts w:ascii="Aptos" w:hAnsi="Aptos" w:cs="Arial"/>
          <w:sz w:val="28"/>
          <w:szCs w:val="28"/>
          <w:lang w:val="nl-NL"/>
        </w:rPr>
        <w:t xml:space="preserve"> </w:t>
      </w:r>
      <w:r w:rsidR="00697A4D" w:rsidRPr="00697A4D">
        <w:rPr>
          <w:rFonts w:ascii="Arial" w:hAnsi="Arial" w:cs="Arial"/>
          <w:color w:val="000000" w:themeColor="text1"/>
        </w:rPr>
        <w:t>2325946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1A1A0504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r w:rsidR="00697A4D">
        <w:rPr>
          <w:rFonts w:ascii="Aptos" w:hAnsi="Aptos" w:cs="Arial"/>
          <w:sz w:val="28"/>
          <w:szCs w:val="28"/>
          <w:lang w:val="nl-NL"/>
        </w:rPr>
        <w:t xml:space="preserve">Independent project </w:t>
      </w:r>
    </w:p>
    <w:p w14:paraId="41A4DC93" w14:textId="3CB4520D" w:rsidR="00C31D85" w:rsidRPr="00EA2FC6" w:rsidRDefault="00C31D85" w:rsidP="00EA2FC6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  <w:sectPr w:rsidR="00C31D85" w:rsidRPr="00EA2FC6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="00697A4D">
        <w:rPr>
          <w:rFonts w:ascii="Aptos" w:hAnsi="Aptos" w:cs="Arial"/>
          <w:b/>
          <w:bCs/>
          <w:sz w:val="28"/>
          <w:szCs w:val="28"/>
        </w:rPr>
        <w:t xml:space="preserve">:    </w:t>
      </w:r>
      <w:r w:rsidR="00697A4D" w:rsidRPr="00697A4D">
        <w:rPr>
          <w:rFonts w:ascii="Aptos" w:hAnsi="Aptos" w:cs="Arial"/>
          <w:sz w:val="28"/>
          <w:szCs w:val="28"/>
        </w:rPr>
        <w:t>BMHP6020</w:t>
      </w:r>
    </w:p>
    <w:p w14:paraId="53F82A21" w14:textId="15BD287D" w:rsidR="00C31D85" w:rsidRDefault="00F3050C" w:rsidP="00EA2FC6">
      <w:pPr>
        <w:jc w:val="center"/>
        <w:sectPr w:rsidR="00C31D85" w:rsidSect="00EA2FC6">
          <w:pgSz w:w="12240" w:h="15840" w:code="1"/>
          <w:pgMar w:top="720" w:right="720" w:bottom="720" w:left="576" w:header="432" w:footer="288" w:gutter="0"/>
          <w:cols w:space="720"/>
          <w:titlePg/>
          <w:docGrid w:linePitch="360"/>
        </w:sectPr>
      </w:pPr>
      <w:r>
        <w:rPr>
          <w:noProof/>
        </w:rPr>
        <w:lastRenderedPageBreak/>
        <w:drawing>
          <wp:inline distT="0" distB="0" distL="0" distR="0" wp14:anchorId="14C6EE0C" wp14:editId="5DE6B930">
            <wp:extent cx="6462395" cy="9144000"/>
            <wp:effectExtent l="0" t="0" r="1905" b="0"/>
            <wp:docPr id="1672271849" name="Picture 5" descr="A blue and white post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271849" name="Picture 5" descr="A blue and white poster with tex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39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8BCE4" w14:textId="77777777" w:rsidR="00BD7F0D" w:rsidRDefault="00F3050C" w:rsidP="00BD7F0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65DE2769" wp14:editId="525FB03A">
            <wp:extent cx="6462395" cy="9144000"/>
            <wp:effectExtent l="0" t="0" r="1905" b="0"/>
            <wp:docPr id="648338978" name="Picture 6" descr="A poster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338978" name="Picture 6" descr="A poster of a documen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39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DC316" w14:textId="77777777" w:rsidR="00BD7F0D" w:rsidRDefault="00BD7F0D" w:rsidP="00BD7F0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89BBCE1" w14:textId="0D634FEC" w:rsidR="00ED1049" w:rsidRPr="00BD7F0D" w:rsidRDefault="00ED1049" w:rsidP="00BD7F0D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364E780A" w14:textId="39940913" w:rsidR="00EB6F36" w:rsidRPr="00F3050C" w:rsidRDefault="00EB6F36" w:rsidP="00C46111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    </w:t>
      </w:r>
    </w:p>
    <w:p w14:paraId="334976EA" w14:textId="77777777" w:rsidR="00F3050C" w:rsidRPr="00F3050C" w:rsidRDefault="00F3050C" w:rsidP="009779CB">
      <w:pPr>
        <w:pStyle w:val="NormalWeb"/>
        <w:rPr>
          <w:rFonts w:ascii="Arial" w:hAnsi="Arial" w:cs="Arial"/>
          <w:sz w:val="22"/>
          <w:szCs w:val="22"/>
        </w:rPr>
      </w:pPr>
      <w:r w:rsidRPr="00F3050C">
        <w:rPr>
          <w:rFonts w:ascii="Arial" w:hAnsi="Arial" w:cs="Arial"/>
          <w:sz w:val="22"/>
          <w:szCs w:val="22"/>
        </w:rPr>
        <w:t xml:space="preserve">Aveyard, H. (2023) Doing a Literature Review in Health and Social Care: A Practical Guide. 5th </w:t>
      </w:r>
      <w:proofErr w:type="spellStart"/>
      <w:r w:rsidRPr="00F3050C">
        <w:rPr>
          <w:rFonts w:ascii="Arial" w:hAnsi="Arial" w:cs="Arial"/>
          <w:sz w:val="22"/>
          <w:szCs w:val="22"/>
        </w:rPr>
        <w:t>edn</w:t>
      </w:r>
      <w:proofErr w:type="spellEnd"/>
      <w:r w:rsidRPr="00F3050C">
        <w:rPr>
          <w:rFonts w:ascii="Arial" w:hAnsi="Arial" w:cs="Arial"/>
          <w:sz w:val="22"/>
          <w:szCs w:val="22"/>
        </w:rPr>
        <w:t xml:space="preserve">. Maidenhead: Open University Press. Available at: </w:t>
      </w:r>
      <w:hyperlink r:id="rId16" w:history="1">
        <w:r w:rsidRPr="00F3050C">
          <w:rPr>
            <w:rStyle w:val="Hyperlink"/>
            <w:rFonts w:ascii="Arial" w:hAnsi="Arial" w:cs="Arial"/>
            <w:color w:val="auto"/>
            <w:sz w:val="22"/>
            <w:szCs w:val="22"/>
          </w:rPr>
          <w:t>https://www.mheducation.co.uk/doing-a-literature-review-in-health-and-social-care-a-practical-guide-5e-9780335251940-emea-group</w:t>
        </w:r>
      </w:hyperlink>
      <w:r w:rsidRPr="00F3050C">
        <w:rPr>
          <w:rFonts w:ascii="Arial" w:hAnsi="Arial" w:cs="Arial"/>
          <w:sz w:val="22"/>
          <w:szCs w:val="22"/>
        </w:rPr>
        <w:t xml:space="preserve"> (Accessed: 12 October 2026).</w:t>
      </w:r>
    </w:p>
    <w:p w14:paraId="2463B19F" w14:textId="77777777" w:rsidR="00F3050C" w:rsidRPr="00F3050C" w:rsidRDefault="00F3050C" w:rsidP="009779CB">
      <w:pPr>
        <w:pStyle w:val="NormalWeb"/>
        <w:rPr>
          <w:rFonts w:ascii="Arial" w:hAnsi="Arial" w:cs="Arial"/>
          <w:sz w:val="22"/>
          <w:szCs w:val="22"/>
        </w:rPr>
      </w:pPr>
      <w:r w:rsidRPr="00F3050C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Blakeslee, S. (2004)</w:t>
      </w:r>
      <w:r w:rsidRPr="00F3050C">
        <w:rPr>
          <w:rFonts w:ascii="Arial" w:hAnsi="Arial" w:cs="Arial"/>
          <w:sz w:val="22"/>
          <w:szCs w:val="22"/>
        </w:rPr>
        <w:t xml:space="preserve"> ‘The CRAAP Test’, </w:t>
      </w:r>
      <w:r w:rsidRPr="00F3050C">
        <w:rPr>
          <w:rStyle w:val="Emphasis"/>
          <w:rFonts w:ascii="Arial" w:eastAsiaTheme="majorEastAsia" w:hAnsi="Arial" w:cs="Arial"/>
          <w:sz w:val="22"/>
          <w:szCs w:val="22"/>
        </w:rPr>
        <w:t>LOEX Quarterly</w:t>
      </w:r>
      <w:r w:rsidRPr="00F3050C">
        <w:rPr>
          <w:rFonts w:ascii="Arial" w:hAnsi="Arial" w:cs="Arial"/>
          <w:sz w:val="22"/>
          <w:szCs w:val="22"/>
        </w:rPr>
        <w:t xml:space="preserve">, 31(3), Article 4. Available at: </w:t>
      </w:r>
      <w:hyperlink r:id="rId17" w:history="1">
        <w:r w:rsidRPr="00F3050C">
          <w:rPr>
            <w:rStyle w:val="Hyperlink"/>
            <w:rFonts w:ascii="Arial" w:hAnsi="Arial" w:cs="Arial"/>
            <w:color w:val="auto"/>
            <w:sz w:val="22"/>
            <w:szCs w:val="22"/>
          </w:rPr>
          <w:t>https://commons.emich.edu/loexquarterly/vol31/iss3/4/</w:t>
        </w:r>
      </w:hyperlink>
      <w:r w:rsidRPr="00F3050C">
        <w:rPr>
          <w:rFonts w:ascii="Arial" w:hAnsi="Arial" w:cs="Arial"/>
          <w:sz w:val="22"/>
          <w:szCs w:val="22"/>
        </w:rPr>
        <w:t xml:space="preserve"> (Accessed: 12 October 2026).</w:t>
      </w:r>
    </w:p>
    <w:p w14:paraId="1FA1E699" w14:textId="5B01A341" w:rsidR="00F3050C" w:rsidRPr="00F3050C" w:rsidRDefault="00F3050C" w:rsidP="009779CB">
      <w:pPr>
        <w:pStyle w:val="NormalWeb"/>
        <w:rPr>
          <w:rFonts w:ascii="Arial" w:hAnsi="Arial" w:cs="Arial"/>
          <w:sz w:val="22"/>
          <w:szCs w:val="22"/>
        </w:rPr>
      </w:pPr>
      <w:r w:rsidRPr="00F3050C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Braun, V. and Clarke, V. (2006)</w:t>
      </w:r>
      <w:r w:rsidRPr="00F3050C">
        <w:rPr>
          <w:rFonts w:ascii="Arial" w:hAnsi="Arial" w:cs="Arial"/>
          <w:sz w:val="22"/>
          <w:szCs w:val="22"/>
        </w:rPr>
        <w:t xml:space="preserve"> ‘Using thematic analysis in psychology’, </w:t>
      </w:r>
      <w:r w:rsidRPr="00F3050C">
        <w:rPr>
          <w:rStyle w:val="Emphasis"/>
          <w:rFonts w:ascii="Arial" w:eastAsiaTheme="majorEastAsia" w:hAnsi="Arial" w:cs="Arial"/>
          <w:sz w:val="22"/>
          <w:szCs w:val="22"/>
        </w:rPr>
        <w:t>Qualitative Research in Psychology</w:t>
      </w:r>
      <w:r w:rsidRPr="00F3050C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F3050C">
          <w:rPr>
            <w:rStyle w:val="Hyperlink"/>
            <w:rFonts w:ascii="Arial" w:hAnsi="Arial" w:cs="Arial"/>
            <w:color w:val="auto"/>
            <w:sz w:val="22"/>
            <w:szCs w:val="22"/>
          </w:rPr>
          <w:t>https://uwe-repository.worktribe.com/output/1043060</w:t>
        </w:r>
      </w:hyperlink>
      <w:r w:rsidRPr="00F3050C">
        <w:rPr>
          <w:rFonts w:ascii="Arial" w:hAnsi="Arial" w:cs="Arial"/>
          <w:sz w:val="22"/>
          <w:szCs w:val="22"/>
        </w:rPr>
        <w:t xml:space="preserve"> (Accessed: 12 October 2026).</w:t>
      </w:r>
    </w:p>
    <w:p w14:paraId="21183A26" w14:textId="77777777" w:rsidR="00F3050C" w:rsidRPr="00F3050C" w:rsidRDefault="00F3050C" w:rsidP="00C46111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Great Britain (2018) Data Protection Act 2018, c. 12. London: The Stationery Office. Available at: </w:t>
      </w:r>
      <w:hyperlink r:id="rId19" w:history="1">
        <w:r w:rsidRPr="00F3050C">
          <w:rPr>
            <w:rStyle w:val="Hyperlink"/>
            <w:rFonts w:ascii="Arial" w:hAnsi="Arial" w:cs="Arial"/>
            <w:color w:val="auto"/>
          </w:rPr>
          <w:t>https://www.legislation.gov.uk/ukpga/2018/12/contents</w:t>
        </w:r>
      </w:hyperlink>
      <w:r w:rsidRPr="00F3050C">
        <w:rPr>
          <w:rFonts w:ascii="Arial" w:hAnsi="Arial" w:cs="Arial"/>
        </w:rPr>
        <w:t xml:space="preserve"> (Accessed: 12 October 2026).</w:t>
      </w:r>
    </w:p>
    <w:p w14:paraId="397B90FB" w14:textId="77777777" w:rsidR="00F3050C" w:rsidRPr="00F3050C" w:rsidRDefault="00F3050C" w:rsidP="00C46111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Health Research Authority (HRA) (2022) Guidance for using patient data. Available at: </w:t>
      </w:r>
      <w:hyperlink r:id="rId20" w:history="1">
        <w:r w:rsidRPr="00F3050C">
          <w:rPr>
            <w:rStyle w:val="Hyperlink"/>
            <w:rFonts w:ascii="Arial" w:hAnsi="Arial" w:cs="Arial"/>
            <w:color w:val="auto"/>
          </w:rPr>
          <w:t>https://www.hra.nhs.uk/covid-</w:t>
        </w:r>
        <w:r w:rsidRPr="00F3050C">
          <w:rPr>
            <w:rStyle w:val="Hyperlink"/>
            <w:rFonts w:ascii="Arial" w:hAnsi="Arial" w:cs="Arial"/>
            <w:color w:val="auto"/>
          </w:rPr>
          <w:t>1</w:t>
        </w:r>
        <w:r w:rsidRPr="00F3050C">
          <w:rPr>
            <w:rStyle w:val="Hyperlink"/>
            <w:rFonts w:ascii="Arial" w:hAnsi="Arial" w:cs="Arial"/>
            <w:color w:val="auto"/>
          </w:rPr>
          <w:t>9-research/guidance-using-patient-data/</w:t>
        </w:r>
      </w:hyperlink>
      <w:r w:rsidRPr="00F3050C">
        <w:rPr>
          <w:rFonts w:ascii="Arial" w:hAnsi="Arial" w:cs="Arial"/>
        </w:rPr>
        <w:t xml:space="preserve"> (Accessed: 12 October 2026). Change this on poster </w:t>
      </w:r>
    </w:p>
    <w:p w14:paraId="5475CA78" w14:textId="77777777" w:rsidR="00F3050C" w:rsidRPr="00F3050C" w:rsidRDefault="00F3050C" w:rsidP="00C46111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Health Research Authority (HRA) (2026) Applying a proportionate approach to seeking and evidencing informed consent in health and social care research. Available at: </w:t>
      </w:r>
      <w:hyperlink r:id="rId21" w:history="1">
        <w:r w:rsidRPr="00F3050C">
          <w:rPr>
            <w:rStyle w:val="Hyperlink"/>
            <w:rFonts w:ascii="Arial" w:hAnsi="Arial" w:cs="Arial"/>
            <w:color w:val="auto"/>
          </w:rPr>
          <w:t>https://www.hra.nhs.uk/planning-and-improving-research/best-practice/informing-participants-and-seeking-consent/applying-a-proportionate-approach-to-seeking-and-evidencing-informed-con</w:t>
        </w:r>
        <w:r w:rsidRPr="00F3050C">
          <w:rPr>
            <w:rStyle w:val="Hyperlink"/>
            <w:rFonts w:ascii="Arial" w:hAnsi="Arial" w:cs="Arial"/>
            <w:color w:val="auto"/>
          </w:rPr>
          <w:t>s</w:t>
        </w:r>
        <w:r w:rsidRPr="00F3050C">
          <w:rPr>
            <w:rStyle w:val="Hyperlink"/>
            <w:rFonts w:ascii="Arial" w:hAnsi="Arial" w:cs="Arial"/>
            <w:color w:val="auto"/>
          </w:rPr>
          <w:t>ent-in-health-and-social-care-research/</w:t>
        </w:r>
      </w:hyperlink>
      <w:r w:rsidRPr="00F3050C">
        <w:rPr>
          <w:rFonts w:ascii="Arial" w:hAnsi="Arial" w:cs="Arial"/>
        </w:rPr>
        <w:t xml:space="preserve"> (Accessed 12 October 2026). Change this on poster </w:t>
      </w:r>
    </w:p>
    <w:p w14:paraId="45E53CE7" w14:textId="77777777" w:rsidR="00F3050C" w:rsidRPr="00F3050C" w:rsidRDefault="00F3050C" w:rsidP="00EA2FC6">
      <w:pPr>
        <w:pStyle w:val="NormalWeb"/>
        <w:rPr>
          <w:rFonts w:ascii="Arial" w:hAnsi="Arial" w:cs="Arial"/>
          <w:sz w:val="22"/>
          <w:szCs w:val="22"/>
        </w:rPr>
      </w:pPr>
      <w:r w:rsidRPr="00F3050C">
        <w:rPr>
          <w:rFonts w:ascii="Arial" w:hAnsi="Arial" w:cs="Arial"/>
          <w:sz w:val="22"/>
          <w:szCs w:val="22"/>
        </w:rPr>
        <w:t xml:space="preserve">Office for National Statistics (ONS) (2025) Healthy life expectancy by national area deprivation, England and Wales: between 2013 to 2015 and 2020 to 2022. Available at: </w:t>
      </w:r>
      <w:hyperlink r:id="rId22" w:history="1">
        <w:r w:rsidRPr="00F3050C">
          <w:rPr>
            <w:rStyle w:val="Hyperlink"/>
            <w:rFonts w:ascii="Arial" w:hAnsi="Arial" w:cs="Arial"/>
            <w:color w:val="auto"/>
            <w:sz w:val="22"/>
            <w:szCs w:val="22"/>
          </w:rPr>
          <w:t>https://www.ons.gov.uk/peoplepopulationandcommunity/healthandsocialcare/healthinequalities/bulletins/healthylifeexpectancybynationalareadeprivationenglandandwales/between2013to2015and2020to2022</w:t>
        </w:r>
      </w:hyperlink>
      <w:r w:rsidRPr="00F3050C">
        <w:rPr>
          <w:rFonts w:ascii="Arial" w:hAnsi="Arial" w:cs="Arial"/>
          <w:sz w:val="22"/>
          <w:szCs w:val="22"/>
        </w:rPr>
        <w:t xml:space="preserve"> (Accessed : 12 October 2026).</w:t>
      </w:r>
    </w:p>
    <w:p w14:paraId="065E458F" w14:textId="77777777" w:rsidR="00F3050C" w:rsidRPr="00F3050C" w:rsidRDefault="00F3050C" w:rsidP="00C46111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UK Research Integrity Office (UKRIO) (2025) Code of Practice for Research. Available at: </w:t>
      </w:r>
      <w:hyperlink r:id="rId23" w:history="1">
        <w:r w:rsidRPr="00F3050C">
          <w:rPr>
            <w:rStyle w:val="Hyperlink"/>
            <w:rFonts w:ascii="Arial" w:hAnsi="Arial" w:cs="Arial"/>
            <w:color w:val="auto"/>
          </w:rPr>
          <w:t>https://ukrio.org/ukrio-resources/publications/code-of-practice-for-research</w:t>
        </w:r>
      </w:hyperlink>
      <w:r w:rsidRPr="00F3050C">
        <w:rPr>
          <w:rFonts w:ascii="Arial" w:hAnsi="Arial" w:cs="Arial"/>
        </w:rPr>
        <w:t xml:space="preserve"> (Accessed: 12 October 2026).</w:t>
      </w:r>
    </w:p>
    <w:p w14:paraId="699F380B" w14:textId="77777777" w:rsidR="00F3050C" w:rsidRPr="00F3050C" w:rsidRDefault="00F3050C" w:rsidP="009779CB">
      <w:pPr>
        <w:rPr>
          <w:rFonts w:ascii="Arial" w:hAnsi="Arial" w:cs="Arial"/>
        </w:rPr>
      </w:pPr>
      <w:r w:rsidRPr="00F3050C">
        <w:rPr>
          <w:rFonts w:ascii="Arial" w:hAnsi="Arial" w:cs="Arial"/>
        </w:rPr>
        <w:t xml:space="preserve">University of Leeds Library (n.d.) Develop a search strategy. Available at: </w:t>
      </w:r>
      <w:hyperlink r:id="rId24" w:history="1">
        <w:r w:rsidRPr="00F3050C">
          <w:rPr>
            <w:rStyle w:val="Hyperlink"/>
            <w:rFonts w:ascii="Arial" w:hAnsi="Arial" w:cs="Arial"/>
            <w:color w:val="auto"/>
          </w:rPr>
          <w:t>https://library.leeds.ac.uk/info/1404/literature_searching/14/literature_searching_explained/4</w:t>
        </w:r>
      </w:hyperlink>
      <w:r w:rsidRPr="00F3050C">
        <w:rPr>
          <w:rFonts w:ascii="Arial" w:hAnsi="Arial" w:cs="Arial"/>
        </w:rPr>
        <w:t xml:space="preserve"> (Accessed: 12 October 2026). </w:t>
      </w:r>
    </w:p>
    <w:sectPr w:rsidR="00F3050C" w:rsidRPr="00F3050C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6452E" w14:textId="77777777" w:rsidR="00311426" w:rsidRDefault="00311426" w:rsidP="00D210FA">
      <w:pPr>
        <w:spacing w:after="0"/>
      </w:pPr>
      <w:r>
        <w:separator/>
      </w:r>
    </w:p>
  </w:endnote>
  <w:endnote w:type="continuationSeparator" w:id="0">
    <w:p w14:paraId="301799FF" w14:textId="77777777" w:rsidR="00311426" w:rsidRDefault="00311426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A63F8" w14:textId="77777777" w:rsidR="00311426" w:rsidRDefault="00311426" w:rsidP="00D210FA">
      <w:pPr>
        <w:spacing w:after="0"/>
      </w:pPr>
      <w:r>
        <w:separator/>
      </w:r>
    </w:p>
  </w:footnote>
  <w:footnote w:type="continuationSeparator" w:id="0">
    <w:p w14:paraId="491181F2" w14:textId="77777777" w:rsidR="00311426" w:rsidRDefault="00311426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4E3002B"/>
    <w:multiLevelType w:val="hybridMultilevel"/>
    <w:tmpl w:val="5B18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A3EBE"/>
    <w:multiLevelType w:val="hybridMultilevel"/>
    <w:tmpl w:val="EA4AC7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8ED450D"/>
    <w:multiLevelType w:val="multilevel"/>
    <w:tmpl w:val="88022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E74A9E"/>
    <w:multiLevelType w:val="hybridMultilevel"/>
    <w:tmpl w:val="964AFE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6"/>
  </w:num>
  <w:num w:numId="2" w16cid:durableId="66732129">
    <w:abstractNumId w:val="3"/>
  </w:num>
  <w:num w:numId="3" w16cid:durableId="1791968620">
    <w:abstractNumId w:val="15"/>
  </w:num>
  <w:num w:numId="4" w16cid:durableId="67852329">
    <w:abstractNumId w:val="16"/>
  </w:num>
  <w:num w:numId="5" w16cid:durableId="825783799">
    <w:abstractNumId w:val="10"/>
  </w:num>
  <w:num w:numId="6" w16cid:durableId="1203637911">
    <w:abstractNumId w:val="9"/>
  </w:num>
  <w:num w:numId="7" w16cid:durableId="1393117886">
    <w:abstractNumId w:val="13"/>
  </w:num>
  <w:num w:numId="8" w16cid:durableId="546726307">
    <w:abstractNumId w:val="12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7"/>
  </w:num>
  <w:num w:numId="12" w16cid:durableId="212468278">
    <w:abstractNumId w:val="1"/>
  </w:num>
  <w:num w:numId="13" w16cid:durableId="537133619">
    <w:abstractNumId w:val="14"/>
  </w:num>
  <w:num w:numId="14" w16cid:durableId="975259469">
    <w:abstractNumId w:val="8"/>
  </w:num>
  <w:num w:numId="15" w16cid:durableId="536239894">
    <w:abstractNumId w:val="4"/>
  </w:num>
  <w:num w:numId="16" w16cid:durableId="1108043737">
    <w:abstractNumId w:val="5"/>
  </w:num>
  <w:num w:numId="17" w16cid:durableId="1743139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3B85"/>
    <w:rsid w:val="0008782A"/>
    <w:rsid w:val="000A065A"/>
    <w:rsid w:val="000E56ED"/>
    <w:rsid w:val="00106FC5"/>
    <w:rsid w:val="00120DEC"/>
    <w:rsid w:val="00123C19"/>
    <w:rsid w:val="001A2DAB"/>
    <w:rsid w:val="001C55B6"/>
    <w:rsid w:val="001D6CC4"/>
    <w:rsid w:val="00206405"/>
    <w:rsid w:val="002341AD"/>
    <w:rsid w:val="00253267"/>
    <w:rsid w:val="002823CD"/>
    <w:rsid w:val="00287787"/>
    <w:rsid w:val="00291685"/>
    <w:rsid w:val="0029329C"/>
    <w:rsid w:val="002B0A3D"/>
    <w:rsid w:val="002F26AB"/>
    <w:rsid w:val="003007A7"/>
    <w:rsid w:val="00311426"/>
    <w:rsid w:val="003257E1"/>
    <w:rsid w:val="00325DEC"/>
    <w:rsid w:val="00346D56"/>
    <w:rsid w:val="00346FFA"/>
    <w:rsid w:val="00385494"/>
    <w:rsid w:val="003A3069"/>
    <w:rsid w:val="003C20B5"/>
    <w:rsid w:val="003E545F"/>
    <w:rsid w:val="003F02D6"/>
    <w:rsid w:val="003F03D2"/>
    <w:rsid w:val="003F1E1A"/>
    <w:rsid w:val="004045E5"/>
    <w:rsid w:val="00421496"/>
    <w:rsid w:val="00422C27"/>
    <w:rsid w:val="00430B62"/>
    <w:rsid w:val="0044367C"/>
    <w:rsid w:val="0044412C"/>
    <w:rsid w:val="004642F0"/>
    <w:rsid w:val="0046756D"/>
    <w:rsid w:val="00500564"/>
    <w:rsid w:val="00506D19"/>
    <w:rsid w:val="0051102B"/>
    <w:rsid w:val="00516CC0"/>
    <w:rsid w:val="005475F0"/>
    <w:rsid w:val="00582081"/>
    <w:rsid w:val="005838BC"/>
    <w:rsid w:val="005B57E1"/>
    <w:rsid w:val="005E61E0"/>
    <w:rsid w:val="005F0F31"/>
    <w:rsid w:val="005F2E59"/>
    <w:rsid w:val="005F7D75"/>
    <w:rsid w:val="006024ED"/>
    <w:rsid w:val="0061793F"/>
    <w:rsid w:val="0062123A"/>
    <w:rsid w:val="006605F8"/>
    <w:rsid w:val="006674E3"/>
    <w:rsid w:val="006676A1"/>
    <w:rsid w:val="006833BD"/>
    <w:rsid w:val="00697A4D"/>
    <w:rsid w:val="006D2642"/>
    <w:rsid w:val="006E2D42"/>
    <w:rsid w:val="00720FEE"/>
    <w:rsid w:val="00727D4D"/>
    <w:rsid w:val="00764B6F"/>
    <w:rsid w:val="007B10F4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B0F18"/>
    <w:rsid w:val="008C1616"/>
    <w:rsid w:val="008E3921"/>
    <w:rsid w:val="0090027B"/>
    <w:rsid w:val="00905238"/>
    <w:rsid w:val="0094702A"/>
    <w:rsid w:val="00967DAB"/>
    <w:rsid w:val="009779CB"/>
    <w:rsid w:val="00990E76"/>
    <w:rsid w:val="00991A53"/>
    <w:rsid w:val="00996F4E"/>
    <w:rsid w:val="009F71FE"/>
    <w:rsid w:val="00A27D8D"/>
    <w:rsid w:val="00A31F33"/>
    <w:rsid w:val="00A70A62"/>
    <w:rsid w:val="00A717A6"/>
    <w:rsid w:val="00A71DA8"/>
    <w:rsid w:val="00A90A7A"/>
    <w:rsid w:val="00AB1210"/>
    <w:rsid w:val="00AB5409"/>
    <w:rsid w:val="00AB770D"/>
    <w:rsid w:val="00AF2088"/>
    <w:rsid w:val="00AF5FB0"/>
    <w:rsid w:val="00B0080A"/>
    <w:rsid w:val="00B0538C"/>
    <w:rsid w:val="00B376E4"/>
    <w:rsid w:val="00B37AB8"/>
    <w:rsid w:val="00B418DE"/>
    <w:rsid w:val="00B47FE7"/>
    <w:rsid w:val="00B63573"/>
    <w:rsid w:val="00B67824"/>
    <w:rsid w:val="00BD7F0D"/>
    <w:rsid w:val="00BE15BA"/>
    <w:rsid w:val="00C20ED0"/>
    <w:rsid w:val="00C31D85"/>
    <w:rsid w:val="00C348A8"/>
    <w:rsid w:val="00C34FA0"/>
    <w:rsid w:val="00C46111"/>
    <w:rsid w:val="00C47DCC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E1224D"/>
    <w:rsid w:val="00E41692"/>
    <w:rsid w:val="00E55D74"/>
    <w:rsid w:val="00E81234"/>
    <w:rsid w:val="00E9037E"/>
    <w:rsid w:val="00EA120D"/>
    <w:rsid w:val="00EA2FC6"/>
    <w:rsid w:val="00EA49C3"/>
    <w:rsid w:val="00EB5E14"/>
    <w:rsid w:val="00EB6F36"/>
    <w:rsid w:val="00ED1049"/>
    <w:rsid w:val="00EE19D9"/>
    <w:rsid w:val="00EF26FC"/>
    <w:rsid w:val="00F3050C"/>
    <w:rsid w:val="00F37523"/>
    <w:rsid w:val="00F50168"/>
    <w:rsid w:val="00F50D34"/>
    <w:rsid w:val="00F52F83"/>
    <w:rsid w:val="00F61360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430B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430B62"/>
    <w:rPr>
      <w:i/>
      <w:iCs/>
    </w:rPr>
  </w:style>
  <w:style w:type="character" w:styleId="Hyperlink">
    <w:name w:val="Hyperlink"/>
    <w:basedOn w:val="DefaultParagraphFont"/>
    <w:uiPriority w:val="99"/>
    <w:unhideWhenUsed/>
    <w:rsid w:val="00430B6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2F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uwe-repository.worktribe.com/output/1043060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hra.nhs.uk/planning-and-improving-research/best-practice/informing-participants-and-seeking-consent/applying-a-proportionate-approach-to-seeking-and-evidencing-informed-consent-in-health-and-social-care-research/" TargetMode="Externa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commons.emich.edu/loexquarterly/vol31/iss3/4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heducation.co.uk/doing-a-literature-review-in-health-and-social-care-a-practical-guide-5e-9780335251940-emea-group" TargetMode="External"/><Relationship Id="rId20" Type="http://schemas.openxmlformats.org/officeDocument/2006/relationships/hyperlink" Target="https://www.hra.nhs.uk/covid-19-research/guidance-using-patient-data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library.leeds.ac.uk/info/1404/literature_searching/14/literature_searching_explained/4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ukrio.org/ukrio-resources/publications/code-of-practice-for-research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legislation.gov.uk/ukpga/2018/12/content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www.ons.gov.uk/peoplepopulationandcommunity/healthandsocialcare/healthinequalities/bulletins/healthylifeexpectancybynationalareadeprivationenglandandwales/between2013to2015and2020to202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C:\Users\e.koutsogeorgou\AppData\Roaming\Microsoft\Templates\Education brochure.dotx</Template>
  <TotalTime>0</TotalTime>
  <Pages>4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2026-10-23T10:10:00Z</dcterms:created>
  <dcterms:modified xsi:type="dcterms:W3CDTF">2026-10-23T10:10:00Z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