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2CA75B" w14:textId="77777777" w:rsidR="00F077C4" w:rsidRPr="00F077C4" w:rsidRDefault="00F077C4" w:rsidP="00F077C4">
      <w:pPr>
        <w:spacing w:line="360" w:lineRule="auto"/>
        <w:rPr>
          <w:lang w:val="nl-NL"/>
        </w:rPr>
      </w:pPr>
      <w:r w:rsidRPr="00F077C4">
        <w:rPr>
          <w:lang w:val="nl-NL"/>
        </w:rPr>
        <w:t>Module Code: LCHS4003</w:t>
      </w:r>
    </w:p>
    <w:p w14:paraId="3F1D16AA" w14:textId="77777777" w:rsidR="00F077C4" w:rsidRDefault="00F077C4" w:rsidP="00F077C4">
      <w:pPr>
        <w:spacing w:line="360" w:lineRule="auto"/>
        <w:rPr>
          <w:lang w:val="nl-NL"/>
        </w:rPr>
      </w:pPr>
      <w:r w:rsidRPr="00F077C4">
        <w:rPr>
          <w:lang w:val="nl-NL"/>
        </w:rPr>
        <w:t xml:space="preserve">Student Name: </w:t>
      </w:r>
      <w:proofErr w:type="spellStart"/>
      <w:r w:rsidRPr="00F077C4">
        <w:rPr>
          <w:lang w:val="nl-NL"/>
        </w:rPr>
        <w:t>Aneta</w:t>
      </w:r>
      <w:proofErr w:type="spellEnd"/>
      <w:r w:rsidRPr="00F077C4">
        <w:rPr>
          <w:lang w:val="nl-NL"/>
        </w:rPr>
        <w:t xml:space="preserve"> </w:t>
      </w:r>
      <w:proofErr w:type="spellStart"/>
      <w:r w:rsidRPr="00F077C4">
        <w:rPr>
          <w:lang w:val="nl-NL"/>
        </w:rPr>
        <w:t>Stukova</w:t>
      </w:r>
      <w:proofErr w:type="spellEnd"/>
    </w:p>
    <w:p w14:paraId="5794E189" w14:textId="74B20398" w:rsidR="00F077C4" w:rsidRPr="00F077C4" w:rsidRDefault="00F077C4" w:rsidP="00F077C4">
      <w:pPr>
        <w:spacing w:line="360" w:lineRule="auto"/>
        <w:rPr>
          <w:lang w:val="fr-FR"/>
        </w:rPr>
      </w:pPr>
      <w:proofErr w:type="spellStart"/>
      <w:r w:rsidRPr="00F077C4">
        <w:rPr>
          <w:lang w:val="fr-FR"/>
        </w:rPr>
        <w:t>Lecturer</w:t>
      </w:r>
      <w:proofErr w:type="spellEnd"/>
      <w:r w:rsidRPr="00F077C4">
        <w:rPr>
          <w:lang w:val="fr-FR"/>
        </w:rPr>
        <w:t>: Mark Kani and Pas</w:t>
      </w:r>
      <w:r>
        <w:rPr>
          <w:lang w:val="fr-FR"/>
        </w:rPr>
        <w:t>c</w:t>
      </w:r>
      <w:r w:rsidR="001330BE">
        <w:rPr>
          <w:lang w:val="fr-FR"/>
        </w:rPr>
        <w:t>a</w:t>
      </w:r>
      <w:r>
        <w:rPr>
          <w:lang w:val="fr-FR"/>
        </w:rPr>
        <w:t xml:space="preserve">l </w:t>
      </w:r>
      <w:proofErr w:type="spellStart"/>
      <w:r>
        <w:rPr>
          <w:lang w:val="fr-FR"/>
        </w:rPr>
        <w:t>Navelle</w:t>
      </w:r>
      <w:proofErr w:type="spellEnd"/>
    </w:p>
    <w:p w14:paraId="19848B9C" w14:textId="2EDD8F58" w:rsidR="00F077C4" w:rsidRDefault="00F077C4" w:rsidP="00F077C4">
      <w:pPr>
        <w:spacing w:line="360" w:lineRule="auto"/>
      </w:pPr>
      <w:r w:rsidRPr="00F077C4">
        <w:t>Student ID: 2334961</w:t>
      </w:r>
    </w:p>
    <w:p w14:paraId="5B9A1B41" w14:textId="77777777" w:rsidR="00F077C4" w:rsidRPr="00F077C4" w:rsidRDefault="00F077C4" w:rsidP="00F077C4">
      <w:pPr>
        <w:spacing w:line="360" w:lineRule="auto"/>
      </w:pPr>
    </w:p>
    <w:p w14:paraId="0CECA476" w14:textId="11003715" w:rsidR="00F077C4" w:rsidRPr="00F077C4" w:rsidRDefault="00F077C4" w:rsidP="00F077C4">
      <w:pPr>
        <w:spacing w:line="360" w:lineRule="auto"/>
        <w:rPr>
          <w:b/>
          <w:bCs/>
        </w:rPr>
      </w:pPr>
      <w:r w:rsidRPr="00F077C4">
        <w:rPr>
          <w:b/>
          <w:bCs/>
        </w:rPr>
        <w:t xml:space="preserve">Introduction </w:t>
      </w:r>
    </w:p>
    <w:p w14:paraId="2D1AB074" w14:textId="6FBF0807" w:rsidR="00F077C4" w:rsidRPr="00F077C4" w:rsidRDefault="00F077C4" w:rsidP="00F077C4">
      <w:pPr>
        <w:spacing w:line="360" w:lineRule="auto"/>
      </w:pPr>
      <w:r w:rsidRPr="00F077C4">
        <w:t xml:space="preserve">This assignment explores the case study of Mrs Mann, a 72-year-old </w:t>
      </w:r>
      <w:r w:rsidR="00F90908">
        <w:t>elderly lady</w:t>
      </w:r>
      <w:r w:rsidRPr="00F077C4">
        <w:t xml:space="preserve"> who has recently been discharged from hospital following hip replacement surgery and now receives domiciliary care support in her own home. Mrs Mann lives alone and </w:t>
      </w:r>
      <w:r w:rsidR="00F90908" w:rsidRPr="00F077C4">
        <w:t>be dependent</w:t>
      </w:r>
      <w:r w:rsidRPr="00F077C4">
        <w:t xml:space="preserve"> on a range of health and social care professionals, including care workers, a general practitioner (GP), and a community physiotherapist. Due to her limited English </w:t>
      </w:r>
      <w:r w:rsidR="00F90908" w:rsidRPr="00F077C4">
        <w:t>ability</w:t>
      </w:r>
      <w:r w:rsidRPr="00F077C4">
        <w:t>, she also depends on her daughter to support communication.</w:t>
      </w:r>
    </w:p>
    <w:p w14:paraId="5F8F10F5" w14:textId="1D1A52CD" w:rsidR="00F077C4" w:rsidRPr="00F077C4" w:rsidRDefault="00F077C4" w:rsidP="00F077C4">
      <w:pPr>
        <w:spacing w:line="360" w:lineRule="auto"/>
      </w:pPr>
      <w:r w:rsidRPr="00F077C4">
        <w:t xml:space="preserve">The case highlights key issues within health and social care practice, particularly the </w:t>
      </w:r>
      <w:r w:rsidR="00F90908" w:rsidRPr="00F077C4">
        <w:t>consequence</w:t>
      </w:r>
      <w:r w:rsidRPr="00F077C4">
        <w:t xml:space="preserve"> of effective communication, accurate record-keeping, and collaborative working between professionals. </w:t>
      </w:r>
      <w:r w:rsidR="00F90908" w:rsidRPr="00F077C4">
        <w:t>Affairs</w:t>
      </w:r>
      <w:r w:rsidRPr="00F077C4">
        <w:t xml:space="preserve"> regarding </w:t>
      </w:r>
      <w:r w:rsidR="00F90908" w:rsidRPr="00F077C4">
        <w:t>unreliable</w:t>
      </w:r>
      <w:r w:rsidRPr="00F077C4">
        <w:t xml:space="preserve"> documentation and delayed communication about medication adjustments </w:t>
      </w:r>
      <w:r w:rsidR="00F90908" w:rsidRPr="00F077C4">
        <w:t>establish</w:t>
      </w:r>
      <w:r w:rsidRPr="00F077C4">
        <w:t xml:space="preserve"> how failures in these areas can </w:t>
      </w:r>
      <w:r w:rsidR="00F90908" w:rsidRPr="00F077C4">
        <w:t>harmfully</w:t>
      </w:r>
      <w:r w:rsidRPr="00F077C4">
        <w:t xml:space="preserve"> impact service-user safety and quality of care (NHS England, 2022). This report will discuss the importance of effective communication in Mrs Mann’s care, examine the role of </w:t>
      </w:r>
      <w:r w:rsidR="00F90908" w:rsidRPr="00F077C4">
        <w:t>appropriate</w:t>
      </w:r>
      <w:r w:rsidRPr="00F077C4">
        <w:t xml:space="preserve"> administrative practice and record-keeping, and explore the </w:t>
      </w:r>
      <w:r w:rsidR="00F90908" w:rsidRPr="00F077C4">
        <w:t>respect</w:t>
      </w:r>
      <w:r w:rsidRPr="00F077C4">
        <w:t xml:space="preserve"> of partnership working in </w:t>
      </w:r>
      <w:r w:rsidR="00F90908" w:rsidRPr="00F077C4">
        <w:t>advancing</w:t>
      </w:r>
      <w:r w:rsidRPr="00F077C4">
        <w:t xml:space="preserve"> safe, person-centred care.</w:t>
      </w:r>
    </w:p>
    <w:p w14:paraId="2B72D68B" w14:textId="437F8640" w:rsidR="00F077C4" w:rsidRPr="00F077C4" w:rsidRDefault="00F077C4" w:rsidP="00F077C4">
      <w:pPr>
        <w:spacing w:line="360" w:lineRule="auto"/>
      </w:pPr>
      <w:r w:rsidRPr="00F077C4">
        <w:rPr>
          <w:b/>
          <w:bCs/>
        </w:rPr>
        <w:t xml:space="preserve">Importance of Effective Communication in Mrs Mann’s Care </w:t>
      </w:r>
    </w:p>
    <w:p w14:paraId="02BCCEAA" w14:textId="0E4E2C94" w:rsidR="00F077C4" w:rsidRPr="00F077C4" w:rsidRDefault="00F077C4" w:rsidP="00F077C4">
      <w:pPr>
        <w:spacing w:line="360" w:lineRule="auto"/>
      </w:pPr>
      <w:r w:rsidRPr="00F077C4">
        <w:t>Effective communication is a fundamental component of high-quality health and social care practice, supporting service-user safety, informed decision-making, and positive outcomes (Arnold and Boggs, 2020). In the case of Mrs Mann, effective communication is particularly important due to her limited English proficiency and reliance on her daughter for support. Without appropriate communication strategies, there is an increased risk of misunderstandings, reduced autonomy, and potential harm.</w:t>
      </w:r>
    </w:p>
    <w:p w14:paraId="5D357AA5" w14:textId="1A86EF38" w:rsidR="00F077C4" w:rsidRPr="00F077C4" w:rsidRDefault="00F077C4" w:rsidP="00F077C4">
      <w:pPr>
        <w:spacing w:line="360" w:lineRule="auto"/>
      </w:pPr>
      <w:r w:rsidRPr="00F077C4">
        <w:lastRenderedPageBreak/>
        <w:t xml:space="preserve">Health and social care professionals </w:t>
      </w:r>
      <w:r w:rsidR="00F90908" w:rsidRPr="00F077C4">
        <w:t>absorbed</w:t>
      </w:r>
      <w:r w:rsidRPr="00F077C4">
        <w:t xml:space="preserve"> in Mrs Mann’s care should </w:t>
      </w:r>
      <w:r w:rsidR="00F90908" w:rsidRPr="00F077C4">
        <w:t>guarantee</w:t>
      </w:r>
      <w:r w:rsidRPr="00F077C4">
        <w:t xml:space="preserve"> that communication is clear, respectful, and adapted to her individual needs. This includes using simple language, avoiding medical </w:t>
      </w:r>
      <w:r w:rsidR="00F90908" w:rsidRPr="00F077C4">
        <w:t>language</w:t>
      </w:r>
      <w:r w:rsidRPr="00F077C4">
        <w:t xml:space="preserve">, and regularly checking understanding. Where language barriers exist, professional </w:t>
      </w:r>
      <w:r w:rsidR="00F90908" w:rsidRPr="00F077C4">
        <w:t>translating</w:t>
      </w:r>
      <w:r w:rsidRPr="00F077C4">
        <w:t xml:space="preserve"> services should be offered rather than relying solely on family members. While Mrs Mann’s daughter plays an important </w:t>
      </w:r>
      <w:r w:rsidR="00F90908" w:rsidRPr="00F077C4">
        <w:t>reassuring</w:t>
      </w:r>
      <w:r w:rsidRPr="00F077C4">
        <w:t xml:space="preserve"> role, the use of professional interpreters helps ensure accuracy, maintains confidentiality, and reduces the </w:t>
      </w:r>
      <w:r w:rsidR="00F90908" w:rsidRPr="00F077C4">
        <w:t>expose</w:t>
      </w:r>
      <w:r w:rsidRPr="00F077C4">
        <w:t xml:space="preserve"> of miscommunication (Department of Health and Social Care, 2017). Consent should always be obtained from Mrs Mann before involving her daughter in </w:t>
      </w:r>
      <w:r w:rsidR="00F90908" w:rsidRPr="00F077C4">
        <w:t>consultation</w:t>
      </w:r>
      <w:r w:rsidRPr="00F077C4">
        <w:t xml:space="preserve"> about her care, ensuring that her </w:t>
      </w:r>
      <w:r w:rsidR="00F90908" w:rsidRPr="00F077C4">
        <w:t>independence</w:t>
      </w:r>
      <w:r w:rsidRPr="00F077C4">
        <w:t xml:space="preserve"> and rights are respected.</w:t>
      </w:r>
    </w:p>
    <w:p w14:paraId="3DAEC470" w14:textId="5A8EE371" w:rsidR="00F077C4" w:rsidRPr="00F077C4" w:rsidRDefault="00F077C4" w:rsidP="00F077C4">
      <w:pPr>
        <w:spacing w:line="360" w:lineRule="auto"/>
      </w:pPr>
      <w:r w:rsidRPr="00F077C4">
        <w:t xml:space="preserve">The Equality Act 2010 plays a key role in </w:t>
      </w:r>
      <w:r w:rsidR="00F90908" w:rsidRPr="00F077C4">
        <w:t>advocating</w:t>
      </w:r>
      <w:r w:rsidRPr="00F077C4">
        <w:t xml:space="preserve"> effective communication within health and social care. The Act protects individuals from discrimination based on characteristics such as age, race, and language and places a legal duty on organisations to make </w:t>
      </w:r>
      <w:r w:rsidR="00F90908" w:rsidRPr="00F077C4">
        <w:t>intelligent</w:t>
      </w:r>
      <w:r w:rsidRPr="00F077C4">
        <w:t xml:space="preserve"> adjustments (Equality Act, 2010). For Mrs Mann, </w:t>
      </w:r>
      <w:r w:rsidR="00F90908" w:rsidRPr="00F077C4">
        <w:t>sensible</w:t>
      </w:r>
      <w:r w:rsidRPr="00F077C4">
        <w:t xml:space="preserve"> adjustments may include access to interpreting services, additional appointment time, and information provided in </w:t>
      </w:r>
      <w:r w:rsidR="00F90908" w:rsidRPr="00F077C4">
        <w:t>available</w:t>
      </w:r>
      <w:r w:rsidRPr="00F077C4">
        <w:t xml:space="preserve"> formats. Failure to make these adjustments could </w:t>
      </w:r>
      <w:r w:rsidR="00F90908" w:rsidRPr="00F077C4">
        <w:t>burden</w:t>
      </w:r>
      <w:r w:rsidRPr="00F077C4">
        <w:t xml:space="preserve"> Mrs Mann and negatively affect the quality of care she receives.</w:t>
      </w:r>
    </w:p>
    <w:p w14:paraId="0BB76C66" w14:textId="7B0E797F" w:rsidR="00F077C4" w:rsidRPr="00F077C4" w:rsidRDefault="00F077C4" w:rsidP="00F077C4">
      <w:pPr>
        <w:spacing w:line="360" w:lineRule="auto"/>
      </w:pPr>
      <w:r w:rsidRPr="00F077C4">
        <w:t xml:space="preserve">A </w:t>
      </w:r>
      <w:r w:rsidR="00F90908" w:rsidRPr="00F077C4">
        <w:t>appropriate</w:t>
      </w:r>
      <w:r w:rsidRPr="00F077C4">
        <w:t xml:space="preserve"> communication model that can be applied to this case is the Shannon and Weaver communication model. This model identifies the sender, message, channel, receiver, and potential barriers, often referred to as “noise” (Shannon and Weaver, 1949). In Mrs Mann’s </w:t>
      </w:r>
      <w:r w:rsidR="00F90908" w:rsidRPr="00F077C4">
        <w:t>position</w:t>
      </w:r>
      <w:r w:rsidRPr="00F077C4">
        <w:t xml:space="preserve">, the language barrier </w:t>
      </w:r>
      <w:r w:rsidR="00F90908" w:rsidRPr="00F077C4">
        <w:t>signifies</w:t>
      </w:r>
      <w:r w:rsidRPr="00F077C4">
        <w:t xml:space="preserve"> significant noise that may interfere with the accurate </w:t>
      </w:r>
      <w:r w:rsidR="00F90908" w:rsidRPr="00F077C4">
        <w:t>communication</w:t>
      </w:r>
      <w:r w:rsidRPr="00F077C4">
        <w:t xml:space="preserve"> of information. For example, if medication changes are </w:t>
      </w:r>
      <w:r w:rsidR="00F90908" w:rsidRPr="00F077C4">
        <w:t>corresponded</w:t>
      </w:r>
      <w:r w:rsidRPr="00F077C4">
        <w:t xml:space="preserve"> without confirmation or translation, the message may not be fully understood, increasing the risk of errors.</w:t>
      </w:r>
    </w:p>
    <w:p w14:paraId="1DD7A51F" w14:textId="5BB1EEE6" w:rsidR="00F077C4" w:rsidRDefault="00F077C4" w:rsidP="00F077C4">
      <w:pPr>
        <w:spacing w:line="360" w:lineRule="auto"/>
      </w:pPr>
      <w:r w:rsidRPr="00F077C4">
        <w:t xml:space="preserve">By </w:t>
      </w:r>
      <w:r w:rsidR="00F90908" w:rsidRPr="00F077C4">
        <w:t>distinguishing</w:t>
      </w:r>
      <w:r w:rsidRPr="00F077C4">
        <w:t xml:space="preserve"> communication barriers and </w:t>
      </w:r>
      <w:r w:rsidR="00F90908" w:rsidRPr="00F077C4">
        <w:t>reassuring</w:t>
      </w:r>
      <w:r w:rsidRPr="00F077C4">
        <w:t xml:space="preserve"> feedback, professionals can </w:t>
      </w:r>
      <w:r w:rsidR="00F90908" w:rsidRPr="00F077C4">
        <w:t>increase</w:t>
      </w:r>
      <w:r w:rsidRPr="00F077C4">
        <w:t xml:space="preserve"> communication effectiveness and reduce the risk of </w:t>
      </w:r>
      <w:r w:rsidR="00F90908" w:rsidRPr="00F077C4">
        <w:t>disagreements</w:t>
      </w:r>
      <w:r w:rsidRPr="00F077C4">
        <w:t>. Effective communication ensures that Mrs Mann remains involved in her care, understands her treatment, and receives safe and equitable support.</w:t>
      </w:r>
    </w:p>
    <w:p w14:paraId="2F213E02" w14:textId="74E648E9" w:rsidR="00F077C4" w:rsidRPr="00F077C4" w:rsidRDefault="00F077C4" w:rsidP="00F077C4">
      <w:pPr>
        <w:spacing w:line="360" w:lineRule="auto"/>
      </w:pPr>
      <w:r w:rsidRPr="00F077C4">
        <w:rPr>
          <w:b/>
          <w:bCs/>
        </w:rPr>
        <w:t xml:space="preserve">Importance of Good Administrative Skills and Record-Keeping </w:t>
      </w:r>
    </w:p>
    <w:p w14:paraId="77E9EA62" w14:textId="409BEE09" w:rsidR="00F077C4" w:rsidRPr="00F077C4" w:rsidRDefault="00F077C4" w:rsidP="00F077C4">
      <w:pPr>
        <w:spacing w:line="360" w:lineRule="auto"/>
      </w:pPr>
      <w:r w:rsidRPr="00F077C4">
        <w:lastRenderedPageBreak/>
        <w:t xml:space="preserve">Good administrative skills, particularly accurate and timely record-keeping, are </w:t>
      </w:r>
      <w:r w:rsidR="00F90908" w:rsidRPr="00F077C4">
        <w:t>needed</w:t>
      </w:r>
      <w:r w:rsidRPr="00F077C4">
        <w:t xml:space="preserve"> within health and social care practice. Records provide a clear and reliable account of a service user’s care and support continuity between professionals (NHS England, 2022). In Mrs Mann’s case, concerns regarding </w:t>
      </w:r>
      <w:r w:rsidR="00F90908" w:rsidRPr="00F077C4">
        <w:t>incompatible</w:t>
      </w:r>
      <w:r w:rsidRPr="00F077C4">
        <w:t xml:space="preserve"> documentation highlight how poor </w:t>
      </w:r>
      <w:r w:rsidR="00F90908" w:rsidRPr="00F077C4">
        <w:t>managerial</w:t>
      </w:r>
      <w:r w:rsidRPr="00F077C4">
        <w:t xml:space="preserve"> practice can place service-user safety at risk.</w:t>
      </w:r>
    </w:p>
    <w:p w14:paraId="63D1AC1C" w14:textId="3125DB4D" w:rsidR="00F077C4" w:rsidRPr="00F077C4" w:rsidRDefault="00F077C4" w:rsidP="00F077C4">
      <w:pPr>
        <w:spacing w:line="360" w:lineRule="auto"/>
      </w:pPr>
      <w:r w:rsidRPr="00F077C4">
        <w:t xml:space="preserve">Health and social care records contain </w:t>
      </w:r>
      <w:r w:rsidR="00F90908" w:rsidRPr="00F077C4">
        <w:t>significant</w:t>
      </w:r>
      <w:r w:rsidRPr="00F077C4">
        <w:t xml:space="preserve"> information such as medical history, medication changes, care plans, and risk assessments. Accurate record-keeping enables professionals to make informed decisions and ensures that care is delivered consistently. In this case study, </w:t>
      </w:r>
      <w:r w:rsidR="00F90908" w:rsidRPr="00F077C4">
        <w:t>imperfect</w:t>
      </w:r>
      <w:r w:rsidRPr="00F077C4">
        <w:t xml:space="preserve"> or inconsistent records contributed to missed communication and a </w:t>
      </w:r>
      <w:r w:rsidR="00F90908" w:rsidRPr="00F077C4">
        <w:t>suspended</w:t>
      </w:r>
      <w:r w:rsidRPr="00F077C4">
        <w:t xml:space="preserve"> medication adjustment, demonstrating the potential consequences of </w:t>
      </w:r>
      <w:r w:rsidR="00F26584" w:rsidRPr="00F077C4">
        <w:t>unfortunate</w:t>
      </w:r>
      <w:r w:rsidRPr="00F077C4">
        <w:t xml:space="preserve"> documentation.</w:t>
      </w:r>
    </w:p>
    <w:p w14:paraId="3446B968" w14:textId="360A4F3A" w:rsidR="00F077C4" w:rsidRDefault="00F077C4" w:rsidP="00F077C4">
      <w:pPr>
        <w:spacing w:line="360" w:lineRule="auto"/>
      </w:pPr>
      <w:r w:rsidRPr="00F077C4">
        <w:t xml:space="preserve">Record-keeping is also a legal and professional responsibility. Records </w:t>
      </w:r>
      <w:r w:rsidR="00F26584" w:rsidRPr="00F077C4">
        <w:t>possibly will</w:t>
      </w:r>
      <w:r w:rsidRPr="00F077C4">
        <w:t xml:space="preserve"> be used in complaints, safeguarding investigations, or legal proceedings, making accuracy, clarity, and professionalism essential. Information recorded </w:t>
      </w:r>
      <w:r w:rsidR="00F26584" w:rsidRPr="00F077C4">
        <w:t>ought</w:t>
      </w:r>
      <w:r w:rsidRPr="00F077C4">
        <w:t xml:space="preserve"> be factual, timely, and relevant, avoiding personal opinions </w:t>
      </w:r>
      <w:r w:rsidR="00F26584" w:rsidRPr="00F077C4">
        <w:t>before</w:t>
      </w:r>
      <w:r w:rsidRPr="00F077C4">
        <w:t xml:space="preserve"> assumptions.</w:t>
      </w:r>
    </w:p>
    <w:p w14:paraId="4C615904" w14:textId="1F89B0AD" w:rsidR="00F077C4" w:rsidRPr="00F077C4" w:rsidRDefault="00F077C4" w:rsidP="00F077C4">
      <w:pPr>
        <w:spacing w:line="360" w:lineRule="auto"/>
      </w:pPr>
      <w:r w:rsidRPr="00F077C4">
        <w:t xml:space="preserve">Confidentiality is closely linked to record-keeping and is governed by the Common Law Duty of Confidentiality. This duty </w:t>
      </w:r>
      <w:r w:rsidR="00F26584" w:rsidRPr="00F077C4">
        <w:t>forces</w:t>
      </w:r>
      <w:r w:rsidRPr="00F077C4">
        <w:t xml:space="preserve"> professionals to protect personal information and only share it when </w:t>
      </w:r>
      <w:r w:rsidR="00F26584" w:rsidRPr="00F077C4">
        <w:t>required</w:t>
      </w:r>
      <w:r w:rsidRPr="00F077C4">
        <w:t xml:space="preserve"> for the provision of care or when legally required (Department of Health and Social Care, 2017). In Mrs Mann’s care, information should only be shared with professionals </w:t>
      </w:r>
      <w:r w:rsidR="00F26584" w:rsidRPr="00F077C4">
        <w:t>precisely</w:t>
      </w:r>
      <w:r w:rsidRPr="00F077C4">
        <w:t xml:space="preserve"> involved, such as her GP, physiotherapist, and care workers. Although her daughter </w:t>
      </w:r>
      <w:r w:rsidR="00F26584" w:rsidRPr="00F077C4">
        <w:t>establishes</w:t>
      </w:r>
      <w:r w:rsidRPr="00F077C4">
        <w:t xml:space="preserve"> communication, information should only be shared with her where Mrs Mann has given informed consent.</w:t>
      </w:r>
    </w:p>
    <w:p w14:paraId="06E706FB" w14:textId="6FF487E6" w:rsidR="00F077C4" w:rsidRPr="00F077C4" w:rsidRDefault="00F077C4" w:rsidP="00F077C4">
      <w:pPr>
        <w:spacing w:line="360" w:lineRule="auto"/>
      </w:pPr>
      <w:r w:rsidRPr="00F077C4">
        <w:t xml:space="preserve">The Data Protection Act 2018, which incorporates the General Data Protection Regulation (GDPR), </w:t>
      </w:r>
      <w:r w:rsidR="00F26584" w:rsidRPr="00F077C4">
        <w:t>additional</w:t>
      </w:r>
      <w:r w:rsidRPr="00F077C4">
        <w:t xml:space="preserve"> supports good administrative practice. The Act </w:t>
      </w:r>
      <w:r w:rsidR="00F26584" w:rsidRPr="00F077C4">
        <w:t>expects</w:t>
      </w:r>
      <w:r w:rsidRPr="00F077C4">
        <w:t xml:space="preserve"> personal data to be processed lawfully, fairly, and transparently, kept accurate and up to date, and stored securely (Data Protection Act, 2018). Care records </w:t>
      </w:r>
      <w:r w:rsidR="00F26584" w:rsidRPr="00F077C4">
        <w:t>obligation</w:t>
      </w:r>
      <w:r w:rsidR="00F26584">
        <w:t>s can</w:t>
      </w:r>
      <w:r w:rsidRPr="00F077C4">
        <w:t xml:space="preserve"> be protected from unauthorised access and shared only on a need-to-know basis. Failure to follow these principles may breach legislation and place both the service user and professionals at risk.</w:t>
      </w:r>
    </w:p>
    <w:p w14:paraId="01B30B8E" w14:textId="330D047D" w:rsidR="00F077C4" w:rsidRPr="00F077C4" w:rsidRDefault="00F077C4" w:rsidP="00F077C4">
      <w:pPr>
        <w:spacing w:line="360" w:lineRule="auto"/>
      </w:pPr>
      <w:r w:rsidRPr="00F077C4">
        <w:lastRenderedPageBreak/>
        <w:t xml:space="preserve">By </w:t>
      </w:r>
      <w:r w:rsidR="00F26584" w:rsidRPr="00F077C4">
        <w:t>requesting</w:t>
      </w:r>
      <w:r w:rsidRPr="00F077C4">
        <w:t xml:space="preserve"> good administrative practice and </w:t>
      </w:r>
      <w:r w:rsidR="00F26584" w:rsidRPr="00F077C4">
        <w:t>observing</w:t>
      </w:r>
      <w:r w:rsidRPr="00F077C4">
        <w:t xml:space="preserve"> to data protection legislation, professionals can </w:t>
      </w:r>
      <w:r w:rsidR="00F26584" w:rsidRPr="00F077C4">
        <w:t>safeguard</w:t>
      </w:r>
      <w:r w:rsidRPr="00F077C4">
        <w:t xml:space="preserve"> that Mrs Mann’s care is safe, coordinated, and respectful of her rights.</w:t>
      </w:r>
    </w:p>
    <w:p w14:paraId="4CCEEB13" w14:textId="0BA17BF9" w:rsidR="00F077C4" w:rsidRPr="00F077C4" w:rsidRDefault="00F077C4" w:rsidP="00F077C4">
      <w:pPr>
        <w:spacing w:line="360" w:lineRule="auto"/>
        <w:rPr>
          <w:b/>
          <w:bCs/>
        </w:rPr>
      </w:pPr>
      <w:r w:rsidRPr="00F077C4">
        <w:rPr>
          <w:b/>
          <w:bCs/>
        </w:rPr>
        <w:t xml:space="preserve">Importance of Partnership Working in Mrs Mann’s Care </w:t>
      </w:r>
    </w:p>
    <w:p w14:paraId="2DE2104F" w14:textId="77777777" w:rsidR="00F077C4" w:rsidRPr="00F077C4" w:rsidRDefault="00F077C4" w:rsidP="00F077C4">
      <w:pPr>
        <w:spacing w:line="360" w:lineRule="auto"/>
      </w:pPr>
      <w:r w:rsidRPr="00F077C4">
        <w:t>Partnership working is a key principle of effective health and social care delivery, particularly for service users with complex needs who rely on multiple professionals (Glasby and Dickinson, 2014). In Mrs Mann’s case, her care involves collaboration between hospital staff, domiciliary care workers, her GP, a community physiotherapist, and informal support from her daughter. Effective partnership working is essential to ensure continuity of care following hospital discharge.</w:t>
      </w:r>
    </w:p>
    <w:p w14:paraId="76B3A064" w14:textId="77777777" w:rsidR="00F077C4" w:rsidRPr="00F077C4" w:rsidRDefault="00F077C4" w:rsidP="00F077C4">
      <w:pPr>
        <w:spacing w:line="360" w:lineRule="auto"/>
      </w:pPr>
      <w:r w:rsidRPr="00F077C4">
        <w:t>Partnership working involves professionals from different disciplines sharing information appropriately, coordinating interventions, and working towards shared goals. For Mrs Mann, this includes ensuring that care plans, medication changes, and rehabilitation goals are clearly communicated and understood by all involved. Shared documentation systems and effective handovers support continuity and reduce the risk of errors (Health Education England, 2019).</w:t>
      </w:r>
    </w:p>
    <w:p w14:paraId="4C329B46" w14:textId="77777777" w:rsidR="00F077C4" w:rsidRPr="00F077C4" w:rsidRDefault="00F077C4" w:rsidP="00F077C4">
      <w:pPr>
        <w:spacing w:line="360" w:lineRule="auto"/>
      </w:pPr>
      <w:r w:rsidRPr="00F077C4">
        <w:t>Challenges in partnership working may include poor communication, unclear roles, and delays in information sharing. These challenges are evident in this case, where inconsistent documentation and missed communication resulted in a delayed medication adjustment. Strategies to overcome these challenges include regular multidisciplinary team (MDT) meetings, clear role clarification, and the use of shared care records.</w:t>
      </w:r>
    </w:p>
    <w:p w14:paraId="3E58DA3B" w14:textId="77777777" w:rsidR="00F077C4" w:rsidRPr="00F077C4" w:rsidRDefault="00F077C4" w:rsidP="00F077C4">
      <w:pPr>
        <w:spacing w:line="360" w:lineRule="auto"/>
      </w:pPr>
      <w:r w:rsidRPr="00F077C4">
        <w:t>Working in partnership with informal carers is also important. Mrs Mann’s daughter plays a valuable role in supporting communication and daily care; however, professionals must ensure that her involvement is guided by Mrs Mann’s wishes and informed consent. Balancing professional boundaries with family involvement supports person-centred care while maintaining confidentiality.</w:t>
      </w:r>
    </w:p>
    <w:p w14:paraId="01561925" w14:textId="4D1DA72B" w:rsidR="00F077C4" w:rsidRPr="00F077C4" w:rsidRDefault="00F077C4" w:rsidP="00F077C4">
      <w:pPr>
        <w:spacing w:line="360" w:lineRule="auto"/>
      </w:pPr>
      <w:r w:rsidRPr="00F077C4">
        <w:t>Effective partnership working promotes holistic, coordinated, and safe care, supporting Mrs Mann’s recovery and independence within her home.</w:t>
      </w:r>
    </w:p>
    <w:p w14:paraId="6BED7AB4" w14:textId="46843247" w:rsidR="00F077C4" w:rsidRPr="00F077C4" w:rsidRDefault="00F077C4" w:rsidP="00F077C4">
      <w:pPr>
        <w:spacing w:line="360" w:lineRule="auto"/>
        <w:rPr>
          <w:b/>
          <w:bCs/>
        </w:rPr>
      </w:pPr>
      <w:r w:rsidRPr="00F077C4">
        <w:rPr>
          <w:b/>
          <w:bCs/>
        </w:rPr>
        <w:lastRenderedPageBreak/>
        <w:t xml:space="preserve">Conclusion </w:t>
      </w:r>
    </w:p>
    <w:p w14:paraId="7BA1F4EE" w14:textId="509DA7A8" w:rsidR="00F077C4" w:rsidRPr="00F077C4" w:rsidRDefault="00F077C4" w:rsidP="00F077C4">
      <w:pPr>
        <w:spacing w:line="360" w:lineRule="auto"/>
      </w:pPr>
      <w:r w:rsidRPr="00F077C4">
        <w:t xml:space="preserve">In conclusion, the case study of Mrs Mann highlights the </w:t>
      </w:r>
      <w:r w:rsidR="00F26584" w:rsidRPr="00F077C4">
        <w:t>serious</w:t>
      </w:r>
      <w:r w:rsidRPr="00F077C4">
        <w:t xml:space="preserve"> importance of effective communication, good administrative practice, and partnership working within health and social care. Mrs Mann’s limited English proficiency and reliance on multiple professionals increase the need for clear, accessible communication and reasonable adjustments in line with the Equality Act 2010.</w:t>
      </w:r>
    </w:p>
    <w:p w14:paraId="0F3E5795" w14:textId="2D55F377" w:rsidR="00F077C4" w:rsidRPr="00F077C4" w:rsidRDefault="00F077C4" w:rsidP="00F077C4">
      <w:pPr>
        <w:spacing w:line="360" w:lineRule="auto"/>
      </w:pPr>
      <w:r w:rsidRPr="00F077C4">
        <w:t xml:space="preserve">Accurate record-keeping and adherence to confidentiality and data protection legislation are essential to ensure continuity of care and protect service-user safety (Data Protection Act, 2018). The issues </w:t>
      </w:r>
      <w:r w:rsidR="00F26584" w:rsidRPr="00F077C4">
        <w:t>acknowledged</w:t>
      </w:r>
      <w:r w:rsidRPr="00F077C4">
        <w:t xml:space="preserve"> in this case demonstrate how failures in documentation and communication can lead to delays and increased risk. </w:t>
      </w:r>
      <w:r w:rsidR="00F26584" w:rsidRPr="00F077C4">
        <w:t>Lastly</w:t>
      </w:r>
      <w:r w:rsidRPr="00F077C4">
        <w:t xml:space="preserve">, effective partnership working between health and social care professionals, alongside appropriate involvement of informal carers, is vital in delivering coordinated and person-centred care. </w:t>
      </w:r>
      <w:r w:rsidR="00F26584" w:rsidRPr="00F077C4">
        <w:t>Relating</w:t>
      </w:r>
      <w:r w:rsidRPr="00F077C4">
        <w:t xml:space="preserve"> best practice across these areas supports dignity, safety, </w:t>
      </w:r>
      <w:r w:rsidR="00F26584" w:rsidRPr="00F077C4">
        <w:t>with</w:t>
      </w:r>
      <w:r w:rsidRPr="00F077C4">
        <w:t xml:space="preserve"> positive outcomes for Mrs Mann.</w:t>
      </w:r>
    </w:p>
    <w:p w14:paraId="65B2B230" w14:textId="66960D2C" w:rsidR="00F077C4" w:rsidRPr="00F077C4" w:rsidRDefault="00F077C4" w:rsidP="00F077C4">
      <w:pPr>
        <w:spacing w:line="360" w:lineRule="auto"/>
      </w:pPr>
    </w:p>
    <w:p w14:paraId="227EBB95" w14:textId="77777777" w:rsidR="00F077C4" w:rsidRDefault="00F077C4" w:rsidP="00F077C4">
      <w:pPr>
        <w:spacing w:line="360" w:lineRule="auto"/>
        <w:rPr>
          <w:b/>
          <w:bCs/>
        </w:rPr>
      </w:pPr>
    </w:p>
    <w:p w14:paraId="549148D1" w14:textId="77777777" w:rsidR="00F077C4" w:rsidRDefault="00F077C4" w:rsidP="00F077C4">
      <w:pPr>
        <w:spacing w:line="360" w:lineRule="auto"/>
        <w:rPr>
          <w:b/>
          <w:bCs/>
        </w:rPr>
      </w:pPr>
    </w:p>
    <w:p w14:paraId="68F3D652" w14:textId="77777777" w:rsidR="00F077C4" w:rsidRDefault="00F077C4" w:rsidP="00F077C4">
      <w:pPr>
        <w:spacing w:line="360" w:lineRule="auto"/>
        <w:rPr>
          <w:b/>
          <w:bCs/>
        </w:rPr>
      </w:pPr>
    </w:p>
    <w:p w14:paraId="48EEC0DC" w14:textId="77777777" w:rsidR="00F077C4" w:rsidRDefault="00F077C4" w:rsidP="00F077C4">
      <w:pPr>
        <w:spacing w:line="360" w:lineRule="auto"/>
        <w:rPr>
          <w:b/>
          <w:bCs/>
        </w:rPr>
      </w:pPr>
    </w:p>
    <w:p w14:paraId="12179457" w14:textId="77777777" w:rsidR="00F077C4" w:rsidRDefault="00F077C4" w:rsidP="00F077C4">
      <w:pPr>
        <w:spacing w:line="360" w:lineRule="auto"/>
        <w:rPr>
          <w:b/>
          <w:bCs/>
        </w:rPr>
      </w:pPr>
    </w:p>
    <w:p w14:paraId="4CEBA390" w14:textId="77777777" w:rsidR="00F077C4" w:rsidRDefault="00F077C4" w:rsidP="00F077C4">
      <w:pPr>
        <w:spacing w:line="360" w:lineRule="auto"/>
        <w:rPr>
          <w:b/>
          <w:bCs/>
        </w:rPr>
      </w:pPr>
    </w:p>
    <w:p w14:paraId="0A543116" w14:textId="77777777" w:rsidR="00F077C4" w:rsidRDefault="00F077C4" w:rsidP="00F077C4">
      <w:pPr>
        <w:spacing w:line="360" w:lineRule="auto"/>
        <w:rPr>
          <w:b/>
          <w:bCs/>
        </w:rPr>
      </w:pPr>
    </w:p>
    <w:p w14:paraId="25BC0A7D" w14:textId="77777777" w:rsidR="00F077C4" w:rsidRDefault="00F077C4" w:rsidP="00F077C4">
      <w:pPr>
        <w:spacing w:line="360" w:lineRule="auto"/>
        <w:rPr>
          <w:b/>
          <w:bCs/>
        </w:rPr>
      </w:pPr>
    </w:p>
    <w:p w14:paraId="06CAC1F0" w14:textId="77777777" w:rsidR="00F077C4" w:rsidRDefault="00F077C4" w:rsidP="00F077C4">
      <w:pPr>
        <w:spacing w:line="360" w:lineRule="auto"/>
        <w:rPr>
          <w:b/>
          <w:bCs/>
        </w:rPr>
      </w:pPr>
    </w:p>
    <w:p w14:paraId="37127536" w14:textId="77777777" w:rsidR="00F077C4" w:rsidRDefault="00F077C4" w:rsidP="00F077C4">
      <w:pPr>
        <w:spacing w:line="360" w:lineRule="auto"/>
        <w:rPr>
          <w:b/>
          <w:bCs/>
        </w:rPr>
      </w:pPr>
    </w:p>
    <w:p w14:paraId="2E2A5E15" w14:textId="77777777" w:rsidR="00F077C4" w:rsidRDefault="00F077C4" w:rsidP="00F077C4">
      <w:pPr>
        <w:spacing w:line="360" w:lineRule="auto"/>
        <w:rPr>
          <w:b/>
          <w:bCs/>
        </w:rPr>
      </w:pPr>
    </w:p>
    <w:p w14:paraId="136ACB15" w14:textId="3B14F5E6" w:rsidR="00F077C4" w:rsidRPr="00F077C4" w:rsidRDefault="00F077C4" w:rsidP="00F077C4">
      <w:pPr>
        <w:spacing w:line="360" w:lineRule="auto"/>
        <w:rPr>
          <w:b/>
          <w:bCs/>
        </w:rPr>
      </w:pPr>
      <w:r w:rsidRPr="00F077C4">
        <w:rPr>
          <w:b/>
          <w:bCs/>
        </w:rPr>
        <w:lastRenderedPageBreak/>
        <w:t>References</w:t>
      </w:r>
    </w:p>
    <w:p w14:paraId="5975AACD" w14:textId="77777777" w:rsidR="00F077C4" w:rsidRPr="00F077C4" w:rsidRDefault="00F077C4" w:rsidP="00F077C4">
      <w:pPr>
        <w:spacing w:line="360" w:lineRule="auto"/>
      </w:pPr>
      <w:r w:rsidRPr="00F077C4">
        <w:t xml:space="preserve">Arnold, E.C. and Boggs, K.U. (2020) Interpersonal Relationships: Professional Communication Skills for Nurses. 8th </w:t>
      </w:r>
      <w:proofErr w:type="spellStart"/>
      <w:r w:rsidRPr="00F077C4">
        <w:t>edn</w:t>
      </w:r>
      <w:proofErr w:type="spellEnd"/>
      <w:r w:rsidRPr="00F077C4">
        <w:t>. St. Louis: Elsevier.</w:t>
      </w:r>
    </w:p>
    <w:p w14:paraId="413871CE" w14:textId="110358BB" w:rsidR="00F077C4" w:rsidRPr="00F077C4" w:rsidRDefault="00F077C4" w:rsidP="00F077C4">
      <w:pPr>
        <w:spacing w:line="360" w:lineRule="auto"/>
      </w:pPr>
      <w:r w:rsidRPr="00F077C4">
        <w:t>Data Protection Act 2018. (2018) Data Protection Act 2018. London: The Stationery Office. Available at: </w:t>
      </w:r>
      <w:hyperlink r:id="rId4" w:tgtFrame="_blank" w:history="1">
        <w:r w:rsidRPr="00F077C4">
          <w:rPr>
            <w:rStyle w:val="Hyperlink"/>
          </w:rPr>
          <w:t>https://www.legislation.gov.uk/ukpga/2018/12/contents</w:t>
        </w:r>
      </w:hyperlink>
      <w:r w:rsidRPr="00F077C4">
        <w:t xml:space="preserve"> (Accessed: </w:t>
      </w:r>
      <w:r>
        <w:t>1</w:t>
      </w:r>
      <w:r w:rsidRPr="00F077C4">
        <w:t xml:space="preserve"> January 2026).</w:t>
      </w:r>
    </w:p>
    <w:p w14:paraId="2977B41B" w14:textId="486FAD37" w:rsidR="00F077C4" w:rsidRPr="00F077C4" w:rsidRDefault="00F077C4" w:rsidP="00F077C4">
      <w:pPr>
        <w:spacing w:line="360" w:lineRule="auto"/>
      </w:pPr>
      <w:r w:rsidRPr="00F077C4">
        <w:t>Department of Health and Social Care (2017) Confidentiality: NHS Code of Practice. London: DHSC.</w:t>
      </w:r>
    </w:p>
    <w:p w14:paraId="28A3AAF8" w14:textId="7F54E20E" w:rsidR="00F077C4" w:rsidRPr="00F077C4" w:rsidRDefault="00F077C4" w:rsidP="00F077C4">
      <w:pPr>
        <w:spacing w:line="360" w:lineRule="auto"/>
        <w:rPr>
          <w:lang w:val="fr-FR"/>
        </w:rPr>
      </w:pPr>
      <w:r w:rsidRPr="00F077C4">
        <w:t xml:space="preserve">Equality Act 2010. (2010) Equality Act 2010. London: The Stationery Office. </w:t>
      </w:r>
      <w:proofErr w:type="spellStart"/>
      <w:r w:rsidRPr="00F077C4">
        <w:rPr>
          <w:lang w:val="fr-FR"/>
        </w:rPr>
        <w:t>Available</w:t>
      </w:r>
      <w:proofErr w:type="spellEnd"/>
      <w:r w:rsidRPr="00F077C4">
        <w:rPr>
          <w:lang w:val="fr-FR"/>
        </w:rPr>
        <w:t xml:space="preserve"> at: </w:t>
      </w:r>
      <w:hyperlink r:id="rId5" w:tgtFrame="_blank" w:history="1">
        <w:r w:rsidRPr="00F077C4">
          <w:rPr>
            <w:rStyle w:val="Hyperlink"/>
            <w:lang w:val="fr-FR"/>
          </w:rPr>
          <w:t>https://www.legislation.gov.uk/ukpga/2010/15/contents</w:t>
        </w:r>
      </w:hyperlink>
      <w:r w:rsidRPr="00F077C4">
        <w:rPr>
          <w:lang w:val="fr-FR"/>
        </w:rPr>
        <w:t> (</w:t>
      </w:r>
      <w:proofErr w:type="spellStart"/>
      <w:r w:rsidRPr="00F077C4">
        <w:rPr>
          <w:lang w:val="fr-FR"/>
        </w:rPr>
        <w:t>Accessed</w:t>
      </w:r>
      <w:proofErr w:type="spellEnd"/>
      <w:r w:rsidRPr="00F077C4">
        <w:rPr>
          <w:lang w:val="fr-FR"/>
        </w:rPr>
        <w:t xml:space="preserve">: </w:t>
      </w:r>
      <w:r w:rsidRPr="00F077C4">
        <w:rPr>
          <w:lang w:val="fr-FR"/>
        </w:rPr>
        <w:t>30</w:t>
      </w:r>
      <w:r w:rsidRPr="00F077C4">
        <w:rPr>
          <w:lang w:val="fr-FR"/>
        </w:rPr>
        <w:t xml:space="preserve"> </w:t>
      </w:r>
      <w:proofErr w:type="spellStart"/>
      <w:r>
        <w:rPr>
          <w:lang w:val="fr-FR"/>
        </w:rPr>
        <w:t>December</w:t>
      </w:r>
      <w:proofErr w:type="spellEnd"/>
      <w:r>
        <w:rPr>
          <w:lang w:val="fr-FR"/>
        </w:rPr>
        <w:t xml:space="preserve"> </w:t>
      </w:r>
      <w:r w:rsidRPr="00F077C4">
        <w:rPr>
          <w:lang w:val="fr-FR"/>
        </w:rPr>
        <w:t>202</w:t>
      </w:r>
      <w:r>
        <w:rPr>
          <w:lang w:val="fr-FR"/>
        </w:rPr>
        <w:t>5</w:t>
      </w:r>
      <w:r w:rsidRPr="00F077C4">
        <w:rPr>
          <w:lang w:val="fr-FR"/>
        </w:rPr>
        <w:t>).</w:t>
      </w:r>
    </w:p>
    <w:p w14:paraId="770D6A54" w14:textId="7671336F" w:rsidR="00F077C4" w:rsidRPr="00F077C4" w:rsidRDefault="00F077C4" w:rsidP="00F077C4">
      <w:pPr>
        <w:spacing w:line="360" w:lineRule="auto"/>
      </w:pPr>
      <w:r w:rsidRPr="00F077C4">
        <w:t xml:space="preserve">Glasby, J. and Dickinson, H. (2014) Partnership Working in Health and Social Care. 2nd </w:t>
      </w:r>
      <w:proofErr w:type="spellStart"/>
      <w:r w:rsidRPr="00F077C4">
        <w:t>edn</w:t>
      </w:r>
      <w:proofErr w:type="spellEnd"/>
      <w:r w:rsidRPr="00F077C4">
        <w:t>. Bristol: Policy Press.</w:t>
      </w:r>
    </w:p>
    <w:p w14:paraId="33D5FB5F" w14:textId="6FCF2F5E" w:rsidR="00F077C4" w:rsidRPr="00F077C4" w:rsidRDefault="00F077C4" w:rsidP="00F077C4">
      <w:pPr>
        <w:spacing w:line="360" w:lineRule="auto"/>
      </w:pPr>
      <w:r w:rsidRPr="00F077C4">
        <w:t>Health Education England (2019) Multi-professional Framework for Advanced Clinical Practice in England. London: HEE.</w:t>
      </w:r>
    </w:p>
    <w:p w14:paraId="6A0250D3" w14:textId="7A5927B3" w:rsidR="00F077C4" w:rsidRPr="00F077C4" w:rsidRDefault="00F077C4" w:rsidP="00F077C4">
      <w:pPr>
        <w:spacing w:line="360" w:lineRule="auto"/>
      </w:pPr>
      <w:r w:rsidRPr="00F077C4">
        <w:t>NHS England (2022) Records Management Code of Practice for Health and Social Care. London: NHS England.</w:t>
      </w:r>
    </w:p>
    <w:p w14:paraId="75E39B4C" w14:textId="77777777" w:rsidR="00F077C4" w:rsidRPr="00F077C4" w:rsidRDefault="00F077C4" w:rsidP="00F077C4">
      <w:pPr>
        <w:spacing w:line="360" w:lineRule="auto"/>
      </w:pPr>
      <w:r w:rsidRPr="00F077C4">
        <w:t>Shannon, C.E. and Weaver, W. (1949) The Mathematical Theory of Communication. Urbana: University of Illinois Press.</w:t>
      </w:r>
    </w:p>
    <w:p w14:paraId="5D837FCB" w14:textId="77777777" w:rsidR="00F077C4" w:rsidRDefault="00F077C4"/>
    <w:sectPr w:rsidR="00F077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77C4"/>
    <w:rsid w:val="001330BE"/>
    <w:rsid w:val="00226247"/>
    <w:rsid w:val="005F7BF8"/>
    <w:rsid w:val="00F077C4"/>
    <w:rsid w:val="00F26584"/>
    <w:rsid w:val="00F9090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0CC65"/>
  <w15:chartTrackingRefBased/>
  <w15:docId w15:val="{86850EAC-301F-46DA-BA32-38CFC03B8F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77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077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77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77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77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77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77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77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77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77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077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77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77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77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77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77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77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77C4"/>
    <w:rPr>
      <w:rFonts w:eastAsiaTheme="majorEastAsia" w:cstheme="majorBidi"/>
      <w:color w:val="272727" w:themeColor="text1" w:themeTint="D8"/>
    </w:rPr>
  </w:style>
  <w:style w:type="paragraph" w:styleId="Title">
    <w:name w:val="Title"/>
    <w:basedOn w:val="Normal"/>
    <w:next w:val="Normal"/>
    <w:link w:val="TitleChar"/>
    <w:uiPriority w:val="10"/>
    <w:qFormat/>
    <w:rsid w:val="00F077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77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77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77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77C4"/>
    <w:pPr>
      <w:spacing w:before="160"/>
      <w:jc w:val="center"/>
    </w:pPr>
    <w:rPr>
      <w:i/>
      <w:iCs/>
      <w:color w:val="404040" w:themeColor="text1" w:themeTint="BF"/>
    </w:rPr>
  </w:style>
  <w:style w:type="character" w:customStyle="1" w:styleId="QuoteChar">
    <w:name w:val="Quote Char"/>
    <w:basedOn w:val="DefaultParagraphFont"/>
    <w:link w:val="Quote"/>
    <w:uiPriority w:val="29"/>
    <w:rsid w:val="00F077C4"/>
    <w:rPr>
      <w:i/>
      <w:iCs/>
      <w:color w:val="404040" w:themeColor="text1" w:themeTint="BF"/>
    </w:rPr>
  </w:style>
  <w:style w:type="paragraph" w:styleId="ListParagraph">
    <w:name w:val="List Paragraph"/>
    <w:basedOn w:val="Normal"/>
    <w:uiPriority w:val="34"/>
    <w:qFormat/>
    <w:rsid w:val="00F077C4"/>
    <w:pPr>
      <w:ind w:left="720"/>
      <w:contextualSpacing/>
    </w:pPr>
  </w:style>
  <w:style w:type="character" w:styleId="IntenseEmphasis">
    <w:name w:val="Intense Emphasis"/>
    <w:basedOn w:val="DefaultParagraphFont"/>
    <w:uiPriority w:val="21"/>
    <w:qFormat/>
    <w:rsid w:val="00F077C4"/>
    <w:rPr>
      <w:i/>
      <w:iCs/>
      <w:color w:val="0F4761" w:themeColor="accent1" w:themeShade="BF"/>
    </w:rPr>
  </w:style>
  <w:style w:type="paragraph" w:styleId="IntenseQuote">
    <w:name w:val="Intense Quote"/>
    <w:basedOn w:val="Normal"/>
    <w:next w:val="Normal"/>
    <w:link w:val="IntenseQuoteChar"/>
    <w:uiPriority w:val="30"/>
    <w:qFormat/>
    <w:rsid w:val="00F077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77C4"/>
    <w:rPr>
      <w:i/>
      <w:iCs/>
      <w:color w:val="0F4761" w:themeColor="accent1" w:themeShade="BF"/>
    </w:rPr>
  </w:style>
  <w:style w:type="character" w:styleId="IntenseReference">
    <w:name w:val="Intense Reference"/>
    <w:basedOn w:val="DefaultParagraphFont"/>
    <w:uiPriority w:val="32"/>
    <w:qFormat/>
    <w:rsid w:val="00F077C4"/>
    <w:rPr>
      <w:b/>
      <w:bCs/>
      <w:smallCaps/>
      <w:color w:val="0F4761" w:themeColor="accent1" w:themeShade="BF"/>
      <w:spacing w:val="5"/>
    </w:rPr>
  </w:style>
  <w:style w:type="character" w:styleId="Hyperlink">
    <w:name w:val="Hyperlink"/>
    <w:basedOn w:val="DefaultParagraphFont"/>
    <w:uiPriority w:val="99"/>
    <w:unhideWhenUsed/>
    <w:rsid w:val="00F077C4"/>
    <w:rPr>
      <w:color w:val="467886" w:themeColor="hyperlink"/>
      <w:u w:val="single"/>
    </w:rPr>
  </w:style>
  <w:style w:type="character" w:styleId="UnresolvedMention">
    <w:name w:val="Unresolved Mention"/>
    <w:basedOn w:val="DefaultParagraphFont"/>
    <w:uiPriority w:val="99"/>
    <w:semiHidden/>
    <w:unhideWhenUsed/>
    <w:rsid w:val="00F077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legislation.gov.uk/ukpga/2010/15/contents" TargetMode="External"/><Relationship Id="rId4" Type="http://schemas.openxmlformats.org/officeDocument/2006/relationships/hyperlink" Target="https://www.legislation.gov.uk/ukpga/2018/12/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16a39d52-ddb4-492a-a430-d91f65b7c553}" enabled="1" method="Standard" siteId="{4a3454a0-8cf4-4a9c-b1c0-6ce4d1495f82}" removed="0"/>
</clbl:labelList>
</file>

<file path=docProps/app.xml><?xml version="1.0" encoding="utf-8"?>
<Properties xmlns="http://schemas.openxmlformats.org/officeDocument/2006/extended-properties" xmlns:vt="http://schemas.openxmlformats.org/officeDocument/2006/docPropsVTypes">
  <Template>Normal</Template>
  <TotalTime>0</TotalTime>
  <Pages>6</Pages>
  <Words>1525</Words>
  <Characters>9309</Characters>
  <Application>Microsoft Office Word</Application>
  <DocSecurity>0</DocSecurity>
  <Lines>332</Lines>
  <Paragraphs>225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Ahmed-Idris, Fauziya</dc:creator>
  <cp:keywords/>
  <dc:description/>
  <cp:lastModifiedBy>Ahmed-Idris, Fauziya</cp:lastModifiedBy>
  <cp:revision>2</cp:revision>
  <dcterms:created xsi:type="dcterms:W3CDTF">2026-01-06T11:56:00Z</dcterms:created>
  <dcterms:modified xsi:type="dcterms:W3CDTF">2026-01-06T12:42:00Z</dcterms:modified>
</cp:coreProperties>
</file>