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DEC5E" w14:textId="1223B615" w:rsidR="00B01C39" w:rsidRDefault="009A4F6E" w:rsidP="009A4F6E">
      <w:pPr>
        <w:jc w:val="right"/>
        <w:rPr>
          <w:b/>
          <w:bCs/>
          <w:sz w:val="36"/>
          <w:szCs w:val="36"/>
        </w:rPr>
      </w:pPr>
      <w:r w:rsidRPr="009A4F6E">
        <w:rPr>
          <w:b/>
          <w:bCs/>
          <w:noProof/>
          <w:sz w:val="36"/>
          <w:szCs w:val="36"/>
        </w:rPr>
        <w:drawing>
          <wp:inline distT="0" distB="0" distL="0" distR="0" wp14:anchorId="2AD8600A" wp14:editId="49E931AE">
            <wp:extent cx="2895851" cy="1127858"/>
            <wp:effectExtent l="0" t="0" r="0" b="0"/>
            <wp:docPr id="1012665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665954" name=""/>
                    <pic:cNvPicPr/>
                  </pic:nvPicPr>
                  <pic:blipFill>
                    <a:blip r:embed="rId7"/>
                    <a:stretch>
                      <a:fillRect/>
                    </a:stretch>
                  </pic:blipFill>
                  <pic:spPr>
                    <a:xfrm>
                      <a:off x="0" y="0"/>
                      <a:ext cx="2895851" cy="1127858"/>
                    </a:xfrm>
                    <a:prstGeom prst="rect">
                      <a:avLst/>
                    </a:prstGeom>
                  </pic:spPr>
                </pic:pic>
              </a:graphicData>
            </a:graphic>
          </wp:inline>
        </w:drawing>
      </w:r>
    </w:p>
    <w:p w14:paraId="79F95C52" w14:textId="77777777" w:rsidR="00B01C39" w:rsidRDefault="00B01C39" w:rsidP="00B01C39">
      <w:pPr>
        <w:jc w:val="center"/>
        <w:rPr>
          <w:b/>
          <w:bCs/>
          <w:sz w:val="36"/>
          <w:szCs w:val="36"/>
        </w:rPr>
      </w:pPr>
    </w:p>
    <w:p w14:paraId="5578612F" w14:textId="50F9C594" w:rsidR="00291051" w:rsidRDefault="00B01C39" w:rsidP="00B01C39">
      <w:pPr>
        <w:jc w:val="center"/>
        <w:rPr>
          <w:b/>
          <w:bCs/>
          <w:sz w:val="36"/>
          <w:szCs w:val="36"/>
        </w:rPr>
      </w:pPr>
      <w:r w:rsidRPr="00B01C39">
        <w:rPr>
          <w:b/>
          <w:bCs/>
          <w:sz w:val="36"/>
          <w:szCs w:val="36"/>
        </w:rPr>
        <w:t>Managing Food and Beverage</w:t>
      </w:r>
      <w:r>
        <w:rPr>
          <w:b/>
          <w:bCs/>
          <w:sz w:val="36"/>
          <w:szCs w:val="36"/>
        </w:rPr>
        <w:t xml:space="preserve"> </w:t>
      </w:r>
      <w:r w:rsidRPr="00B01C39">
        <w:rPr>
          <w:b/>
          <w:bCs/>
          <w:sz w:val="36"/>
          <w:szCs w:val="36"/>
        </w:rPr>
        <w:t>Operations</w:t>
      </w:r>
    </w:p>
    <w:p w14:paraId="68E2426B" w14:textId="191DA6B2" w:rsidR="00B01C39" w:rsidRPr="00B01C39" w:rsidRDefault="00B01C39" w:rsidP="00B01C39">
      <w:pPr>
        <w:jc w:val="center"/>
        <w:rPr>
          <w:b/>
          <w:bCs/>
          <w:sz w:val="36"/>
          <w:szCs w:val="36"/>
        </w:rPr>
      </w:pPr>
      <w:r w:rsidRPr="00B01C39">
        <w:rPr>
          <w:b/>
          <w:bCs/>
          <w:sz w:val="36"/>
          <w:szCs w:val="36"/>
        </w:rPr>
        <w:t>BMIH6002</w:t>
      </w:r>
    </w:p>
    <w:p w14:paraId="55058F7A" w14:textId="30BB1744" w:rsidR="00B01C39" w:rsidRPr="00B01C39" w:rsidRDefault="00B01C39" w:rsidP="00B01C39">
      <w:pPr>
        <w:jc w:val="center"/>
        <w:rPr>
          <w:b/>
          <w:bCs/>
          <w:sz w:val="36"/>
          <w:szCs w:val="36"/>
        </w:rPr>
      </w:pPr>
      <w:r w:rsidRPr="00B01C39">
        <w:rPr>
          <w:b/>
          <w:bCs/>
          <w:sz w:val="36"/>
          <w:szCs w:val="36"/>
        </w:rPr>
        <w:t>Assignment Title:</w:t>
      </w:r>
      <w:r>
        <w:rPr>
          <w:b/>
          <w:bCs/>
          <w:sz w:val="36"/>
          <w:szCs w:val="36"/>
        </w:rPr>
        <w:t xml:space="preserve"> </w:t>
      </w:r>
      <w:r w:rsidRPr="00B01C39">
        <w:rPr>
          <w:b/>
          <w:bCs/>
          <w:sz w:val="36"/>
          <w:szCs w:val="36"/>
        </w:rPr>
        <w:t>Student Learning Log</w:t>
      </w:r>
    </w:p>
    <w:p w14:paraId="36CC24E5" w14:textId="327204E2" w:rsidR="00B01C39" w:rsidRPr="00B01C39" w:rsidRDefault="00B01C39" w:rsidP="00B01C39">
      <w:pPr>
        <w:jc w:val="center"/>
        <w:rPr>
          <w:b/>
          <w:bCs/>
          <w:szCs w:val="24"/>
        </w:rPr>
      </w:pPr>
      <w:r w:rsidRPr="00B01C39">
        <w:rPr>
          <w:b/>
          <w:bCs/>
          <w:szCs w:val="24"/>
        </w:rPr>
        <w:t>Student Name:</w:t>
      </w:r>
      <w:r w:rsidR="00A41FA8">
        <w:rPr>
          <w:b/>
          <w:bCs/>
          <w:szCs w:val="24"/>
        </w:rPr>
        <w:t xml:space="preserve"> Urszula Anna Joniak </w:t>
      </w:r>
    </w:p>
    <w:p w14:paraId="63B319E7" w14:textId="4818C40A" w:rsidR="00B01C39" w:rsidRDefault="00B01C39" w:rsidP="00B01C39">
      <w:pPr>
        <w:jc w:val="center"/>
        <w:rPr>
          <w:b/>
          <w:bCs/>
          <w:szCs w:val="24"/>
        </w:rPr>
      </w:pPr>
      <w:r w:rsidRPr="00B01C39">
        <w:rPr>
          <w:b/>
          <w:bCs/>
          <w:szCs w:val="24"/>
        </w:rPr>
        <w:t>Student ID:</w:t>
      </w:r>
      <w:r w:rsidR="00A41FA8">
        <w:rPr>
          <w:b/>
          <w:bCs/>
          <w:szCs w:val="24"/>
        </w:rPr>
        <w:t xml:space="preserve"> 2026294</w:t>
      </w:r>
    </w:p>
    <w:p w14:paraId="7B99620C" w14:textId="46535AB9" w:rsidR="00B01C39" w:rsidRDefault="00B01C39">
      <w:pPr>
        <w:spacing w:before="0" w:after="160" w:line="259" w:lineRule="auto"/>
        <w:jc w:val="left"/>
        <w:rPr>
          <w:b/>
          <w:bCs/>
          <w:szCs w:val="24"/>
        </w:rPr>
      </w:pPr>
      <w:r>
        <w:rPr>
          <w:b/>
          <w:bCs/>
          <w:szCs w:val="24"/>
        </w:rPr>
        <w:br w:type="page"/>
      </w:r>
    </w:p>
    <w:sdt>
      <w:sdtPr>
        <w:rPr>
          <w:rFonts w:ascii="Times New Roman" w:eastAsiaTheme="minorHAnsi" w:hAnsi="Times New Roman" w:cstheme="minorBidi"/>
          <w:color w:val="auto"/>
          <w:sz w:val="24"/>
          <w:szCs w:val="22"/>
          <w:lang w:val="en-GB"/>
        </w:rPr>
        <w:id w:val="-2125837489"/>
        <w:docPartObj>
          <w:docPartGallery w:val="Table of Contents"/>
          <w:docPartUnique/>
        </w:docPartObj>
      </w:sdtPr>
      <w:sdtEndPr>
        <w:rPr>
          <w:b/>
          <w:bCs/>
          <w:noProof/>
        </w:rPr>
      </w:sdtEndPr>
      <w:sdtContent>
        <w:p w14:paraId="7698A333" w14:textId="50FE2384" w:rsidR="00760A96" w:rsidRDefault="00760A96">
          <w:pPr>
            <w:pStyle w:val="Nagwekspisutreci"/>
          </w:pPr>
          <w:r>
            <w:t>Table of Contents</w:t>
          </w:r>
        </w:p>
        <w:p w14:paraId="0057D164" w14:textId="3113ECD5" w:rsidR="00760A96" w:rsidRDefault="00760A96">
          <w:pPr>
            <w:pStyle w:val="Spistreci1"/>
            <w:tabs>
              <w:tab w:val="right" w:leader="dot" w:pos="9350"/>
            </w:tabs>
            <w:rPr>
              <w:noProof/>
            </w:rPr>
          </w:pPr>
          <w:r>
            <w:fldChar w:fldCharType="begin"/>
          </w:r>
          <w:r>
            <w:instrText xml:space="preserve"> TOC \o "1-3" \h \z \u </w:instrText>
          </w:r>
          <w:r>
            <w:fldChar w:fldCharType="separate"/>
          </w:r>
          <w:hyperlink w:anchor="_Toc149148342" w:history="1">
            <w:r w:rsidRPr="003250D5">
              <w:rPr>
                <w:rStyle w:val="Hipercze"/>
                <w:noProof/>
              </w:rPr>
              <w:t>Introduction</w:t>
            </w:r>
            <w:r>
              <w:rPr>
                <w:noProof/>
                <w:webHidden/>
              </w:rPr>
              <w:tab/>
            </w:r>
            <w:r>
              <w:rPr>
                <w:noProof/>
                <w:webHidden/>
              </w:rPr>
              <w:fldChar w:fldCharType="begin"/>
            </w:r>
            <w:r>
              <w:rPr>
                <w:noProof/>
                <w:webHidden/>
              </w:rPr>
              <w:instrText xml:space="preserve"> PAGEREF _Toc149148342 \h </w:instrText>
            </w:r>
            <w:r>
              <w:rPr>
                <w:noProof/>
                <w:webHidden/>
              </w:rPr>
            </w:r>
            <w:r>
              <w:rPr>
                <w:noProof/>
                <w:webHidden/>
              </w:rPr>
              <w:fldChar w:fldCharType="separate"/>
            </w:r>
            <w:r>
              <w:rPr>
                <w:noProof/>
                <w:webHidden/>
              </w:rPr>
              <w:t>3</w:t>
            </w:r>
            <w:r>
              <w:rPr>
                <w:noProof/>
                <w:webHidden/>
              </w:rPr>
              <w:fldChar w:fldCharType="end"/>
            </w:r>
          </w:hyperlink>
        </w:p>
        <w:p w14:paraId="440893E3" w14:textId="595CD9EC" w:rsidR="00760A96" w:rsidRDefault="00000000">
          <w:pPr>
            <w:pStyle w:val="Spistreci1"/>
            <w:tabs>
              <w:tab w:val="right" w:leader="dot" w:pos="9350"/>
            </w:tabs>
            <w:rPr>
              <w:noProof/>
            </w:rPr>
          </w:pPr>
          <w:hyperlink w:anchor="_Toc149148343" w:history="1">
            <w:r w:rsidR="00760A96" w:rsidRPr="003250D5">
              <w:rPr>
                <w:rStyle w:val="Hipercze"/>
                <w:noProof/>
              </w:rPr>
              <w:t>Discussion</w:t>
            </w:r>
            <w:r w:rsidR="00760A96">
              <w:rPr>
                <w:noProof/>
                <w:webHidden/>
              </w:rPr>
              <w:tab/>
            </w:r>
            <w:r w:rsidR="00760A96">
              <w:rPr>
                <w:noProof/>
                <w:webHidden/>
              </w:rPr>
              <w:fldChar w:fldCharType="begin"/>
            </w:r>
            <w:r w:rsidR="00760A96">
              <w:rPr>
                <w:noProof/>
                <w:webHidden/>
              </w:rPr>
              <w:instrText xml:space="preserve"> PAGEREF _Toc149148343 \h </w:instrText>
            </w:r>
            <w:r w:rsidR="00760A96">
              <w:rPr>
                <w:noProof/>
                <w:webHidden/>
              </w:rPr>
            </w:r>
            <w:r w:rsidR="00760A96">
              <w:rPr>
                <w:noProof/>
                <w:webHidden/>
              </w:rPr>
              <w:fldChar w:fldCharType="separate"/>
            </w:r>
            <w:r w:rsidR="00760A96">
              <w:rPr>
                <w:noProof/>
                <w:webHidden/>
              </w:rPr>
              <w:t>4</w:t>
            </w:r>
            <w:r w:rsidR="00760A96">
              <w:rPr>
                <w:noProof/>
                <w:webHidden/>
              </w:rPr>
              <w:fldChar w:fldCharType="end"/>
            </w:r>
          </w:hyperlink>
        </w:p>
        <w:p w14:paraId="181E4BE7" w14:textId="5BD9E09D" w:rsidR="00760A96" w:rsidRDefault="00000000">
          <w:pPr>
            <w:pStyle w:val="Spistreci1"/>
            <w:tabs>
              <w:tab w:val="right" w:leader="dot" w:pos="9350"/>
            </w:tabs>
            <w:rPr>
              <w:noProof/>
            </w:rPr>
          </w:pPr>
          <w:hyperlink w:anchor="_Toc149148344" w:history="1">
            <w:r w:rsidR="00760A96" w:rsidRPr="003250D5">
              <w:rPr>
                <w:rStyle w:val="Hipercze"/>
                <w:noProof/>
              </w:rPr>
              <w:t>Conclusion</w:t>
            </w:r>
            <w:r w:rsidR="00760A96">
              <w:rPr>
                <w:noProof/>
                <w:webHidden/>
              </w:rPr>
              <w:tab/>
            </w:r>
            <w:r w:rsidR="00760A96">
              <w:rPr>
                <w:noProof/>
                <w:webHidden/>
              </w:rPr>
              <w:fldChar w:fldCharType="begin"/>
            </w:r>
            <w:r w:rsidR="00760A96">
              <w:rPr>
                <w:noProof/>
                <w:webHidden/>
              </w:rPr>
              <w:instrText xml:space="preserve"> PAGEREF _Toc149148344 \h </w:instrText>
            </w:r>
            <w:r w:rsidR="00760A96">
              <w:rPr>
                <w:noProof/>
                <w:webHidden/>
              </w:rPr>
            </w:r>
            <w:r w:rsidR="00760A96">
              <w:rPr>
                <w:noProof/>
                <w:webHidden/>
              </w:rPr>
              <w:fldChar w:fldCharType="separate"/>
            </w:r>
            <w:r w:rsidR="00760A96">
              <w:rPr>
                <w:noProof/>
                <w:webHidden/>
              </w:rPr>
              <w:t>8</w:t>
            </w:r>
            <w:r w:rsidR="00760A96">
              <w:rPr>
                <w:noProof/>
                <w:webHidden/>
              </w:rPr>
              <w:fldChar w:fldCharType="end"/>
            </w:r>
          </w:hyperlink>
        </w:p>
        <w:p w14:paraId="5D529603" w14:textId="73925243" w:rsidR="00760A96" w:rsidRDefault="00000000">
          <w:pPr>
            <w:pStyle w:val="Spistreci1"/>
            <w:tabs>
              <w:tab w:val="right" w:leader="dot" w:pos="9350"/>
            </w:tabs>
            <w:rPr>
              <w:noProof/>
            </w:rPr>
          </w:pPr>
          <w:hyperlink w:anchor="_Toc149148345" w:history="1">
            <w:r w:rsidR="00760A96" w:rsidRPr="003250D5">
              <w:rPr>
                <w:rStyle w:val="Hipercze"/>
                <w:noProof/>
              </w:rPr>
              <w:t>References</w:t>
            </w:r>
            <w:r w:rsidR="00760A96">
              <w:rPr>
                <w:noProof/>
                <w:webHidden/>
              </w:rPr>
              <w:tab/>
            </w:r>
            <w:r w:rsidR="00760A96">
              <w:rPr>
                <w:noProof/>
                <w:webHidden/>
              </w:rPr>
              <w:fldChar w:fldCharType="begin"/>
            </w:r>
            <w:r w:rsidR="00760A96">
              <w:rPr>
                <w:noProof/>
                <w:webHidden/>
              </w:rPr>
              <w:instrText xml:space="preserve"> PAGEREF _Toc149148345 \h </w:instrText>
            </w:r>
            <w:r w:rsidR="00760A96">
              <w:rPr>
                <w:noProof/>
                <w:webHidden/>
              </w:rPr>
            </w:r>
            <w:r w:rsidR="00760A96">
              <w:rPr>
                <w:noProof/>
                <w:webHidden/>
              </w:rPr>
              <w:fldChar w:fldCharType="separate"/>
            </w:r>
            <w:r w:rsidR="00760A96">
              <w:rPr>
                <w:noProof/>
                <w:webHidden/>
              </w:rPr>
              <w:t>9</w:t>
            </w:r>
            <w:r w:rsidR="00760A96">
              <w:rPr>
                <w:noProof/>
                <w:webHidden/>
              </w:rPr>
              <w:fldChar w:fldCharType="end"/>
            </w:r>
          </w:hyperlink>
        </w:p>
        <w:p w14:paraId="58B9CEFE" w14:textId="4F6AD870" w:rsidR="00760A96" w:rsidRDefault="00760A96">
          <w:r>
            <w:rPr>
              <w:b/>
              <w:bCs/>
              <w:noProof/>
            </w:rPr>
            <w:fldChar w:fldCharType="end"/>
          </w:r>
        </w:p>
      </w:sdtContent>
    </w:sdt>
    <w:p w14:paraId="1DFCFD62" w14:textId="77777777" w:rsidR="00760A96" w:rsidRDefault="00760A96">
      <w:pPr>
        <w:spacing w:before="0" w:after="160" w:line="259" w:lineRule="auto"/>
        <w:jc w:val="left"/>
        <w:rPr>
          <w:rFonts w:eastAsiaTheme="majorEastAsia" w:cstheme="majorBidi"/>
          <w:b/>
          <w:bCs/>
          <w:sz w:val="28"/>
          <w:szCs w:val="32"/>
        </w:rPr>
      </w:pPr>
      <w:r>
        <w:br w:type="page"/>
      </w:r>
    </w:p>
    <w:p w14:paraId="20C15905" w14:textId="1B3A1324" w:rsidR="00CA3CBF" w:rsidRDefault="00CA3CBF" w:rsidP="009A4F6E">
      <w:pPr>
        <w:pStyle w:val="Nagwek1"/>
      </w:pPr>
      <w:bookmarkStart w:id="0" w:name="_Toc149148342"/>
      <w:r>
        <w:t>Introduction</w:t>
      </w:r>
      <w:bookmarkEnd w:id="0"/>
    </w:p>
    <w:p w14:paraId="3480D8B4" w14:textId="7D4953D2" w:rsidR="00CA3CBF" w:rsidRDefault="00CA3CBF" w:rsidP="00CA3CBF">
      <w:pPr>
        <w:pStyle w:val="NormalnyWeb"/>
        <w:spacing w:before="0" w:beforeAutospacing="0" w:after="0" w:afterAutospacing="0" w:line="480" w:lineRule="auto"/>
        <w:jc w:val="both"/>
        <w:rPr>
          <w:color w:val="000000"/>
        </w:rPr>
      </w:pPr>
      <w:r>
        <w:rPr>
          <w:color w:val="000000"/>
        </w:rPr>
        <w:t xml:space="preserve">Food and beverage management includes organising, planning, controlling and directing food and beverage operational scenarios in an efficient way. Again, A student learning log generally refers to a specific process of recording the learning journey of a student along with their progress. Learning log guides learners to complete certain creative academic assignments by increasing their engaging capability. Therefore, in this context, the following student learning log will be developed in the light of demonstrating a reflective learning experience of attaining key skills while working for </w:t>
      </w:r>
      <w:r w:rsidR="00C77377">
        <w:rPr>
          <w:color w:val="000000"/>
        </w:rPr>
        <w:t xml:space="preserve">the </w:t>
      </w:r>
      <w:r w:rsidR="004A1FE8">
        <w:rPr>
          <w:color w:val="000000"/>
        </w:rPr>
        <w:t xml:space="preserve">Ibis </w:t>
      </w:r>
      <w:r w:rsidR="00843C3D">
        <w:rPr>
          <w:color w:val="000000"/>
        </w:rPr>
        <w:t>Hotel</w:t>
      </w:r>
      <w:r>
        <w:rPr>
          <w:color w:val="000000"/>
        </w:rPr>
        <w:t xml:space="preserve"> situated in </w:t>
      </w:r>
      <w:r w:rsidR="004316D2">
        <w:rPr>
          <w:color w:val="000000"/>
        </w:rPr>
        <w:t>Brighton.</w:t>
      </w:r>
      <w:r>
        <w:rPr>
          <w:color w:val="000000"/>
        </w:rPr>
        <w:t xml:space="preserve"> Moreover, this learning log will also depict an overview of the placement alongside a self-reflection on managing emerging issues with effective theories and developing a journey of key skills by Gibbs’ Reflective Model. </w:t>
      </w:r>
    </w:p>
    <w:p w14:paraId="6A8D37CB" w14:textId="46A26394" w:rsidR="00CA3CBF" w:rsidRPr="00CA3CBF" w:rsidRDefault="00CA3CBF" w:rsidP="00CA3CBF">
      <w:pPr>
        <w:spacing w:before="0" w:after="160" w:line="259" w:lineRule="auto"/>
        <w:jc w:val="left"/>
        <w:rPr>
          <w:rFonts w:eastAsia="Times New Roman" w:cs="Times New Roman"/>
          <w:color w:val="000000"/>
          <w:szCs w:val="24"/>
          <w:lang w:eastAsia="en-GB"/>
        </w:rPr>
      </w:pPr>
      <w:r>
        <w:rPr>
          <w:color w:val="000000"/>
        </w:rPr>
        <w:br w:type="page"/>
      </w:r>
    </w:p>
    <w:p w14:paraId="4E063A98" w14:textId="77777777" w:rsidR="00CA3CBF" w:rsidRDefault="00CA3CBF" w:rsidP="009A4F6E">
      <w:pPr>
        <w:pStyle w:val="Nagwek1"/>
      </w:pPr>
      <w:bookmarkStart w:id="1" w:name="_Toc149148343"/>
      <w:r>
        <w:t>Discussion</w:t>
      </w:r>
      <w:bookmarkEnd w:id="1"/>
      <w:r>
        <w:t> </w:t>
      </w:r>
    </w:p>
    <w:p w14:paraId="6002C4D0" w14:textId="03E64626" w:rsidR="00CA3CBF" w:rsidRDefault="00CA3CBF" w:rsidP="00CA3CBF">
      <w:pPr>
        <w:pStyle w:val="NormalnyWeb"/>
        <w:spacing w:before="0" w:beforeAutospacing="0" w:after="0" w:afterAutospacing="0" w:line="480" w:lineRule="auto"/>
        <w:jc w:val="both"/>
      </w:pPr>
      <w:r>
        <w:rPr>
          <w:color w:val="000000"/>
        </w:rPr>
        <w:t xml:space="preserve">Food beverage management requires certain skills to be acquired within an individual and thus to gain an additional competitive advantage in order to secure a higher job role in the overall placement process </w:t>
      </w:r>
      <w:sdt>
        <w:sdtPr>
          <w:rPr>
            <w:color w:val="000000"/>
          </w:rPr>
          <w:id w:val="2039164124"/>
          <w:citation/>
        </w:sdtPr>
        <w:sdtContent>
          <w:r>
            <w:rPr>
              <w:color w:val="000000"/>
            </w:rPr>
            <w:fldChar w:fldCharType="begin"/>
          </w:r>
          <w:r>
            <w:rPr>
              <w:color w:val="000000"/>
              <w:lang w:val="en-US"/>
            </w:rPr>
            <w:instrText xml:space="preserve"> CITATION Foo23 \l 1033 </w:instrText>
          </w:r>
          <w:r>
            <w:rPr>
              <w:color w:val="000000"/>
            </w:rPr>
            <w:fldChar w:fldCharType="separate"/>
          </w:r>
          <w:r w:rsidRPr="00CA3CBF">
            <w:rPr>
              <w:noProof/>
              <w:color w:val="000000"/>
              <w:lang w:val="en-US"/>
            </w:rPr>
            <w:t>(Food Standard Agency , 2023)</w:t>
          </w:r>
          <w:r>
            <w:rPr>
              <w:color w:val="000000"/>
            </w:rPr>
            <w:fldChar w:fldCharType="end"/>
          </w:r>
        </w:sdtContent>
      </w:sdt>
      <w:r>
        <w:rPr>
          <w:color w:val="000000"/>
        </w:rPr>
        <w:t xml:space="preserve">. Therefore, attaining those specific skills is one of the most important tasks to do before the placement approach. I have achieved the aforementioned salient skills through an efficient action plan to ace the placement round while working for </w:t>
      </w:r>
      <w:r w:rsidR="00B075FA">
        <w:rPr>
          <w:color w:val="000000"/>
        </w:rPr>
        <w:t>Ibis Hotel</w:t>
      </w:r>
      <w:r>
        <w:rPr>
          <w:color w:val="000000"/>
        </w:rPr>
        <w:t>. The Gibbs reflective model has helped me a lot to describe my entire learning experiences of the key skills by going through each step effectively (ASET, 2017). The description stage elaborates an overview of my developmental journey towards self-development, academic growth and vocational evolution. Self-management skills are highly important for gaining the ability to control as well as regulate behavioural traits and emotions. Task management on the other hand helps boost performance levels and communication skills could assist me in understanding situations and people to a greater extent (Fallon and Rutherford, 2010). Again, applying expertise and knowledge in any specific field could help me in taking fruitful initiative within the workplace to resolve even complex issues conveniently. Along with this, the feelings stage guides me to reflect on my own developmental experiences. After developing self-management skills, I have developed additional associated skills related to the food and beverage sector. The skills allow me to feel even more confident while attending to cost control problems, customer services and effective menu planning procedures (Hagg, 2013). Task management skills again have enriched me with inventory management as well as cash handling and stocking. Apart from this, communication skills have nourished me by excelling at guest services along with scheduling their bookings in the hotels as per their choices and demands. Additionally, cultivating the skills to apply apt knowledge in specific situations has permitted me to feel more optimistic about solving any management-related issues related to the food and beverage company. The next step namely, evaluation guides me to identify my area of improvement and the significance of the aforementioned key skills within me (Johnston et al., 2012). The skills related to self-management could enable me to stay autonomous and productive at the same time by reducing the friction within the workforce to increase my chance of being selected for this placement. Task management skills aid me with the capability of prioritising tasks by avoiding procrastination and uplifting time efficiency. However, the skills to execute proficient communication are still in progress and need curious improvements by recognising lacking areas. Apart from this, I have understood that I still lack enough knowledge about the food and beverage industry and therefore need to take action accordingly to rectify the mentioned aspects (Vallen et al., 2014). Again, in the analysis stage, I would be able to outline certain ways to conceive the lacking areas while developing the skills within me. My self-management and Task-management skills have developed successfully by embracing my strengths, adapting to challenges, setting goals, and generating efficient schedules. However, my introverted nature has hindered me a lot in developing effective communication skills and in this context, linguistic barriers are also a potential obstacle to being adept in this field to comprehend guests with more convenience. This would further allow me to serve the guests their preferred food and beverages by analysing their requirements and demands. Again, I lack sufficient knowledge about the specific field and it is an outcome of my reluctance to read related articles and blogs by exploring secondary resources</w:t>
      </w:r>
      <w:r w:rsidR="00F21AD9">
        <w:rPr>
          <w:color w:val="000000"/>
        </w:rPr>
        <w:t xml:space="preserve"> (Wood, 2013).</w:t>
      </w:r>
      <w:r>
        <w:rPr>
          <w:color w:val="000000"/>
        </w:rPr>
        <w:t xml:space="preserve"> Therefore, I need to devise these skills within me to excel at resolving emerging problems within the workforce. The conclusion stage helps me identify my drawbacks in the whole journey of learning these skills and I have understood their importance in order to survive in the food and beverage company by gracefully passing the placement procedure. I have realised that self-management skills are immensely significant to elevating my employability by handling stress and excelling at time management effectively. Task management skills are important to improve the quality of my performance by shaping my decision-making process along with working efficiency. Taking inclusive endeavours while dealing with certain issues regarding the workplace needs to be taken into account to increase the overall brand value of my company. Along with this, I have understood that I should indulge in the strategy of attaining communication skills by practising active listening and by being specific to enhance both verbal and non-verbal skills. Additionally, I have again realised that I need to sharpen my academic knowledge by accessing online resources and attending professional events</w:t>
      </w:r>
      <w:r w:rsidR="00F21AD9">
        <w:rPr>
          <w:color w:val="000000"/>
        </w:rPr>
        <w:t xml:space="preserve"> (UWTSD, 2019).</w:t>
      </w:r>
      <w:r>
        <w:rPr>
          <w:color w:val="000000"/>
        </w:rPr>
        <w:t xml:space="preserve"> The lost opportunities might involve lifecycle costs, and improving safety by implementing digital culture through technical tools. Furthermore, according to the last stage called the action plan, I have developed my communication skills by expanding the network to interact with more people and attained enough knowledge by getting into short-term courses. </w:t>
      </w:r>
    </w:p>
    <w:p w14:paraId="65455978" w14:textId="58C9E52E" w:rsidR="00CA3CBF" w:rsidRDefault="00CA3CBF" w:rsidP="00CA3CBF">
      <w:pPr>
        <w:pStyle w:val="NormalnyWeb"/>
        <w:spacing w:before="0" w:beforeAutospacing="0" w:after="0" w:afterAutospacing="0" w:line="480" w:lineRule="auto"/>
        <w:jc w:val="both"/>
      </w:pPr>
      <w:r>
        <w:rPr>
          <w:color w:val="000000"/>
        </w:rPr>
        <w:t xml:space="preserve">During the entire journey within </w:t>
      </w:r>
      <w:r w:rsidR="00C77377">
        <w:rPr>
          <w:color w:val="000000"/>
        </w:rPr>
        <w:t xml:space="preserve">the </w:t>
      </w:r>
      <w:r w:rsidR="004F2A92">
        <w:rPr>
          <w:color w:val="000000"/>
        </w:rPr>
        <w:t>Ibis Hotel</w:t>
      </w:r>
      <w:r>
        <w:rPr>
          <w:color w:val="000000"/>
        </w:rPr>
        <w:t>, I and the management team encountered a certain issue related to people management. People management refers to the procedure of hiring, training, committing and retaining employees in order to maximise the productivity level and optimise their talents. Therefore, because of a lack of efficient people management, there was an increase in internal conflicts for poor job-role division along with a reduction in performance rate. The above issue could be resolved by focusing on the administrative theory of management, developed by Henri Fayol</w:t>
      </w:r>
      <w:r w:rsidR="00F21AD9">
        <w:rPr>
          <w:color w:val="000000"/>
        </w:rPr>
        <w:t xml:space="preserve"> (Hagg, 2013). </w:t>
      </w:r>
      <w:r>
        <w:rPr>
          <w:color w:val="000000"/>
        </w:rPr>
        <w:t xml:space="preserve">This theory deals with elevating the productivity of the workforce by emphasising human behaviour and organisational structure. Again, the theory revolves around certain steps such as organising, planning, commanding, coordinating and controlling aspects. Fayol’s administrative theory is highly important as it suggests the authority and management team handle emerging situations with ease along with even formatting of tasks with potential organisational structure. The goal of administrative theory is to define a clear structure within the workforce to solve the people management issue and motivate employees to engage in teamwork to sustain higher business growth. The benefits of the theory also include the concept of pay equality to induce the non-monetary compensation process and this could encourage the employees to conduct peer-to-peer support and maintain a top-down model overall in the business structure. Moreover, all these together could help the company to meet the lost opportunities to achieve more prosperous business growth in future </w:t>
      </w:r>
      <w:sdt>
        <w:sdtPr>
          <w:rPr>
            <w:color w:val="000000"/>
          </w:rPr>
          <w:id w:val="-151441713"/>
          <w:citation/>
        </w:sdtPr>
        <w:sdtContent>
          <w:r>
            <w:rPr>
              <w:color w:val="000000"/>
            </w:rPr>
            <w:fldChar w:fldCharType="begin"/>
          </w:r>
          <w:r>
            <w:rPr>
              <w:color w:val="000000"/>
              <w:lang w:val="en-US"/>
            </w:rPr>
            <w:instrText xml:space="preserve"> CITATION BBC2342 \l 1033 </w:instrText>
          </w:r>
          <w:r>
            <w:rPr>
              <w:color w:val="000000"/>
            </w:rPr>
            <w:fldChar w:fldCharType="separate"/>
          </w:r>
          <w:r w:rsidRPr="00CA3CBF">
            <w:rPr>
              <w:noProof/>
              <w:color w:val="000000"/>
              <w:lang w:val="en-US"/>
            </w:rPr>
            <w:t>(BBC, 2023)</w:t>
          </w:r>
          <w:r>
            <w:rPr>
              <w:color w:val="000000"/>
            </w:rPr>
            <w:fldChar w:fldCharType="end"/>
          </w:r>
        </w:sdtContent>
      </w:sdt>
      <w:r>
        <w:rPr>
          <w:color w:val="000000"/>
        </w:rPr>
        <w:t>. </w:t>
      </w:r>
    </w:p>
    <w:p w14:paraId="17F0447C" w14:textId="77777777" w:rsidR="00CA3CBF" w:rsidRDefault="00CA3CBF">
      <w:pPr>
        <w:spacing w:before="0" w:after="160" w:line="259" w:lineRule="auto"/>
        <w:jc w:val="left"/>
        <w:rPr>
          <w:rFonts w:eastAsia="Times New Roman" w:cs="Times New Roman"/>
          <w:b/>
          <w:bCs/>
          <w:color w:val="000000"/>
          <w:szCs w:val="24"/>
          <w:lang w:eastAsia="en-GB"/>
        </w:rPr>
      </w:pPr>
      <w:r>
        <w:rPr>
          <w:b/>
          <w:bCs/>
          <w:color w:val="000000"/>
        </w:rPr>
        <w:br w:type="page"/>
      </w:r>
    </w:p>
    <w:p w14:paraId="30863EBD" w14:textId="41A5FD39" w:rsidR="00CA3CBF" w:rsidRDefault="00CA3CBF" w:rsidP="009A4F6E">
      <w:pPr>
        <w:pStyle w:val="Nagwek1"/>
      </w:pPr>
      <w:bookmarkStart w:id="2" w:name="_Toc149148344"/>
      <w:r>
        <w:t>Conclusion</w:t>
      </w:r>
      <w:bookmarkEnd w:id="2"/>
      <w:r>
        <w:t> </w:t>
      </w:r>
    </w:p>
    <w:p w14:paraId="2921B2F3" w14:textId="279D9949" w:rsidR="00CA3CBF" w:rsidRDefault="00CA3CBF" w:rsidP="00CA3CBF">
      <w:pPr>
        <w:pStyle w:val="NormalnyWeb"/>
        <w:spacing w:before="0" w:beforeAutospacing="0" w:after="0" w:afterAutospacing="0" w:line="480" w:lineRule="auto"/>
        <w:jc w:val="both"/>
      </w:pPr>
      <w:r>
        <w:rPr>
          <w:color w:val="000000"/>
        </w:rPr>
        <w:t xml:space="preserve">The above </w:t>
      </w:r>
      <w:r w:rsidR="009A4F6E">
        <w:rPr>
          <w:color w:val="000000"/>
        </w:rPr>
        <w:t>learning log critically show</w:t>
      </w:r>
      <w:r w:rsidR="003E0545">
        <w:rPr>
          <w:color w:val="000000"/>
        </w:rPr>
        <w:t xml:space="preserve">s </w:t>
      </w:r>
      <w:r>
        <w:rPr>
          <w:color w:val="000000"/>
        </w:rPr>
        <w:t xml:space="preserve"> reflection on personal experiences about skill development in the food and beverage and kitchen</w:t>
      </w:r>
      <w:r w:rsidR="00BD10C1">
        <w:rPr>
          <w:color w:val="000000"/>
        </w:rPr>
        <w:t xml:space="preserve"> in </w:t>
      </w:r>
      <w:r w:rsidR="00C77377">
        <w:rPr>
          <w:color w:val="000000"/>
        </w:rPr>
        <w:t>the Ibis Hotel. T</w:t>
      </w:r>
      <w:r>
        <w:rPr>
          <w:color w:val="000000"/>
        </w:rPr>
        <w:t>herefore, in this context, a development record has been elaborated containing the development journey of vocational and academic aspects by shaping certain skills in accordance with Gibbs’ Reflective Model. Apart from this, it has been found that attaining self-management, communication, knowledge and task management skills have helped on a large scale to become more eligible for the placement round. Moreover, with the help of Henri Fayol’s administrative theory, the essay has showcased people management issues within the company along with effectiveness and potential solutions. </w:t>
      </w:r>
    </w:p>
    <w:p w14:paraId="06CC487F" w14:textId="77777777" w:rsidR="00B01C39" w:rsidRDefault="00B01C39" w:rsidP="00B01C39">
      <w:pPr>
        <w:jc w:val="center"/>
        <w:rPr>
          <w:b/>
          <w:bCs/>
          <w:szCs w:val="24"/>
        </w:rPr>
      </w:pPr>
    </w:p>
    <w:p w14:paraId="326FAB2B" w14:textId="01065363" w:rsidR="00B01C39" w:rsidRDefault="00B01C39">
      <w:pPr>
        <w:spacing w:before="0" w:after="160" w:line="259" w:lineRule="auto"/>
        <w:jc w:val="left"/>
        <w:rPr>
          <w:b/>
          <w:bCs/>
          <w:szCs w:val="24"/>
        </w:rPr>
      </w:pPr>
      <w:r>
        <w:rPr>
          <w:b/>
          <w:bCs/>
          <w:szCs w:val="24"/>
        </w:rPr>
        <w:br w:type="page"/>
      </w:r>
    </w:p>
    <w:p w14:paraId="6AB9AA5E" w14:textId="213BED26" w:rsidR="00B01C39" w:rsidRDefault="00CA3CBF" w:rsidP="00CA3CBF">
      <w:pPr>
        <w:pStyle w:val="Nagwek1"/>
      </w:pPr>
      <w:bookmarkStart w:id="3" w:name="_Toc149148345"/>
      <w:r>
        <w:t>References</w:t>
      </w:r>
      <w:bookmarkEnd w:id="3"/>
    </w:p>
    <w:p w14:paraId="665A996B" w14:textId="77777777" w:rsidR="00760A96" w:rsidRDefault="00760A96" w:rsidP="009A4F6E">
      <w:pPr>
        <w:spacing w:before="0" w:after="0"/>
        <w:rPr>
          <w:szCs w:val="24"/>
        </w:rPr>
      </w:pPr>
      <w:r w:rsidRPr="00CA3CBF">
        <w:rPr>
          <w:szCs w:val="24"/>
        </w:rPr>
        <w:t>ASET (2017) Good Practice Guide for Workbased and</w:t>
      </w:r>
      <w:r>
        <w:rPr>
          <w:szCs w:val="24"/>
        </w:rPr>
        <w:t xml:space="preserve"> </w:t>
      </w:r>
      <w:r w:rsidRPr="00CA3CBF">
        <w:rPr>
          <w:szCs w:val="24"/>
        </w:rPr>
        <w:t>Placement Learning in Higher Education, ASET, Sheffield</w:t>
      </w:r>
      <w:r>
        <w:rPr>
          <w:szCs w:val="24"/>
        </w:rPr>
        <w:t>.</w:t>
      </w:r>
    </w:p>
    <w:p w14:paraId="3CBC7F6E" w14:textId="77777777" w:rsidR="00760A96" w:rsidRDefault="00760A96" w:rsidP="009A4F6E">
      <w:pPr>
        <w:spacing w:before="0" w:after="0"/>
      </w:pPr>
      <w:r>
        <w:t>BBC, (2023). Decision making. [Online] Available at: https://www.bbc.co.uk/bitesize/guides/zkdc7nb/revision/3 [Accessed 15 October 2023].</w:t>
      </w:r>
    </w:p>
    <w:p w14:paraId="26716578" w14:textId="77777777" w:rsidR="00760A96" w:rsidRDefault="00760A96" w:rsidP="009A4F6E">
      <w:pPr>
        <w:spacing w:before="0" w:after="0"/>
        <w:rPr>
          <w:szCs w:val="24"/>
        </w:rPr>
      </w:pPr>
      <w:r w:rsidRPr="00CA3CBF">
        <w:rPr>
          <w:szCs w:val="24"/>
        </w:rPr>
        <w:t>Fallon,</w:t>
      </w:r>
      <w:r>
        <w:rPr>
          <w:szCs w:val="24"/>
        </w:rPr>
        <w:t xml:space="preserve"> </w:t>
      </w:r>
      <w:r w:rsidRPr="00CA3CBF">
        <w:rPr>
          <w:szCs w:val="24"/>
        </w:rPr>
        <w:t>M.&amp; Rutherford,</w:t>
      </w:r>
      <w:r>
        <w:rPr>
          <w:szCs w:val="24"/>
        </w:rPr>
        <w:t xml:space="preserve"> </w:t>
      </w:r>
      <w:r w:rsidRPr="00CA3CBF">
        <w:rPr>
          <w:szCs w:val="24"/>
        </w:rPr>
        <w:t>D. (2010) Hotel Management and</w:t>
      </w:r>
      <w:r>
        <w:rPr>
          <w:szCs w:val="24"/>
        </w:rPr>
        <w:t xml:space="preserve"> </w:t>
      </w:r>
      <w:r w:rsidRPr="00CA3CBF">
        <w:rPr>
          <w:szCs w:val="24"/>
        </w:rPr>
        <w:t>Operations, Wiley, London.</w:t>
      </w:r>
    </w:p>
    <w:p w14:paraId="674E8382" w14:textId="77777777" w:rsidR="00760A96" w:rsidRDefault="00760A96" w:rsidP="009A4F6E">
      <w:pPr>
        <w:spacing w:before="0" w:after="0"/>
      </w:pPr>
      <w:r>
        <w:t>Food Standard Agency, (2023). Food you can trust. [Online] Available at: https://www.food.gov.uk/ [Accessed 15 October 2023].</w:t>
      </w:r>
    </w:p>
    <w:p w14:paraId="4A18070A" w14:textId="77777777" w:rsidR="00760A96" w:rsidRDefault="00760A96" w:rsidP="009A4F6E">
      <w:pPr>
        <w:spacing w:before="0" w:after="0"/>
        <w:rPr>
          <w:szCs w:val="24"/>
        </w:rPr>
      </w:pPr>
      <w:r w:rsidRPr="00CA3CBF">
        <w:rPr>
          <w:szCs w:val="24"/>
        </w:rPr>
        <w:t>Hagg, E (2013) Internship Guide Eleven, The Hague</w:t>
      </w:r>
      <w:r>
        <w:rPr>
          <w:szCs w:val="24"/>
        </w:rPr>
        <w:t>.</w:t>
      </w:r>
    </w:p>
    <w:p w14:paraId="16D2EB4B" w14:textId="77777777" w:rsidR="00760A96" w:rsidRDefault="00760A96" w:rsidP="009A4F6E">
      <w:pPr>
        <w:spacing w:before="0" w:after="0"/>
        <w:rPr>
          <w:szCs w:val="24"/>
        </w:rPr>
      </w:pPr>
      <w:r w:rsidRPr="00CA3CBF">
        <w:rPr>
          <w:szCs w:val="24"/>
        </w:rPr>
        <w:t>Johnston,</w:t>
      </w:r>
      <w:r>
        <w:rPr>
          <w:szCs w:val="24"/>
        </w:rPr>
        <w:t xml:space="preserve"> </w:t>
      </w:r>
      <w:r w:rsidRPr="00CA3CBF">
        <w:rPr>
          <w:szCs w:val="24"/>
        </w:rPr>
        <w:t>R Clark,</w:t>
      </w:r>
      <w:r>
        <w:rPr>
          <w:szCs w:val="24"/>
        </w:rPr>
        <w:t xml:space="preserve"> </w:t>
      </w:r>
      <w:r w:rsidRPr="00CA3CBF">
        <w:rPr>
          <w:szCs w:val="24"/>
        </w:rPr>
        <w:t>G. Shulver,</w:t>
      </w:r>
      <w:r>
        <w:rPr>
          <w:szCs w:val="24"/>
        </w:rPr>
        <w:t xml:space="preserve"> </w:t>
      </w:r>
      <w:r w:rsidRPr="00CA3CBF">
        <w:rPr>
          <w:szCs w:val="24"/>
        </w:rPr>
        <w:t>M. (2012) Service</w:t>
      </w:r>
      <w:r>
        <w:rPr>
          <w:szCs w:val="24"/>
        </w:rPr>
        <w:t xml:space="preserve"> </w:t>
      </w:r>
      <w:r w:rsidRPr="00CA3CBF">
        <w:rPr>
          <w:szCs w:val="24"/>
        </w:rPr>
        <w:t>Operations Management, Pearson, London</w:t>
      </w:r>
      <w:r>
        <w:rPr>
          <w:szCs w:val="24"/>
        </w:rPr>
        <w:t>.</w:t>
      </w:r>
    </w:p>
    <w:p w14:paraId="34995BDC" w14:textId="77777777" w:rsidR="00760A96" w:rsidRDefault="00760A96" w:rsidP="009A4F6E">
      <w:pPr>
        <w:spacing w:before="0" w:after="0"/>
        <w:rPr>
          <w:szCs w:val="24"/>
        </w:rPr>
      </w:pPr>
      <w:r w:rsidRPr="00CA3CBF">
        <w:rPr>
          <w:szCs w:val="24"/>
        </w:rPr>
        <w:t>UWTSD (2019) Quality Handbook Chapter 10,</w:t>
      </w:r>
      <w:r>
        <w:rPr>
          <w:szCs w:val="24"/>
        </w:rPr>
        <w:t xml:space="preserve"> </w:t>
      </w:r>
      <w:r w:rsidRPr="00CA3CBF">
        <w:rPr>
          <w:szCs w:val="24"/>
        </w:rPr>
        <w:t>Carmarthen</w:t>
      </w:r>
      <w:r>
        <w:rPr>
          <w:szCs w:val="24"/>
        </w:rPr>
        <w:t>.</w:t>
      </w:r>
    </w:p>
    <w:p w14:paraId="7A65E8ED" w14:textId="77777777" w:rsidR="00760A96" w:rsidRDefault="00760A96" w:rsidP="009A4F6E">
      <w:pPr>
        <w:spacing w:before="0" w:after="0"/>
        <w:rPr>
          <w:szCs w:val="24"/>
        </w:rPr>
      </w:pPr>
      <w:r w:rsidRPr="00CA3CBF">
        <w:rPr>
          <w:szCs w:val="24"/>
        </w:rPr>
        <w:t>Vallen, G.K. &amp; Vallen, Jerome J. (2014) Check-in check-out: managing hotel operations Ninth edition.; Pearson</w:t>
      </w:r>
      <w:r>
        <w:rPr>
          <w:szCs w:val="24"/>
        </w:rPr>
        <w:t xml:space="preserve"> </w:t>
      </w:r>
      <w:r w:rsidRPr="00CA3CBF">
        <w:rPr>
          <w:szCs w:val="24"/>
        </w:rPr>
        <w:t>new international</w:t>
      </w:r>
      <w:r>
        <w:rPr>
          <w:szCs w:val="24"/>
        </w:rPr>
        <w:t>.</w:t>
      </w:r>
    </w:p>
    <w:p w14:paraId="32A5BC6B" w14:textId="77777777" w:rsidR="00760A96" w:rsidRDefault="00760A96" w:rsidP="009A4F6E">
      <w:pPr>
        <w:spacing w:before="0" w:after="0"/>
        <w:rPr>
          <w:szCs w:val="24"/>
        </w:rPr>
      </w:pPr>
      <w:r w:rsidRPr="00CA3CBF">
        <w:rPr>
          <w:szCs w:val="24"/>
        </w:rPr>
        <w:t>Wood,</w:t>
      </w:r>
      <w:r>
        <w:rPr>
          <w:szCs w:val="24"/>
        </w:rPr>
        <w:t xml:space="preserve"> </w:t>
      </w:r>
      <w:r w:rsidRPr="00CA3CBF">
        <w:rPr>
          <w:szCs w:val="24"/>
        </w:rPr>
        <w:t>R. (2013) Key Concepts in Hospitality Management,</w:t>
      </w:r>
      <w:r>
        <w:rPr>
          <w:szCs w:val="24"/>
        </w:rPr>
        <w:t xml:space="preserve"> </w:t>
      </w:r>
      <w:r w:rsidRPr="00CA3CBF">
        <w:rPr>
          <w:szCs w:val="24"/>
        </w:rPr>
        <w:t>Sage, London</w:t>
      </w:r>
      <w:r>
        <w:rPr>
          <w:szCs w:val="24"/>
        </w:rPr>
        <w:t>.</w:t>
      </w:r>
    </w:p>
    <w:sectPr w:rsidR="00760A96" w:rsidSect="00B01C39">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29A1A" w14:textId="77777777" w:rsidR="005E489F" w:rsidRDefault="005E489F" w:rsidP="00B01C39">
      <w:pPr>
        <w:spacing w:before="0" w:after="0" w:line="240" w:lineRule="auto"/>
      </w:pPr>
      <w:r>
        <w:separator/>
      </w:r>
    </w:p>
  </w:endnote>
  <w:endnote w:type="continuationSeparator" w:id="0">
    <w:p w14:paraId="36552D4F" w14:textId="77777777" w:rsidR="005E489F" w:rsidRDefault="005E489F" w:rsidP="00B01C3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7561984"/>
      <w:docPartObj>
        <w:docPartGallery w:val="Page Numbers (Bottom of Page)"/>
        <w:docPartUnique/>
      </w:docPartObj>
    </w:sdtPr>
    <w:sdtContent>
      <w:sdt>
        <w:sdtPr>
          <w:id w:val="-1769616900"/>
          <w:docPartObj>
            <w:docPartGallery w:val="Page Numbers (Top of Page)"/>
            <w:docPartUnique/>
          </w:docPartObj>
        </w:sdtPr>
        <w:sdtContent>
          <w:p w14:paraId="2138742E" w14:textId="2A0F5FB9" w:rsidR="00B01C39" w:rsidRDefault="00B01C39">
            <w:pPr>
              <w:pStyle w:val="Stopka"/>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3391EA6" w14:textId="77777777" w:rsidR="00B01C39" w:rsidRDefault="00B01C39">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0C88E" w14:textId="77777777" w:rsidR="005E489F" w:rsidRDefault="005E489F" w:rsidP="00B01C39">
      <w:pPr>
        <w:spacing w:before="0" w:after="0" w:line="240" w:lineRule="auto"/>
      </w:pPr>
      <w:r>
        <w:separator/>
      </w:r>
    </w:p>
  </w:footnote>
  <w:footnote w:type="continuationSeparator" w:id="0">
    <w:p w14:paraId="7995A79C" w14:textId="77777777" w:rsidR="005E489F" w:rsidRDefault="005E489F" w:rsidP="00B01C3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16212" w14:textId="63CBA8FF" w:rsidR="00B01C39" w:rsidRDefault="00B01C39" w:rsidP="00B01C39">
    <w:pPr>
      <w:pStyle w:val="Nagwek"/>
      <w:jc w:val="right"/>
    </w:pPr>
    <w:r>
      <w:t>Managing Food and Beverage Operations</w:t>
    </w:r>
  </w:p>
  <w:p w14:paraId="088005E4" w14:textId="77777777" w:rsidR="00B01C39" w:rsidRDefault="00B01C39">
    <w:pPr>
      <w:pStyle w:val="Nagwek"/>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C39"/>
    <w:rsid w:val="00027A0F"/>
    <w:rsid w:val="000F611E"/>
    <w:rsid w:val="00291051"/>
    <w:rsid w:val="003E0545"/>
    <w:rsid w:val="00415678"/>
    <w:rsid w:val="004316D2"/>
    <w:rsid w:val="004A1FE8"/>
    <w:rsid w:val="004F2A92"/>
    <w:rsid w:val="0051520B"/>
    <w:rsid w:val="00592A1E"/>
    <w:rsid w:val="005E489F"/>
    <w:rsid w:val="00685B63"/>
    <w:rsid w:val="00760A96"/>
    <w:rsid w:val="00843C3D"/>
    <w:rsid w:val="009A4F6E"/>
    <w:rsid w:val="00A34452"/>
    <w:rsid w:val="00A41FA8"/>
    <w:rsid w:val="00A56007"/>
    <w:rsid w:val="00B01C39"/>
    <w:rsid w:val="00B075FA"/>
    <w:rsid w:val="00B3662A"/>
    <w:rsid w:val="00B776F8"/>
    <w:rsid w:val="00BD10C1"/>
    <w:rsid w:val="00C77377"/>
    <w:rsid w:val="00CA3CBF"/>
    <w:rsid w:val="00CB6F5D"/>
    <w:rsid w:val="00CE3050"/>
    <w:rsid w:val="00F21A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290B3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B776F8"/>
    <w:pPr>
      <w:spacing w:before="120" w:after="280" w:line="480" w:lineRule="auto"/>
      <w:jc w:val="both"/>
    </w:pPr>
    <w:rPr>
      <w:rFonts w:ascii="Times New Roman" w:hAnsi="Times New Roman"/>
      <w:sz w:val="24"/>
      <w:lang w:val="en-GB"/>
    </w:rPr>
  </w:style>
  <w:style w:type="paragraph" w:styleId="Nagwek1">
    <w:name w:val="heading 1"/>
    <w:basedOn w:val="Normalny"/>
    <w:next w:val="Normalny"/>
    <w:link w:val="Nagwek1Znak"/>
    <w:autoRedefine/>
    <w:uiPriority w:val="9"/>
    <w:qFormat/>
    <w:rsid w:val="000F611E"/>
    <w:pPr>
      <w:keepNext/>
      <w:keepLines/>
      <w:spacing w:before="240" w:after="0"/>
      <w:outlineLvl w:val="0"/>
    </w:pPr>
    <w:rPr>
      <w:rFonts w:eastAsiaTheme="majorEastAsia" w:cstheme="majorBidi"/>
      <w:b/>
      <w:bCs/>
      <w:sz w:val="28"/>
      <w:szCs w:val="32"/>
    </w:rPr>
  </w:style>
  <w:style w:type="paragraph" w:styleId="Nagwek2">
    <w:name w:val="heading 2"/>
    <w:basedOn w:val="Normalny"/>
    <w:next w:val="Normalny"/>
    <w:link w:val="Nagwek2Znak"/>
    <w:uiPriority w:val="9"/>
    <w:semiHidden/>
    <w:unhideWhenUsed/>
    <w:qFormat/>
    <w:rsid w:val="000F611E"/>
    <w:pPr>
      <w:keepNext/>
      <w:keepLines/>
      <w:spacing w:before="40" w:after="0"/>
      <w:outlineLvl w:val="1"/>
    </w:pPr>
    <w:rPr>
      <w:rFonts w:eastAsiaTheme="majorEastAsia" w:cstheme="majorBidi"/>
      <w:b/>
      <w:sz w:val="26"/>
      <w:szCs w:val="26"/>
    </w:rPr>
  </w:style>
  <w:style w:type="paragraph" w:styleId="Nagwek3">
    <w:name w:val="heading 3"/>
    <w:basedOn w:val="Normalny"/>
    <w:next w:val="Normalny"/>
    <w:link w:val="Nagwek3Znak"/>
    <w:uiPriority w:val="9"/>
    <w:semiHidden/>
    <w:unhideWhenUsed/>
    <w:qFormat/>
    <w:rsid w:val="00A34452"/>
    <w:pPr>
      <w:keepNext/>
      <w:keepLines/>
      <w:spacing w:before="40" w:after="0"/>
      <w:outlineLvl w:val="2"/>
    </w:pPr>
    <w:rPr>
      <w:rFonts w:eastAsiaTheme="majorEastAsia" w:cstheme="majorBidi"/>
      <w:i/>
      <w:szCs w:val="24"/>
      <w:u w:val="single"/>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0F611E"/>
    <w:rPr>
      <w:rFonts w:ascii="Times New Roman" w:eastAsiaTheme="majorEastAsia" w:hAnsi="Times New Roman" w:cstheme="majorBidi"/>
      <w:b/>
      <w:bCs/>
      <w:sz w:val="28"/>
      <w:szCs w:val="32"/>
    </w:rPr>
  </w:style>
  <w:style w:type="character" w:customStyle="1" w:styleId="Nagwek2Znak">
    <w:name w:val="Nagłówek 2 Znak"/>
    <w:basedOn w:val="Domylnaczcionkaakapitu"/>
    <w:link w:val="Nagwek2"/>
    <w:uiPriority w:val="9"/>
    <w:semiHidden/>
    <w:rsid w:val="000F611E"/>
    <w:rPr>
      <w:rFonts w:ascii="Times New Roman" w:eastAsiaTheme="majorEastAsia" w:hAnsi="Times New Roman" w:cstheme="majorBidi"/>
      <w:b/>
      <w:sz w:val="26"/>
      <w:szCs w:val="26"/>
    </w:rPr>
  </w:style>
  <w:style w:type="character" w:customStyle="1" w:styleId="Nagwek3Znak">
    <w:name w:val="Nagłówek 3 Znak"/>
    <w:basedOn w:val="Domylnaczcionkaakapitu"/>
    <w:link w:val="Nagwek3"/>
    <w:uiPriority w:val="9"/>
    <w:semiHidden/>
    <w:rsid w:val="00A34452"/>
    <w:rPr>
      <w:rFonts w:ascii="Times New Roman" w:eastAsiaTheme="majorEastAsia" w:hAnsi="Times New Roman" w:cstheme="majorBidi"/>
      <w:i/>
      <w:sz w:val="24"/>
      <w:szCs w:val="24"/>
      <w:u w:val="single"/>
    </w:rPr>
  </w:style>
  <w:style w:type="paragraph" w:styleId="Nagwek">
    <w:name w:val="header"/>
    <w:basedOn w:val="Normalny"/>
    <w:link w:val="NagwekZnak"/>
    <w:uiPriority w:val="99"/>
    <w:unhideWhenUsed/>
    <w:rsid w:val="00B01C39"/>
    <w:pPr>
      <w:tabs>
        <w:tab w:val="center" w:pos="4680"/>
        <w:tab w:val="right" w:pos="9360"/>
      </w:tabs>
      <w:spacing w:before="0" w:after="0" w:line="240" w:lineRule="auto"/>
    </w:pPr>
  </w:style>
  <w:style w:type="character" w:customStyle="1" w:styleId="NagwekZnak">
    <w:name w:val="Nagłówek Znak"/>
    <w:basedOn w:val="Domylnaczcionkaakapitu"/>
    <w:link w:val="Nagwek"/>
    <w:uiPriority w:val="99"/>
    <w:rsid w:val="00B01C39"/>
    <w:rPr>
      <w:rFonts w:ascii="Times New Roman" w:hAnsi="Times New Roman"/>
      <w:sz w:val="24"/>
      <w:lang w:val="en-GB"/>
    </w:rPr>
  </w:style>
  <w:style w:type="paragraph" w:styleId="Stopka">
    <w:name w:val="footer"/>
    <w:basedOn w:val="Normalny"/>
    <w:link w:val="StopkaZnak"/>
    <w:uiPriority w:val="99"/>
    <w:unhideWhenUsed/>
    <w:rsid w:val="00B01C39"/>
    <w:pPr>
      <w:tabs>
        <w:tab w:val="center" w:pos="4680"/>
        <w:tab w:val="right" w:pos="9360"/>
      </w:tabs>
      <w:spacing w:before="0" w:after="0" w:line="240" w:lineRule="auto"/>
    </w:pPr>
  </w:style>
  <w:style w:type="character" w:customStyle="1" w:styleId="StopkaZnak">
    <w:name w:val="Stopka Znak"/>
    <w:basedOn w:val="Domylnaczcionkaakapitu"/>
    <w:link w:val="Stopka"/>
    <w:uiPriority w:val="99"/>
    <w:rsid w:val="00B01C39"/>
    <w:rPr>
      <w:rFonts w:ascii="Times New Roman" w:hAnsi="Times New Roman"/>
      <w:sz w:val="24"/>
      <w:lang w:val="en-GB"/>
    </w:rPr>
  </w:style>
  <w:style w:type="paragraph" w:styleId="NormalnyWeb">
    <w:name w:val="Normal (Web)"/>
    <w:basedOn w:val="Normalny"/>
    <w:uiPriority w:val="99"/>
    <w:semiHidden/>
    <w:unhideWhenUsed/>
    <w:rsid w:val="00CA3CBF"/>
    <w:pPr>
      <w:spacing w:before="100" w:beforeAutospacing="1" w:after="100" w:afterAutospacing="1" w:line="240" w:lineRule="auto"/>
      <w:jc w:val="left"/>
    </w:pPr>
    <w:rPr>
      <w:rFonts w:eastAsia="Times New Roman" w:cs="Times New Roman"/>
      <w:szCs w:val="24"/>
      <w:lang w:eastAsia="en-GB"/>
    </w:rPr>
  </w:style>
  <w:style w:type="paragraph" w:styleId="Bibliografia">
    <w:name w:val="Bibliography"/>
    <w:basedOn w:val="Normalny"/>
    <w:next w:val="Normalny"/>
    <w:uiPriority w:val="37"/>
    <w:unhideWhenUsed/>
    <w:rsid w:val="00F21AD9"/>
  </w:style>
  <w:style w:type="character" w:styleId="Hipercze">
    <w:name w:val="Hyperlink"/>
    <w:basedOn w:val="Domylnaczcionkaakapitu"/>
    <w:uiPriority w:val="99"/>
    <w:unhideWhenUsed/>
    <w:rsid w:val="00F21AD9"/>
    <w:rPr>
      <w:color w:val="0563C1" w:themeColor="hyperlink"/>
      <w:u w:val="single"/>
    </w:rPr>
  </w:style>
  <w:style w:type="character" w:styleId="Nierozpoznanawzmianka">
    <w:name w:val="Unresolved Mention"/>
    <w:basedOn w:val="Domylnaczcionkaakapitu"/>
    <w:uiPriority w:val="99"/>
    <w:semiHidden/>
    <w:unhideWhenUsed/>
    <w:rsid w:val="00F21AD9"/>
    <w:rPr>
      <w:color w:val="605E5C"/>
      <w:shd w:val="clear" w:color="auto" w:fill="E1DFDD"/>
    </w:rPr>
  </w:style>
  <w:style w:type="paragraph" w:styleId="Nagwekspisutreci">
    <w:name w:val="TOC Heading"/>
    <w:basedOn w:val="Nagwek1"/>
    <w:next w:val="Normalny"/>
    <w:uiPriority w:val="39"/>
    <w:unhideWhenUsed/>
    <w:qFormat/>
    <w:rsid w:val="00760A96"/>
    <w:pPr>
      <w:spacing w:line="259" w:lineRule="auto"/>
      <w:jc w:val="left"/>
      <w:outlineLvl w:val="9"/>
    </w:pPr>
    <w:rPr>
      <w:rFonts w:asciiTheme="majorHAnsi" w:hAnsiTheme="majorHAnsi"/>
      <w:b w:val="0"/>
      <w:bCs w:val="0"/>
      <w:color w:val="2F5496" w:themeColor="accent1" w:themeShade="BF"/>
      <w:sz w:val="32"/>
      <w:lang w:val="en-US"/>
    </w:rPr>
  </w:style>
  <w:style w:type="paragraph" w:styleId="Spistreci1">
    <w:name w:val="toc 1"/>
    <w:basedOn w:val="Normalny"/>
    <w:next w:val="Normalny"/>
    <w:autoRedefine/>
    <w:uiPriority w:val="39"/>
    <w:unhideWhenUsed/>
    <w:rsid w:val="00760A9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216901">
      <w:bodyDiv w:val="1"/>
      <w:marLeft w:val="0"/>
      <w:marRight w:val="0"/>
      <w:marTop w:val="0"/>
      <w:marBottom w:val="0"/>
      <w:divBdr>
        <w:top w:val="none" w:sz="0" w:space="0" w:color="auto"/>
        <w:left w:val="none" w:sz="0" w:space="0" w:color="auto"/>
        <w:bottom w:val="none" w:sz="0" w:space="0" w:color="auto"/>
        <w:right w:val="none" w:sz="0" w:space="0" w:color="auto"/>
      </w:divBdr>
    </w:div>
    <w:div w:id="1355763565">
      <w:bodyDiv w:val="1"/>
      <w:marLeft w:val="0"/>
      <w:marRight w:val="0"/>
      <w:marTop w:val="0"/>
      <w:marBottom w:val="0"/>
      <w:divBdr>
        <w:top w:val="none" w:sz="0" w:space="0" w:color="auto"/>
        <w:left w:val="none" w:sz="0" w:space="0" w:color="auto"/>
        <w:bottom w:val="none" w:sz="0" w:space="0" w:color="auto"/>
        <w:right w:val="none" w:sz="0" w:space="0" w:color="auto"/>
      </w:divBdr>
    </w:div>
    <w:div w:id="1990552375">
      <w:bodyDiv w:val="1"/>
      <w:marLeft w:val="0"/>
      <w:marRight w:val="0"/>
      <w:marTop w:val="0"/>
      <w:marBottom w:val="0"/>
      <w:divBdr>
        <w:top w:val="none" w:sz="0" w:space="0" w:color="auto"/>
        <w:left w:val="none" w:sz="0" w:space="0" w:color="auto"/>
        <w:bottom w:val="none" w:sz="0" w:space="0" w:color="auto"/>
        <w:right w:val="none" w:sz="0" w:space="0" w:color="auto"/>
      </w:divBdr>
    </w:div>
    <w:div w:id="2066563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Foo23</b:Tag>
    <b:SourceType>InternetSite</b:SourceType>
    <b:Guid>{07D2CD3B-FFBB-4D04-8F40-A8AB67828C9F}</b:Guid>
    <b:Author>
      <b:Author>
        <b:Corporate>Food Standard Agency </b:Corporate>
      </b:Author>
    </b:Author>
    <b:Title>Food you can trust</b:Title>
    <b:Year>2023</b:Year>
    <b:YearAccessed>2023</b:YearAccessed>
    <b:MonthAccessed>October</b:MonthAccessed>
    <b:DayAccessed>15</b:DayAccessed>
    <b:URL>https://www.food.gov.uk/</b:URL>
    <b:RefOrder>1</b:RefOrder>
  </b:Source>
  <b:Source>
    <b:Tag>BBC2342</b:Tag>
    <b:SourceType>InternetSite</b:SourceType>
    <b:Guid>{6CF3243F-E392-40E2-8AB4-4E83EDBFF589}</b:Guid>
    <b:Author>
      <b:Author>
        <b:Corporate>BBC</b:Corporate>
      </b:Author>
    </b:Author>
    <b:Title>Decision making</b:Title>
    <b:Year>2023</b:Year>
    <b:YearAccessed>2023</b:YearAccessed>
    <b:MonthAccessed>October</b:MonthAccessed>
    <b:DayAccessed>15</b:DayAccessed>
    <b:URL>https://www.bbc.co.uk/bitesize/guides/zkdc7nb/revision/3</b:URL>
    <b:RefOrder>2</b:RefOrder>
  </b:Source>
</b:Sources>
</file>

<file path=customXml/itemProps1.xml><?xml version="1.0" encoding="utf-8"?>
<ds:datastoreItem xmlns:ds="http://schemas.openxmlformats.org/officeDocument/2006/customXml" ds:itemID="{71446A7C-49E9-4669-88A1-50FDFB4919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1455</Words>
  <Characters>8733</Characters>
  <Application>Microsoft Office Word</Application>
  <DocSecurity>0</DocSecurity>
  <Lines>72</Lines>
  <Paragraphs>20</Paragraphs>
  <ScaleCrop>false</ScaleCrop>
  <Company/>
  <LinksUpToDate>false</LinksUpToDate>
  <CharactersWithSpaces>10168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2023-11-04T07:18:00Z</dcterms:created>
  <dcterms:modified xsi:type="dcterms:W3CDTF">2023-11-14T21:35:00Z</dcterms:modified>
</cp:coreProperties>
</file>