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42A9A26" w14:textId="77777777" w:rsidR="00F66041" w:rsidRDefault="00F66041" w:rsidP="00F66041">
      <w:pPr>
        <w:spacing w:before="2000"/>
        <w:jc w:val="center"/>
        <w:rPr>
          <w:b/>
          <w:bCs/>
          <w:sz w:val="32"/>
          <w:szCs w:val="32"/>
        </w:rPr>
      </w:pPr>
      <w:r>
        <w:rPr>
          <w:b/>
          <w:bCs/>
          <w:noProof/>
          <w:sz w:val="32"/>
          <w:szCs w:val="32"/>
        </w:rPr>
        <w:drawing>
          <wp:anchor distT="0" distB="0" distL="114300" distR="114300" simplePos="0" relativeHeight="251658240" behindDoc="0" locked="0" layoutInCell="1" allowOverlap="1" wp14:anchorId="6676A2F9" wp14:editId="399C3E8F">
            <wp:simplePos x="0" y="0"/>
            <wp:positionH relativeFrom="margin">
              <wp:posOffset>0</wp:posOffset>
            </wp:positionH>
            <wp:positionV relativeFrom="margin">
              <wp:posOffset>228600</wp:posOffset>
            </wp:positionV>
            <wp:extent cx="2324100" cy="774700"/>
            <wp:effectExtent l="0" t="0" r="0" b="0"/>
            <wp:wrapSquare wrapText="bothSides"/>
            <wp:docPr id="191774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74069" name="Picture 191774069"/>
                    <pic:cNvPicPr/>
                  </pic:nvPicPr>
                  <pic:blipFill>
                    <a:blip r:embed="rId6">
                      <a:extLst>
                        <a:ext uri="{28A0092B-C50C-407E-A947-70E740481C1C}">
                          <a14:useLocalDpi xmlns:a14="http://schemas.microsoft.com/office/drawing/2010/main" val="0"/>
                        </a:ext>
                      </a:extLst>
                    </a:blip>
                    <a:stretch>
                      <a:fillRect/>
                    </a:stretch>
                  </pic:blipFill>
                  <pic:spPr>
                    <a:xfrm>
                      <a:off x="0" y="0"/>
                      <a:ext cx="2324100" cy="774700"/>
                    </a:xfrm>
                    <a:prstGeom prst="rect">
                      <a:avLst/>
                    </a:prstGeom>
                  </pic:spPr>
                </pic:pic>
              </a:graphicData>
            </a:graphic>
          </wp:anchor>
        </w:drawing>
      </w:r>
    </w:p>
    <w:p w14:paraId="2A353BD9" w14:textId="77777777" w:rsidR="00F66041" w:rsidRDefault="00F66041" w:rsidP="00F66041">
      <w:pPr>
        <w:pStyle w:val="ListParagraph"/>
      </w:pPr>
      <w:r>
        <w:t xml:space="preserve">                 </w:t>
      </w:r>
    </w:p>
    <w:p w14:paraId="273027DD" w14:textId="77777777" w:rsidR="00F66041" w:rsidRDefault="00F66041" w:rsidP="00F66041">
      <w:pPr>
        <w:pStyle w:val="ListParagraph"/>
      </w:pPr>
    </w:p>
    <w:p w14:paraId="135D54F5" w14:textId="7F804133" w:rsidR="008D2572" w:rsidRPr="00F66041" w:rsidRDefault="00F66041" w:rsidP="00F66041">
      <w:pPr>
        <w:pStyle w:val="ListParagraph"/>
        <w:rPr>
          <w:b/>
          <w:bCs/>
          <w:sz w:val="28"/>
          <w:szCs w:val="28"/>
        </w:rPr>
      </w:pPr>
      <w:r>
        <w:t xml:space="preserve">                </w:t>
      </w:r>
      <w:r w:rsidR="00000000" w:rsidRPr="00F66041">
        <w:rPr>
          <w:b/>
          <w:bCs/>
          <w:sz w:val="28"/>
          <w:szCs w:val="28"/>
        </w:rPr>
        <w:t>The Four Methods of Contracting in Project Management:</w:t>
      </w:r>
    </w:p>
    <w:p w14:paraId="7E90FF43" w14:textId="2CD37849" w:rsidR="008D2572" w:rsidRDefault="00000000">
      <w:pPr>
        <w:spacing w:before="200" w:after="2000"/>
        <w:jc w:val="center"/>
        <w:rPr>
          <w:b/>
          <w:bCs/>
          <w:sz w:val="28"/>
          <w:szCs w:val="28"/>
        </w:rPr>
      </w:pPr>
      <w:r>
        <w:rPr>
          <w:b/>
          <w:bCs/>
          <w:sz w:val="28"/>
          <w:szCs w:val="28"/>
        </w:rPr>
        <w:t>An Evaluation of Turnkey, Multi</w:t>
      </w:r>
      <w:r w:rsidR="00BF3C5D">
        <w:rPr>
          <w:b/>
          <w:bCs/>
          <w:sz w:val="28"/>
          <w:szCs w:val="28"/>
        </w:rPr>
        <w:t>-</w:t>
      </w:r>
      <w:r>
        <w:rPr>
          <w:b/>
          <w:bCs/>
          <w:sz w:val="28"/>
          <w:szCs w:val="28"/>
        </w:rPr>
        <w:t>contract, Do-It-Yourself and Hybrid Approaches</w:t>
      </w:r>
    </w:p>
    <w:tbl>
      <w:tblPr>
        <w:tblW w:w="7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4200"/>
      </w:tblGrid>
      <w:tr w:rsidR="00F66041" w:rsidRPr="00F66041" w14:paraId="5343E3B5" w14:textId="77777777" w:rsidTr="00F66041">
        <w:tc>
          <w:tcPr>
            <w:tcW w:w="3000" w:type="dxa"/>
            <w:shd w:val="clear" w:color="auto" w:fill="CAEDFB" w:themeFill="accent4" w:themeFillTint="33"/>
            <w:tcMar>
              <w:top w:w="80" w:type="dxa"/>
              <w:left w:w="120" w:type="dxa"/>
              <w:bottom w:w="80" w:type="dxa"/>
              <w:right w:w="120" w:type="dxa"/>
            </w:tcMar>
          </w:tcPr>
          <w:p w14:paraId="67CD32BA" w14:textId="746B1021" w:rsidR="00F66041" w:rsidRPr="00F66041" w:rsidRDefault="00F66041" w:rsidP="00154D04">
            <w:pPr>
              <w:rPr>
                <w:b/>
                <w:bCs/>
              </w:rPr>
            </w:pPr>
            <w:r w:rsidRPr="00F66041">
              <w:rPr>
                <w:b/>
                <w:bCs/>
              </w:rPr>
              <w:t>Student name</w:t>
            </w:r>
          </w:p>
        </w:tc>
        <w:tc>
          <w:tcPr>
            <w:tcW w:w="4200" w:type="dxa"/>
            <w:shd w:val="clear" w:color="auto" w:fill="FFFFFF"/>
            <w:tcMar>
              <w:top w:w="80" w:type="dxa"/>
              <w:left w:w="120" w:type="dxa"/>
              <w:bottom w:w="80" w:type="dxa"/>
              <w:right w:w="120" w:type="dxa"/>
            </w:tcMar>
          </w:tcPr>
          <w:p w14:paraId="461FF697" w14:textId="77777777" w:rsidR="00F66041" w:rsidRPr="00F66041" w:rsidRDefault="00F66041" w:rsidP="00154D04">
            <w:r w:rsidRPr="00F66041">
              <w:t>Anamaria Fermesanu</w:t>
            </w:r>
          </w:p>
        </w:tc>
      </w:tr>
      <w:tr w:rsidR="00F66041" w:rsidRPr="00F66041" w14:paraId="4F5394E2" w14:textId="77777777" w:rsidTr="00F66041">
        <w:tc>
          <w:tcPr>
            <w:tcW w:w="3000" w:type="dxa"/>
            <w:shd w:val="clear" w:color="auto" w:fill="CAEDFB" w:themeFill="accent4" w:themeFillTint="33"/>
            <w:tcMar>
              <w:top w:w="80" w:type="dxa"/>
              <w:left w:w="120" w:type="dxa"/>
              <w:bottom w:w="80" w:type="dxa"/>
              <w:right w:w="120" w:type="dxa"/>
            </w:tcMar>
          </w:tcPr>
          <w:p w14:paraId="6E838353" w14:textId="77777777" w:rsidR="00F66041" w:rsidRPr="00F66041" w:rsidRDefault="00F66041" w:rsidP="00154D04">
            <w:pPr>
              <w:rPr>
                <w:b/>
                <w:bCs/>
                <w:color w:val="8DD873" w:themeColor="accent6" w:themeTint="99"/>
              </w:rPr>
            </w:pPr>
            <w:r w:rsidRPr="00F66041">
              <w:rPr>
                <w:b/>
                <w:bCs/>
              </w:rPr>
              <w:t>Student ID</w:t>
            </w:r>
          </w:p>
        </w:tc>
        <w:tc>
          <w:tcPr>
            <w:tcW w:w="4200" w:type="dxa"/>
            <w:shd w:val="clear" w:color="auto" w:fill="FFFFFF"/>
            <w:tcMar>
              <w:top w:w="80" w:type="dxa"/>
              <w:left w:w="120" w:type="dxa"/>
              <w:bottom w:w="80" w:type="dxa"/>
              <w:right w:w="120" w:type="dxa"/>
            </w:tcMar>
          </w:tcPr>
          <w:p w14:paraId="4651E88F" w14:textId="77777777" w:rsidR="00F66041" w:rsidRPr="00F66041" w:rsidRDefault="00F66041" w:rsidP="00154D04">
            <w:r w:rsidRPr="00F66041">
              <w:t>1907760</w:t>
            </w:r>
          </w:p>
        </w:tc>
      </w:tr>
      <w:tr w:rsidR="00F66041" w:rsidRPr="00F66041" w14:paraId="06E82856" w14:textId="77777777" w:rsidTr="00F66041">
        <w:tc>
          <w:tcPr>
            <w:tcW w:w="3000" w:type="dxa"/>
            <w:shd w:val="clear" w:color="auto" w:fill="CAEDFB" w:themeFill="accent4" w:themeFillTint="33"/>
            <w:tcMar>
              <w:top w:w="80" w:type="dxa"/>
              <w:left w:w="120" w:type="dxa"/>
              <w:bottom w:w="80" w:type="dxa"/>
              <w:right w:w="120" w:type="dxa"/>
            </w:tcMar>
          </w:tcPr>
          <w:p w14:paraId="54838142" w14:textId="77777777" w:rsidR="00F66041" w:rsidRPr="00F66041" w:rsidRDefault="00F66041" w:rsidP="00154D04">
            <w:pPr>
              <w:rPr>
                <w:b/>
                <w:bCs/>
              </w:rPr>
            </w:pPr>
            <w:r w:rsidRPr="00F66041">
              <w:rPr>
                <w:b/>
                <w:bCs/>
              </w:rPr>
              <w:t>Module</w:t>
            </w:r>
          </w:p>
        </w:tc>
        <w:tc>
          <w:tcPr>
            <w:tcW w:w="4200" w:type="dxa"/>
            <w:shd w:val="clear" w:color="auto" w:fill="FFFFFF"/>
            <w:tcMar>
              <w:top w:w="80" w:type="dxa"/>
              <w:left w:w="120" w:type="dxa"/>
              <w:bottom w:w="80" w:type="dxa"/>
              <w:right w:w="120" w:type="dxa"/>
            </w:tcMar>
          </w:tcPr>
          <w:p w14:paraId="5402B50A" w14:textId="77777777" w:rsidR="00F66041" w:rsidRPr="00F66041" w:rsidRDefault="00F66041" w:rsidP="00154D04">
            <w:r w:rsidRPr="00F66041">
              <w:t>Project Management</w:t>
            </w:r>
          </w:p>
        </w:tc>
      </w:tr>
      <w:tr w:rsidR="00F66041" w:rsidRPr="00F66041" w14:paraId="2D453D7A" w14:textId="77777777" w:rsidTr="00F66041">
        <w:tc>
          <w:tcPr>
            <w:tcW w:w="3000" w:type="dxa"/>
            <w:shd w:val="clear" w:color="auto" w:fill="CAEDFB" w:themeFill="accent4" w:themeFillTint="33"/>
            <w:tcMar>
              <w:top w:w="80" w:type="dxa"/>
              <w:left w:w="120" w:type="dxa"/>
              <w:bottom w:w="80" w:type="dxa"/>
              <w:right w:w="120" w:type="dxa"/>
            </w:tcMar>
          </w:tcPr>
          <w:p w14:paraId="13602DB5" w14:textId="77777777" w:rsidR="00F66041" w:rsidRPr="00F66041" w:rsidRDefault="00F66041" w:rsidP="00154D04">
            <w:pPr>
              <w:rPr>
                <w:b/>
                <w:bCs/>
              </w:rPr>
            </w:pPr>
            <w:r w:rsidRPr="00F66041">
              <w:rPr>
                <w:b/>
                <w:bCs/>
              </w:rPr>
              <w:t>Module code</w:t>
            </w:r>
          </w:p>
        </w:tc>
        <w:tc>
          <w:tcPr>
            <w:tcW w:w="4200" w:type="dxa"/>
            <w:shd w:val="clear" w:color="auto" w:fill="FFFFFF"/>
            <w:tcMar>
              <w:top w:w="80" w:type="dxa"/>
              <w:left w:w="120" w:type="dxa"/>
              <w:bottom w:w="80" w:type="dxa"/>
              <w:right w:w="120" w:type="dxa"/>
            </w:tcMar>
          </w:tcPr>
          <w:p w14:paraId="6BC630A6" w14:textId="77777777" w:rsidR="00F66041" w:rsidRPr="00F66041" w:rsidRDefault="00F66041" w:rsidP="00154D04">
            <w:r w:rsidRPr="00F66041">
              <w:t>LCBB6006</w:t>
            </w:r>
          </w:p>
        </w:tc>
      </w:tr>
      <w:tr w:rsidR="00F66041" w:rsidRPr="00F66041" w14:paraId="7B223486" w14:textId="77777777" w:rsidTr="00F66041">
        <w:tc>
          <w:tcPr>
            <w:tcW w:w="3000" w:type="dxa"/>
            <w:shd w:val="clear" w:color="auto" w:fill="CAEDFB" w:themeFill="accent4" w:themeFillTint="33"/>
            <w:tcMar>
              <w:top w:w="80" w:type="dxa"/>
              <w:left w:w="120" w:type="dxa"/>
              <w:bottom w:w="80" w:type="dxa"/>
              <w:right w:w="120" w:type="dxa"/>
            </w:tcMar>
          </w:tcPr>
          <w:p w14:paraId="54543DD2" w14:textId="77777777" w:rsidR="00F66041" w:rsidRPr="00F66041" w:rsidRDefault="00F66041" w:rsidP="00154D04">
            <w:pPr>
              <w:rPr>
                <w:b/>
                <w:bCs/>
              </w:rPr>
            </w:pPr>
            <w:r w:rsidRPr="00F66041">
              <w:rPr>
                <w:b/>
                <w:bCs/>
              </w:rPr>
              <w:t>Lecturer</w:t>
            </w:r>
          </w:p>
        </w:tc>
        <w:tc>
          <w:tcPr>
            <w:tcW w:w="4200" w:type="dxa"/>
            <w:shd w:val="clear" w:color="auto" w:fill="FFFFFF"/>
            <w:tcMar>
              <w:top w:w="80" w:type="dxa"/>
              <w:left w:w="120" w:type="dxa"/>
              <w:bottom w:w="80" w:type="dxa"/>
              <w:right w:w="120" w:type="dxa"/>
            </w:tcMar>
          </w:tcPr>
          <w:p w14:paraId="3ED48C96" w14:textId="77777777" w:rsidR="00F66041" w:rsidRPr="00F66041" w:rsidRDefault="00F66041" w:rsidP="00154D04">
            <w:r w:rsidRPr="00F66041">
              <w:t>Dr Said Usman</w:t>
            </w:r>
          </w:p>
        </w:tc>
      </w:tr>
      <w:tr w:rsidR="00F66041" w:rsidRPr="00F66041" w14:paraId="7E5B209D" w14:textId="77777777" w:rsidTr="00F66041">
        <w:tc>
          <w:tcPr>
            <w:tcW w:w="3000" w:type="dxa"/>
            <w:shd w:val="clear" w:color="auto" w:fill="CAEDFB" w:themeFill="accent4" w:themeFillTint="33"/>
            <w:tcMar>
              <w:top w:w="80" w:type="dxa"/>
              <w:left w:w="120" w:type="dxa"/>
              <w:bottom w:w="80" w:type="dxa"/>
              <w:right w:w="120" w:type="dxa"/>
            </w:tcMar>
          </w:tcPr>
          <w:p w14:paraId="6A45F74E" w14:textId="77777777" w:rsidR="00F66041" w:rsidRPr="00F66041" w:rsidRDefault="00F66041" w:rsidP="00154D04">
            <w:pPr>
              <w:rPr>
                <w:b/>
                <w:bCs/>
              </w:rPr>
            </w:pPr>
            <w:r w:rsidRPr="00F66041">
              <w:rPr>
                <w:b/>
                <w:bCs/>
              </w:rPr>
              <w:t>Assignment Title</w:t>
            </w:r>
          </w:p>
        </w:tc>
        <w:tc>
          <w:tcPr>
            <w:tcW w:w="4200" w:type="dxa"/>
            <w:shd w:val="clear" w:color="auto" w:fill="FFFFFF" w:themeFill="background1"/>
            <w:tcMar>
              <w:top w:w="80" w:type="dxa"/>
              <w:left w:w="120" w:type="dxa"/>
              <w:bottom w:w="80" w:type="dxa"/>
              <w:right w:w="120" w:type="dxa"/>
            </w:tcMar>
          </w:tcPr>
          <w:p w14:paraId="192D6A7E" w14:textId="7C39B0FE" w:rsidR="00F66041" w:rsidRPr="00F66041" w:rsidRDefault="00F66041" w:rsidP="00154D04">
            <w:r w:rsidRPr="00F66041">
              <w:t xml:space="preserve">Component </w:t>
            </w:r>
            <w:r w:rsidRPr="00F66041">
              <w:t>2</w:t>
            </w:r>
            <w:r w:rsidRPr="00F66041">
              <w:t>: Coursework Essay</w:t>
            </w:r>
          </w:p>
        </w:tc>
      </w:tr>
    </w:tbl>
    <w:p w14:paraId="1C1DCF1E" w14:textId="77777777" w:rsidR="00F66041" w:rsidRDefault="00F66041" w:rsidP="00F66041">
      <w:pPr>
        <w:pStyle w:val="ListParagraph"/>
      </w:pPr>
    </w:p>
    <w:p w14:paraId="081241F6" w14:textId="42A1C851" w:rsidR="008D2572" w:rsidRDefault="008D2572" w:rsidP="00F66041">
      <w:pPr>
        <w:spacing w:after="100"/>
      </w:pPr>
    </w:p>
    <w:p w14:paraId="3F79296C" w14:textId="77777777" w:rsidR="008D2572" w:rsidRDefault="00000000">
      <w:r>
        <w:br w:type="page"/>
      </w:r>
    </w:p>
    <w:p w14:paraId="2636F0C6" w14:textId="77777777" w:rsidR="008D2572" w:rsidRDefault="00000000">
      <w:pPr>
        <w:pStyle w:val="Heading1"/>
        <w:spacing w:before="300" w:after="200" w:line="360" w:lineRule="auto"/>
      </w:pPr>
      <w:bookmarkStart w:id="0" w:name="_Toc237693953"/>
      <w:r>
        <w:rPr>
          <w:b/>
          <w:bCs/>
          <w:sz w:val="28"/>
          <w:szCs w:val="28"/>
        </w:rPr>
        <w:lastRenderedPageBreak/>
        <w:t>Table of Contents</w:t>
      </w:r>
      <w:bookmarkEnd w:id="0"/>
    </w:p>
    <w:sdt>
      <w:sdtPr>
        <w:alias w:val="Table of Contents"/>
        <w:id w:val="1539231160"/>
      </w:sdtPr>
      <w:sdtContent>
        <w:p w14:paraId="24BF9BEC" w14:textId="2A8A7724" w:rsidR="00DA2254" w:rsidRDefault="00000000">
          <w:pPr>
            <w:pStyle w:val="TOC1"/>
            <w:tabs>
              <w:tab w:val="right" w:leader="dot" w:pos="9016"/>
            </w:tabs>
            <w:rPr>
              <w:noProof/>
            </w:rPr>
          </w:pPr>
          <w:r>
            <w:fldChar w:fldCharType="begin"/>
          </w:r>
          <w:r>
            <w:instrText>TOC \h \o "1-1"</w:instrText>
          </w:r>
          <w:r>
            <w:fldChar w:fldCharType="separate"/>
          </w:r>
          <w:hyperlink w:anchor="_Toc237693953" w:history="1">
            <w:r w:rsidR="00DA2254" w:rsidRPr="00344758">
              <w:rPr>
                <w:rStyle w:val="Hyperlink"/>
                <w:b/>
                <w:bCs/>
                <w:noProof/>
              </w:rPr>
              <w:t>Table of Contents</w:t>
            </w:r>
            <w:r w:rsidR="00DA2254">
              <w:rPr>
                <w:noProof/>
              </w:rPr>
              <w:tab/>
            </w:r>
            <w:r w:rsidR="00DA2254">
              <w:rPr>
                <w:noProof/>
              </w:rPr>
              <w:fldChar w:fldCharType="begin"/>
            </w:r>
            <w:r w:rsidR="00DA2254">
              <w:rPr>
                <w:noProof/>
              </w:rPr>
              <w:instrText xml:space="preserve"> PAGEREF _Toc237693953 \h </w:instrText>
            </w:r>
            <w:r w:rsidR="00DA2254">
              <w:rPr>
                <w:noProof/>
              </w:rPr>
            </w:r>
            <w:r w:rsidR="00DA2254">
              <w:rPr>
                <w:noProof/>
              </w:rPr>
              <w:fldChar w:fldCharType="separate"/>
            </w:r>
            <w:r w:rsidR="00BF3C5D">
              <w:rPr>
                <w:noProof/>
              </w:rPr>
              <w:t>2</w:t>
            </w:r>
            <w:r w:rsidR="00DA2254">
              <w:rPr>
                <w:noProof/>
              </w:rPr>
              <w:fldChar w:fldCharType="end"/>
            </w:r>
          </w:hyperlink>
        </w:p>
        <w:p w14:paraId="65CD64DB" w14:textId="6201DF41" w:rsidR="00DA2254" w:rsidRDefault="00DA2254">
          <w:pPr>
            <w:pStyle w:val="TOC1"/>
            <w:tabs>
              <w:tab w:val="right" w:leader="dot" w:pos="9016"/>
            </w:tabs>
            <w:rPr>
              <w:noProof/>
            </w:rPr>
          </w:pPr>
          <w:hyperlink w:anchor="_Toc237693954" w:history="1">
            <w:r w:rsidRPr="00344758">
              <w:rPr>
                <w:rStyle w:val="Hyperlink"/>
                <w:b/>
                <w:bCs/>
                <w:noProof/>
              </w:rPr>
              <w:t>Introduction</w:t>
            </w:r>
            <w:r>
              <w:rPr>
                <w:noProof/>
              </w:rPr>
              <w:tab/>
            </w:r>
            <w:r>
              <w:rPr>
                <w:noProof/>
              </w:rPr>
              <w:fldChar w:fldCharType="begin"/>
            </w:r>
            <w:r>
              <w:rPr>
                <w:noProof/>
              </w:rPr>
              <w:instrText xml:space="preserve"> PAGEREF _Toc237693954 \h </w:instrText>
            </w:r>
            <w:r>
              <w:rPr>
                <w:noProof/>
              </w:rPr>
            </w:r>
            <w:r>
              <w:rPr>
                <w:noProof/>
              </w:rPr>
              <w:fldChar w:fldCharType="separate"/>
            </w:r>
            <w:r w:rsidR="00BF3C5D">
              <w:rPr>
                <w:noProof/>
              </w:rPr>
              <w:t>3</w:t>
            </w:r>
            <w:r>
              <w:rPr>
                <w:noProof/>
              </w:rPr>
              <w:fldChar w:fldCharType="end"/>
            </w:r>
          </w:hyperlink>
        </w:p>
        <w:p w14:paraId="13A30146" w14:textId="428D0524" w:rsidR="00DA2254" w:rsidRDefault="00DA2254">
          <w:pPr>
            <w:pStyle w:val="TOC1"/>
            <w:tabs>
              <w:tab w:val="right" w:leader="dot" w:pos="9016"/>
            </w:tabs>
            <w:rPr>
              <w:noProof/>
            </w:rPr>
          </w:pPr>
          <w:hyperlink w:anchor="_Toc237693955" w:history="1">
            <w:r w:rsidRPr="00344758">
              <w:rPr>
                <w:rStyle w:val="Hyperlink"/>
                <w:b/>
                <w:bCs/>
                <w:noProof/>
              </w:rPr>
              <w:t>Turnkey Contracting</w:t>
            </w:r>
            <w:r>
              <w:rPr>
                <w:noProof/>
              </w:rPr>
              <w:tab/>
            </w:r>
            <w:r>
              <w:rPr>
                <w:noProof/>
              </w:rPr>
              <w:fldChar w:fldCharType="begin"/>
            </w:r>
            <w:r>
              <w:rPr>
                <w:noProof/>
              </w:rPr>
              <w:instrText xml:space="preserve"> PAGEREF _Toc237693955 \h </w:instrText>
            </w:r>
            <w:r>
              <w:rPr>
                <w:noProof/>
              </w:rPr>
            </w:r>
            <w:r>
              <w:rPr>
                <w:noProof/>
              </w:rPr>
              <w:fldChar w:fldCharType="separate"/>
            </w:r>
            <w:r w:rsidR="00BF3C5D">
              <w:rPr>
                <w:noProof/>
              </w:rPr>
              <w:t>3</w:t>
            </w:r>
            <w:r>
              <w:rPr>
                <w:noProof/>
              </w:rPr>
              <w:fldChar w:fldCharType="end"/>
            </w:r>
          </w:hyperlink>
        </w:p>
        <w:p w14:paraId="6F749A7E" w14:textId="28AC12F8" w:rsidR="00DA2254" w:rsidRDefault="00DA2254">
          <w:pPr>
            <w:pStyle w:val="TOC1"/>
            <w:tabs>
              <w:tab w:val="right" w:leader="dot" w:pos="9016"/>
            </w:tabs>
            <w:rPr>
              <w:noProof/>
            </w:rPr>
          </w:pPr>
          <w:hyperlink w:anchor="_Toc237693956" w:history="1">
            <w:r w:rsidRPr="00344758">
              <w:rPr>
                <w:rStyle w:val="Hyperlink"/>
                <w:b/>
                <w:bCs/>
                <w:noProof/>
              </w:rPr>
              <w:t>Multicontracting</w:t>
            </w:r>
            <w:r>
              <w:rPr>
                <w:noProof/>
              </w:rPr>
              <w:tab/>
            </w:r>
            <w:r>
              <w:rPr>
                <w:noProof/>
              </w:rPr>
              <w:fldChar w:fldCharType="begin"/>
            </w:r>
            <w:r>
              <w:rPr>
                <w:noProof/>
              </w:rPr>
              <w:instrText xml:space="preserve"> PAGEREF _Toc237693956 \h </w:instrText>
            </w:r>
            <w:r>
              <w:rPr>
                <w:noProof/>
              </w:rPr>
            </w:r>
            <w:r>
              <w:rPr>
                <w:noProof/>
              </w:rPr>
              <w:fldChar w:fldCharType="separate"/>
            </w:r>
            <w:r w:rsidR="00BF3C5D">
              <w:rPr>
                <w:noProof/>
              </w:rPr>
              <w:t>4</w:t>
            </w:r>
            <w:r>
              <w:rPr>
                <w:noProof/>
              </w:rPr>
              <w:fldChar w:fldCharType="end"/>
            </w:r>
          </w:hyperlink>
        </w:p>
        <w:p w14:paraId="6757B939" w14:textId="6B5BF6D5" w:rsidR="00DA2254" w:rsidRDefault="00DA2254">
          <w:pPr>
            <w:pStyle w:val="TOC1"/>
            <w:tabs>
              <w:tab w:val="right" w:leader="dot" w:pos="9016"/>
            </w:tabs>
            <w:rPr>
              <w:noProof/>
            </w:rPr>
          </w:pPr>
          <w:hyperlink w:anchor="_Toc237693957" w:history="1">
            <w:r w:rsidRPr="00344758">
              <w:rPr>
                <w:rStyle w:val="Hyperlink"/>
                <w:b/>
                <w:bCs/>
                <w:noProof/>
              </w:rPr>
              <w:t>Do-It-Yourself (DIY) Contracting</w:t>
            </w:r>
            <w:r>
              <w:rPr>
                <w:noProof/>
              </w:rPr>
              <w:tab/>
            </w:r>
            <w:r>
              <w:rPr>
                <w:noProof/>
              </w:rPr>
              <w:fldChar w:fldCharType="begin"/>
            </w:r>
            <w:r>
              <w:rPr>
                <w:noProof/>
              </w:rPr>
              <w:instrText xml:space="preserve"> PAGEREF _Toc237693957 \h </w:instrText>
            </w:r>
            <w:r>
              <w:rPr>
                <w:noProof/>
              </w:rPr>
            </w:r>
            <w:r>
              <w:rPr>
                <w:noProof/>
              </w:rPr>
              <w:fldChar w:fldCharType="separate"/>
            </w:r>
            <w:r w:rsidR="00BF3C5D">
              <w:rPr>
                <w:noProof/>
              </w:rPr>
              <w:t>5</w:t>
            </w:r>
            <w:r>
              <w:rPr>
                <w:noProof/>
              </w:rPr>
              <w:fldChar w:fldCharType="end"/>
            </w:r>
          </w:hyperlink>
        </w:p>
        <w:p w14:paraId="2B69BDAA" w14:textId="31B2E1D3" w:rsidR="00DA2254" w:rsidRDefault="00DA2254">
          <w:pPr>
            <w:pStyle w:val="TOC1"/>
            <w:tabs>
              <w:tab w:val="right" w:leader="dot" w:pos="9016"/>
            </w:tabs>
            <w:rPr>
              <w:noProof/>
            </w:rPr>
          </w:pPr>
          <w:hyperlink w:anchor="_Toc237693958" w:history="1">
            <w:r w:rsidRPr="00344758">
              <w:rPr>
                <w:rStyle w:val="Hyperlink"/>
                <w:b/>
                <w:bCs/>
                <w:noProof/>
              </w:rPr>
              <w:t>Multicontract + DIY (Hybrid Contracting)</w:t>
            </w:r>
            <w:r>
              <w:rPr>
                <w:noProof/>
              </w:rPr>
              <w:tab/>
            </w:r>
            <w:r>
              <w:rPr>
                <w:noProof/>
              </w:rPr>
              <w:fldChar w:fldCharType="begin"/>
            </w:r>
            <w:r>
              <w:rPr>
                <w:noProof/>
              </w:rPr>
              <w:instrText xml:space="preserve"> PAGEREF _Toc237693958 \h </w:instrText>
            </w:r>
            <w:r>
              <w:rPr>
                <w:noProof/>
              </w:rPr>
            </w:r>
            <w:r>
              <w:rPr>
                <w:noProof/>
              </w:rPr>
              <w:fldChar w:fldCharType="separate"/>
            </w:r>
            <w:r w:rsidR="00BF3C5D">
              <w:rPr>
                <w:noProof/>
              </w:rPr>
              <w:t>6</w:t>
            </w:r>
            <w:r>
              <w:rPr>
                <w:noProof/>
              </w:rPr>
              <w:fldChar w:fldCharType="end"/>
            </w:r>
          </w:hyperlink>
        </w:p>
        <w:p w14:paraId="129DE333" w14:textId="55F9143D" w:rsidR="00DA2254" w:rsidRDefault="00DA2254">
          <w:pPr>
            <w:pStyle w:val="TOC1"/>
            <w:tabs>
              <w:tab w:val="right" w:leader="dot" w:pos="9016"/>
            </w:tabs>
            <w:rPr>
              <w:noProof/>
            </w:rPr>
          </w:pPr>
          <w:hyperlink w:anchor="_Toc237693959" w:history="1">
            <w:r w:rsidRPr="00344758">
              <w:rPr>
                <w:rStyle w:val="Hyperlink"/>
                <w:b/>
                <w:bCs/>
                <w:noProof/>
              </w:rPr>
              <w:t>Conclusion</w:t>
            </w:r>
            <w:r>
              <w:rPr>
                <w:noProof/>
              </w:rPr>
              <w:tab/>
            </w:r>
            <w:r>
              <w:rPr>
                <w:noProof/>
              </w:rPr>
              <w:fldChar w:fldCharType="begin"/>
            </w:r>
            <w:r>
              <w:rPr>
                <w:noProof/>
              </w:rPr>
              <w:instrText xml:space="preserve"> PAGEREF _Toc237693959 \h </w:instrText>
            </w:r>
            <w:r>
              <w:rPr>
                <w:noProof/>
              </w:rPr>
            </w:r>
            <w:r>
              <w:rPr>
                <w:noProof/>
              </w:rPr>
              <w:fldChar w:fldCharType="separate"/>
            </w:r>
            <w:r w:rsidR="00BF3C5D">
              <w:rPr>
                <w:noProof/>
              </w:rPr>
              <w:t>7</w:t>
            </w:r>
            <w:r>
              <w:rPr>
                <w:noProof/>
              </w:rPr>
              <w:fldChar w:fldCharType="end"/>
            </w:r>
          </w:hyperlink>
        </w:p>
        <w:p w14:paraId="4E21D718" w14:textId="32175ABF" w:rsidR="00DA2254" w:rsidRDefault="00DA2254">
          <w:pPr>
            <w:pStyle w:val="TOC1"/>
            <w:tabs>
              <w:tab w:val="right" w:leader="dot" w:pos="9016"/>
            </w:tabs>
            <w:rPr>
              <w:noProof/>
            </w:rPr>
          </w:pPr>
          <w:hyperlink w:anchor="_Toc237693960" w:history="1">
            <w:r w:rsidRPr="00344758">
              <w:rPr>
                <w:rStyle w:val="Hyperlink"/>
                <w:b/>
                <w:bCs/>
                <w:noProof/>
              </w:rPr>
              <w:t>Reference List</w:t>
            </w:r>
            <w:r>
              <w:rPr>
                <w:noProof/>
              </w:rPr>
              <w:tab/>
            </w:r>
            <w:r>
              <w:rPr>
                <w:noProof/>
              </w:rPr>
              <w:fldChar w:fldCharType="begin"/>
            </w:r>
            <w:r>
              <w:rPr>
                <w:noProof/>
              </w:rPr>
              <w:instrText xml:space="preserve"> PAGEREF _Toc237693960 \h </w:instrText>
            </w:r>
            <w:r>
              <w:rPr>
                <w:noProof/>
              </w:rPr>
            </w:r>
            <w:r>
              <w:rPr>
                <w:noProof/>
              </w:rPr>
              <w:fldChar w:fldCharType="separate"/>
            </w:r>
            <w:r w:rsidR="00BF3C5D">
              <w:rPr>
                <w:noProof/>
              </w:rPr>
              <w:t>8</w:t>
            </w:r>
            <w:r>
              <w:rPr>
                <w:noProof/>
              </w:rPr>
              <w:fldChar w:fldCharType="end"/>
            </w:r>
          </w:hyperlink>
        </w:p>
        <w:p w14:paraId="03459D12" w14:textId="77777777" w:rsidR="008D2572" w:rsidRDefault="00000000">
          <w:r>
            <w:fldChar w:fldCharType="end"/>
          </w:r>
        </w:p>
      </w:sdtContent>
    </w:sdt>
    <w:p w14:paraId="20A77DDA" w14:textId="77777777" w:rsidR="008D2572" w:rsidRDefault="00000000">
      <w:r>
        <w:br w:type="page"/>
      </w:r>
    </w:p>
    <w:p w14:paraId="5493E485" w14:textId="77777777" w:rsidR="008D2572" w:rsidRDefault="00000000">
      <w:pPr>
        <w:pStyle w:val="Heading1"/>
        <w:spacing w:before="300" w:after="200" w:line="360" w:lineRule="auto"/>
      </w:pPr>
      <w:bookmarkStart w:id="1" w:name="_Toc237693954"/>
      <w:r>
        <w:rPr>
          <w:b/>
          <w:bCs/>
          <w:sz w:val="28"/>
          <w:szCs w:val="28"/>
        </w:rPr>
        <w:lastRenderedPageBreak/>
        <w:t>Introduction</w:t>
      </w:r>
      <w:bookmarkEnd w:id="1"/>
    </w:p>
    <w:p w14:paraId="48B2A85E" w14:textId="77777777" w:rsidR="008D2572" w:rsidRDefault="00000000">
      <w:pPr>
        <w:spacing w:after="200" w:line="360" w:lineRule="auto"/>
        <w:jc w:val="both"/>
      </w:pPr>
      <w:r>
        <w:t>Contracting is essentially the way a project owner decides who will take responsibility for designing, constructing or delivering a project, and under what payment and performance terms (PMI, 2021). This decision affects almost everything that follows. It determines who carries the financial risk, how communication is managed, who controls quality and who is responsible when problems or disputes arise (Masterman, 2002). As there is no single arrangement that suits every project, managers need to choose a method that fits both the project itself and the client's ability to manage it (Rowlinson and McDermott, 1999).</w:t>
      </w:r>
    </w:p>
    <w:p w14:paraId="08F20720" w14:textId="77777777" w:rsidR="008D2572" w:rsidRDefault="00000000">
      <w:pPr>
        <w:spacing w:after="200" w:line="360" w:lineRule="auto"/>
        <w:jc w:val="both"/>
      </w:pPr>
      <w:r>
        <w:t>This essay examines four approaches: turnkey contracting, multicontracting, do-it-yourself (DIY) or direct-labour delivery, and a hybrid that combines multicontracting with DIY. Each method is considered alongside a real example: the redevelopment of Wembley Stadium, the Scottish Parliament Building at Holyrood, UK Direct Labour Organisations (DLOs), and the 'mixed economy' repairs model used by some housing associations. Looking at actual projects and organisations is useful because it shows whether the advantages associated with each method really appeared in practice, as well as revealing problems that are easy to miss when the methods are discussed only in theory.</w:t>
      </w:r>
    </w:p>
    <w:p w14:paraId="48081C75" w14:textId="77777777" w:rsidR="008D2572" w:rsidRDefault="00000000">
      <w:pPr>
        <w:spacing w:after="200" w:line="360" w:lineRule="auto"/>
        <w:jc w:val="both"/>
      </w:pPr>
      <w:r>
        <w:t>The main difference between the four approaches is the balance between risk and control. Turnkey delivery places much of the responsibility with an external contractor, whereas DIY keeps both control and liability within the client organisation (Walker and Rowlinson, 2008). However, risk written into a contract does not always behave so neatly once a project runs into difficulty. The examples below show why project managers need to look beyond definitions and consider how each method performs when faced with real cost pressures, delays and coordination problems.</w:t>
      </w:r>
    </w:p>
    <w:p w14:paraId="7A38996E" w14:textId="77777777" w:rsidR="008D2572" w:rsidRDefault="00000000">
      <w:pPr>
        <w:pStyle w:val="Heading1"/>
        <w:spacing w:before="300" w:after="200" w:line="360" w:lineRule="auto"/>
      </w:pPr>
      <w:bookmarkStart w:id="2" w:name="_Toc237693955"/>
      <w:r>
        <w:rPr>
          <w:b/>
          <w:bCs/>
          <w:sz w:val="28"/>
          <w:szCs w:val="28"/>
        </w:rPr>
        <w:t>Turnkey Contracting</w:t>
      </w:r>
      <w:bookmarkEnd w:id="2"/>
    </w:p>
    <w:p w14:paraId="68630480" w14:textId="77777777" w:rsidR="008D2572" w:rsidRDefault="00000000">
      <w:pPr>
        <w:spacing w:after="200" w:line="360" w:lineRule="auto"/>
        <w:jc w:val="both"/>
      </w:pPr>
      <w:r>
        <w:t xml:space="preserve">Under turnkey contracting, sometimes described as an integrated or design-build arrangement, one contractor takes responsibility for the full project lifecycle, including design, procurement, construction and commissioning, and hands over a facility that is ready to use (Masterman, 2002). The client mainly defines what is required at the beginning and pays the agreed price, while the contractor manages the supply chain and deals with coordination between different parties. The attraction is easy to see: the client has one main point of responsibility and, </w:t>
      </w:r>
      <w:r>
        <w:lastRenderedPageBreak/>
        <w:t>particularly where the price is fixed, much of the cost and schedule risk appears to move to the contractor (Masterman, 2002).</w:t>
      </w:r>
    </w:p>
    <w:p w14:paraId="39B07FC9" w14:textId="77777777" w:rsidR="008D2572" w:rsidRDefault="00000000">
      <w:pPr>
        <w:spacing w:after="200" w:line="360" w:lineRule="auto"/>
        <w:jc w:val="both"/>
      </w:pPr>
      <w:r>
        <w:t xml:space="preserve">The redevelopment of Wembley Stadium provides a critical test of both claims. Multiplex was engaged under a fixed-price design-and-build contract, originally valued at around £326.5 million and later fixed at £445 million, to demolish the old stadium and deliver the new one as a single, turnkey obligation (Building, 2009). On the narrow measure of price certainty, the model performed as the literature predicts: Wembley National Stadium Limited (WNSL) was largely shielded from the direct cost of the delay, since Multiplex, not the client, ultimately absorbed cost overruns estimated at up to £300 million (New Civil Engineer, 2009). However, this outcome exposes an important qualification that a purely descriptive account of turnkey contracting </w:t>
      </w:r>
      <w:proofErr w:type="gramStart"/>
      <w:r>
        <w:t>omits:</w:t>
      </w:r>
      <w:proofErr w:type="gramEnd"/>
      <w:r>
        <w:t xml:space="preserve"> risk transfer under a fixed-price contract is financial rather than operational. WNSL was not shielded from a ten-month delay to opening, the disruption of rearranged fixtures, or the reputational cost of a stadium associated with litigation before it had hosted a single match (Building, 2009). Moreover, the single point of responsibility that turnkey theory prizes proved partly illusory in practice: Multiplex's own dispute with its steelwork subcontractor, Cleveland Bridge, which halted work on the stadium's signature arch, shows that a turnkey contract does not remove multi-party coordination risk so much as relocate it inside the main contractor's organisation, beyond the client's direct oversight (New Civil Engineer, 2009). This suggests that turnkey delivery is best evaluated not as a way of eliminating project risk, but as a way of choosing which risks a client is willing to be insulated from, and which it is prepared to experience indirectly through delay and reputational exposure despite a fixed price.</w:t>
      </w:r>
    </w:p>
    <w:p w14:paraId="43232154" w14:textId="01CF0BF7" w:rsidR="008D2572" w:rsidRDefault="00000000">
      <w:pPr>
        <w:pStyle w:val="Heading1"/>
        <w:spacing w:before="300" w:after="200" w:line="360" w:lineRule="auto"/>
      </w:pPr>
      <w:bookmarkStart w:id="3" w:name="_Toc237693956"/>
      <w:r>
        <w:rPr>
          <w:b/>
          <w:bCs/>
          <w:sz w:val="28"/>
          <w:szCs w:val="28"/>
        </w:rPr>
        <w:t>Multi</w:t>
      </w:r>
      <w:r w:rsidR="00B60E3A">
        <w:rPr>
          <w:b/>
          <w:bCs/>
          <w:sz w:val="28"/>
          <w:szCs w:val="28"/>
        </w:rPr>
        <w:t>-</w:t>
      </w:r>
      <w:r>
        <w:rPr>
          <w:b/>
          <w:bCs/>
          <w:sz w:val="28"/>
          <w:szCs w:val="28"/>
        </w:rPr>
        <w:t>contracting</w:t>
      </w:r>
      <w:bookmarkEnd w:id="3"/>
    </w:p>
    <w:p w14:paraId="35C26F27" w14:textId="3BE2AB36" w:rsidR="008D2572" w:rsidRDefault="00000000">
      <w:pPr>
        <w:spacing w:after="200" w:line="360" w:lineRule="auto"/>
        <w:jc w:val="both"/>
      </w:pPr>
      <w:r>
        <w:t>Multi</w:t>
      </w:r>
      <w:r w:rsidR="00B60E3A">
        <w:t>-</w:t>
      </w:r>
      <w:r>
        <w:t>contracting, also known as multiple-prime or multiple-contract procurement, takes a different approach. Instead of using one main contractor, the client signs separate contracts directly with several specialist contractors, with each one responsible for a particular package of work (</w:t>
      </w:r>
      <w:proofErr w:type="spellStart"/>
      <w:r>
        <w:t>Naphiet</w:t>
      </w:r>
      <w:proofErr w:type="spellEnd"/>
      <w:r>
        <w:t xml:space="preserve"> and </w:t>
      </w:r>
      <w:proofErr w:type="spellStart"/>
      <w:r>
        <w:t>Naphiet</w:t>
      </w:r>
      <w:proofErr w:type="spellEnd"/>
      <w:r>
        <w:t>, 1985; Rojas, 2008). This gives the client more direct involvement, but it also means that the client, or a construction manager acting for it, must coordinate the different packages. One argument in favour of the method is cost. Separate specialist bidding can increase competition and remove the main contractor's margin. Rojas (2008), for example, found direct costs to be around five per cent lower in a national sample of public projects using multiple-prime contracts compared with equivalent single-prime projects.</w:t>
      </w:r>
    </w:p>
    <w:p w14:paraId="7F2F0AA0" w14:textId="147B6DEB" w:rsidR="008D2572" w:rsidRDefault="00000000">
      <w:pPr>
        <w:spacing w:after="200" w:line="360" w:lineRule="auto"/>
        <w:jc w:val="both"/>
      </w:pPr>
      <w:r>
        <w:lastRenderedPageBreak/>
        <w:t>The construction of the Scottish Parliament Building at Holyrood offers a far less favourable, and more critically instructive, real-world test. The project was procured using construction management, a close relative of multi</w:t>
      </w:r>
      <w:r w:rsidR="00B60E3A">
        <w:t>-</w:t>
      </w:r>
      <w:r>
        <w:t>contracting in which the client let more than sixty separate trade contracts directly, with Bovis Lend Lease acting as construction manager rather than as a risk-bearing main contractor (Fraser, 2004). The cost rose from an original estimate of around £40 million in 1997 to a final figure of £414 million on completion in 2004, over three years behind schedule (Fraser, 2004; Audit Scotland, 2004). Critically, the subsequent Fraser Inquiry did not attribute this failure to multi</w:t>
      </w:r>
      <w:r w:rsidR="00B60E3A">
        <w:t>-</w:t>
      </w:r>
      <w:r>
        <w:t>contracting as a method in the abstract, but to two compounding decisions: trade contracts were let against an incomplete concept design rather than finished drawings, so that scope and cost could not be fixed at the point of tender, and the client body</w:t>
      </w:r>
      <w:r w:rsidR="009A24B4">
        <w:t xml:space="preserve"> -</w:t>
      </w:r>
      <w:r>
        <w:t xml:space="preserve"> which changed twice during delivery, from the Scottish Office to the Scottish Parliamentary Corporate Body </w:t>
      </w:r>
      <w:r w:rsidR="009A24B4">
        <w:t>-</w:t>
      </w:r>
      <w:r>
        <w:t xml:space="preserve"> did not possess the construction expertise the method assumes (Fraser, 2004). This is a significant qualification to the generic claim that multi</w:t>
      </w:r>
      <w:r w:rsidR="00B60E3A">
        <w:t>-</w:t>
      </w:r>
      <w:r>
        <w:t>contracting offers the client 'closer control': control is only meaningful where the client has the technical capability to exercise it, and at Holyrood that capability was absent. The case therefore supports Rowlinson and McDermott's (1999) argument that client competence is a precondition for, rather than an incidental feature of, successful mult</w:t>
      </w:r>
      <w:r w:rsidR="00B60E3A">
        <w:t>i-</w:t>
      </w:r>
      <w:r>
        <w:t>contracting, and shows what happens when an inexperienced, discontinuous client body is exposed to the coordination risk the method transfers to it.</w:t>
      </w:r>
    </w:p>
    <w:p w14:paraId="4AB785B3" w14:textId="77777777" w:rsidR="008D2572" w:rsidRDefault="00000000">
      <w:pPr>
        <w:pStyle w:val="Heading1"/>
        <w:spacing w:before="300" w:after="200" w:line="360" w:lineRule="auto"/>
      </w:pPr>
      <w:bookmarkStart w:id="4" w:name="_Toc237693957"/>
      <w:r>
        <w:rPr>
          <w:b/>
          <w:bCs/>
          <w:sz w:val="28"/>
          <w:szCs w:val="28"/>
        </w:rPr>
        <w:t>Do-It-Yourself (DIY) Contracting</w:t>
      </w:r>
      <w:bookmarkEnd w:id="4"/>
    </w:p>
    <w:p w14:paraId="7D90FB51" w14:textId="77777777" w:rsidR="008D2572" w:rsidRDefault="00000000">
      <w:pPr>
        <w:spacing w:after="200" w:line="360" w:lineRule="auto"/>
        <w:jc w:val="both"/>
      </w:pPr>
      <w:r>
        <w:t>Do-it-yourself, or direct-labour, contracting means that the client uses its own permanent workforce to carry out project or maintenance work instead of employing an external contractor (Procore, 2024). In the UK, one of the clearest examples is the Direct Labour Organisation (DLO) used by local authorities and housing associations. These are in-house construction and maintenance teams employed directly by the organisation. Since 1980, their performance has also been influenced by competitive-tendering requirements intended to test whether in-house teams could compete with external contractor prices (Langford, 1982; Great Britain, 1980).</w:t>
      </w:r>
    </w:p>
    <w:p w14:paraId="3E0643B8" w14:textId="77777777" w:rsidR="008D2572" w:rsidRDefault="00000000">
      <w:pPr>
        <w:spacing w:after="200" w:line="360" w:lineRule="auto"/>
        <w:jc w:val="both"/>
      </w:pPr>
      <w:r>
        <w:t xml:space="preserve">The DLO experience critically qualifies several assumptions in the wider self-performance literature, which tends to treat cost savings and quality control as </w:t>
      </w:r>
      <w:proofErr w:type="gramStart"/>
      <w:r>
        <w:t>more or less automatic</w:t>
      </w:r>
      <w:proofErr w:type="gramEnd"/>
      <w:r>
        <w:t xml:space="preserve"> benefits of direct delivery (Procore, 2024). In practice, Langford's (1982) foundational study of DLOs found that their financial viability depended heavily on maintaining a steady, sufficiently large volume of work and on productivity agreements negotiated with the </w:t>
      </w:r>
      <w:r>
        <w:lastRenderedPageBreak/>
        <w:t>workforce; where either condition was absent, the fixed overheads of a permanent labour force made in-house delivery more expensive, not less, than external contracting. This is corroborated by contemporary practice: DLOs are required to at least break even against statutory targets, and their surviving advocates justify them less on the grounds of unqualified cost savings than on non-price benefits such as a 24-hour emergency response capability, retained institutional knowledge of a specific building stock, and continuity of a trusted, vetted workforce — precisely the benefits that university estates DLOs cite in providing round-the-clock cover that an external contractor's flexibility and site-specific knowledge could not easily replicate. The critical lesson is that DIY delivery is not a default source of savings, as some practitioner literature implies, but a method whose value is highly sensitive to workload consistency and to the type of benefit the client is actually seeking, which in the DLO case is frequently responsiveness and control rather than lowest unit cost.</w:t>
      </w:r>
    </w:p>
    <w:p w14:paraId="1160B5E6" w14:textId="5E348E8F" w:rsidR="008D2572" w:rsidRDefault="00000000">
      <w:pPr>
        <w:pStyle w:val="Heading1"/>
        <w:spacing w:before="300" w:after="200" w:line="360" w:lineRule="auto"/>
      </w:pPr>
      <w:bookmarkStart w:id="5" w:name="_Toc237693958"/>
      <w:r>
        <w:rPr>
          <w:b/>
          <w:bCs/>
          <w:sz w:val="28"/>
          <w:szCs w:val="28"/>
        </w:rPr>
        <w:t>Multi</w:t>
      </w:r>
      <w:r w:rsidR="009A24B4">
        <w:rPr>
          <w:b/>
          <w:bCs/>
          <w:sz w:val="28"/>
          <w:szCs w:val="28"/>
        </w:rPr>
        <w:t>-</w:t>
      </w:r>
      <w:r>
        <w:rPr>
          <w:b/>
          <w:bCs/>
          <w:sz w:val="28"/>
          <w:szCs w:val="28"/>
        </w:rPr>
        <w:t>contract + DIY (Hybrid Contracting)</w:t>
      </w:r>
      <w:bookmarkEnd w:id="5"/>
    </w:p>
    <w:p w14:paraId="462EFA0B" w14:textId="77777777" w:rsidR="008D2572" w:rsidRDefault="00000000">
      <w:pPr>
        <w:spacing w:after="200" w:line="360" w:lineRule="auto"/>
        <w:jc w:val="both"/>
      </w:pPr>
      <w:r>
        <w:t>The fourth approach combines multicontracting and DIY. The client uses external specialist contractors for some packages of work while keeping other work with its own permanent workforce. This type of arrangement can be seen in the social housing sector, where some housing associations use what is described as a 'mixed economy' for repairs and maintenance. Asra Housing Association, for example, kept its in-house DLO for part of the workload while outsourcing the remainder, aiming for something close to an even split rather than committing completely to either model (Inside Housing, 2013).</w:t>
      </w:r>
    </w:p>
    <w:p w14:paraId="133B4866" w14:textId="0B497BBB" w:rsidR="008D2572" w:rsidRDefault="00000000">
      <w:pPr>
        <w:spacing w:after="200" w:line="360" w:lineRule="auto"/>
        <w:jc w:val="both"/>
      </w:pPr>
      <w:r>
        <w:t>Critically, the Asra case illustrates both the appeal and the fragility of the hybrid model. The appeal is real: retaining an in-house DLO preserved direct oversight, emergency responsiveness and workforce continuity, while contracting out the remaining volume gave the organisation access to specialist skills and capacity flexibility it could not economically maintain in-house on a permanent basis (Inside Housing, 2013). Yet the fragility is equally evident in the way the split was described</w:t>
      </w:r>
      <w:r w:rsidR="00BF3C5D">
        <w:t xml:space="preserve">, </w:t>
      </w:r>
      <w:r>
        <w:t>as a negotiated, periodically reviewed proportion rather than a fixed structural boundary</w:t>
      </w:r>
      <w:r w:rsidR="00BF3C5D">
        <w:t xml:space="preserve">, </w:t>
      </w:r>
      <w:r>
        <w:t xml:space="preserve">which points to the central weakness identified in the wider procurement literature: hybrid delivery requires the client to define, in advance, a stable and coherent boundary between self-performed and externally contracted scopes, since ambiguity at that boundary is a recurrent source of dispute and inefficiency (Rowlinson and McDermott, 1999). Where that boundary is treated as fixed and organisation-specific, as in the DLO/contractor split model, the hybrid approach can combine the genuine strengths of both </w:t>
      </w:r>
      <w:r>
        <w:lastRenderedPageBreak/>
        <w:t>parent methods; where it is left informal or renegotiated reactively on a project-by-project basis, it risks importing the coordination weaknesses of multi</w:t>
      </w:r>
      <w:r w:rsidR="00BF3C5D">
        <w:t>-</w:t>
      </w:r>
      <w:r>
        <w:t>contracting and the capacity constraints of DIY simultaneously, rather than avoiding either.</w:t>
      </w:r>
    </w:p>
    <w:p w14:paraId="645520B5" w14:textId="77777777" w:rsidR="008D2572" w:rsidRDefault="00000000">
      <w:pPr>
        <w:pStyle w:val="Heading1"/>
        <w:spacing w:before="300" w:after="200" w:line="360" w:lineRule="auto"/>
      </w:pPr>
      <w:bookmarkStart w:id="6" w:name="_Toc237693959"/>
      <w:r>
        <w:rPr>
          <w:b/>
          <w:bCs/>
          <w:sz w:val="28"/>
          <w:szCs w:val="28"/>
        </w:rPr>
        <w:t>Conclusion</w:t>
      </w:r>
      <w:bookmarkEnd w:id="6"/>
    </w:p>
    <w:p w14:paraId="30D4ADAD" w14:textId="77777777" w:rsidR="008D2572" w:rsidRDefault="00000000">
      <w:pPr>
        <w:spacing w:after="200" w:line="360" w:lineRule="auto"/>
        <w:jc w:val="both"/>
      </w:pPr>
      <w:r>
        <w:t>The four methods can be placed on a spectrum according to how much risk and control remain with the client, but the case studies show that what happens in practice can be very different from what the contract suggests on paper. Wembley shows that turnkey contracting can protect a client from direct financial overruns while still leaving it exposed to delay, disruption and reputational damage. Holyrood shows that the cost and control benefits of multicontracting depend heavily on the client's ability to coordinate the work. The DLO evidence shows that DIY is not automatically cheaper and works best where there is enough consistent work to support an in-house team and where responsiveness or control are important. The Asra example shows that a hybrid can offer useful flexibility, but only when the responsibilities of internal and external teams are clearly separated.</w:t>
      </w:r>
    </w:p>
    <w:p w14:paraId="6A178B3B" w14:textId="77777777" w:rsidR="008D2572" w:rsidRDefault="00000000">
      <w:pPr>
        <w:spacing w:after="200" w:line="360" w:lineRule="auto"/>
        <w:jc w:val="both"/>
      </w:pPr>
      <w:r>
        <w:t>Taken together, these examples suggest that comparing contracting methods only by their theoretical allocation of risk is not enough (Rowlinson and McDermott, 1999; Walker and Rowlinson, 2008). A pattern appears across all four approaches: success depends not simply on choosing the 'right' method, but on whether the client has the technical knowledge and project management capability to deal with the responsibilities that remain. For project managers, choosing a contracting method should therefore involve an honest assessment of the client's capability as well as a decision about where risk should sit. Wembley and Holyrood demonstrate in different ways that a sensible contract structure on paper cannot replace the competence needed to manage a project successfully.</w:t>
      </w:r>
    </w:p>
    <w:p w14:paraId="244537EB" w14:textId="77777777" w:rsidR="008D2572" w:rsidRDefault="00000000">
      <w:r>
        <w:br w:type="page"/>
      </w:r>
    </w:p>
    <w:p w14:paraId="0E7EF1EA" w14:textId="77777777" w:rsidR="008D2572" w:rsidRDefault="00000000">
      <w:pPr>
        <w:pStyle w:val="Heading1"/>
        <w:spacing w:before="300" w:after="200" w:line="360" w:lineRule="auto"/>
      </w:pPr>
      <w:bookmarkStart w:id="7" w:name="_Toc237693960"/>
      <w:r>
        <w:rPr>
          <w:b/>
          <w:bCs/>
          <w:sz w:val="28"/>
          <w:szCs w:val="28"/>
        </w:rPr>
        <w:lastRenderedPageBreak/>
        <w:t>Reference List</w:t>
      </w:r>
      <w:bookmarkEnd w:id="7"/>
    </w:p>
    <w:p w14:paraId="371352AF" w14:textId="77777777" w:rsidR="008D2572" w:rsidRDefault="00000000">
      <w:pPr>
        <w:spacing w:after="160" w:line="360" w:lineRule="auto"/>
        <w:ind w:left="720" w:hanging="720"/>
      </w:pPr>
      <w:r>
        <w:t xml:space="preserve">Audit Scotland (2004) </w:t>
      </w:r>
      <w:r>
        <w:rPr>
          <w:i/>
          <w:iCs/>
        </w:rPr>
        <w:t>Management of the Holyrood Building Project.</w:t>
      </w:r>
      <w:r>
        <w:t xml:space="preserve"> Edinburgh: Audit Scotland.</w:t>
      </w:r>
    </w:p>
    <w:p w14:paraId="7B57D1A5" w14:textId="77777777" w:rsidR="008D2572" w:rsidRDefault="00000000">
      <w:pPr>
        <w:spacing w:after="160" w:line="360" w:lineRule="auto"/>
        <w:ind w:left="720" w:hanging="720"/>
      </w:pPr>
      <w:r>
        <w:t>Building (2009) 'Multiplex Sues Mott MacDonald for £253m over Wembley'. Available at: https://www.building.co.uk/news/multiplex-sues-mott-macdonald-for-253m-over-wembley/3130284.article (Accessed: 15 August 2026).</w:t>
      </w:r>
    </w:p>
    <w:p w14:paraId="7312B17B" w14:textId="77777777" w:rsidR="008D2572" w:rsidRDefault="00000000">
      <w:pPr>
        <w:spacing w:after="160" w:line="360" w:lineRule="auto"/>
        <w:ind w:left="720" w:hanging="720"/>
      </w:pPr>
      <w:r>
        <w:t xml:space="preserve">Fraser of </w:t>
      </w:r>
      <w:proofErr w:type="spellStart"/>
      <w:r>
        <w:t>Carmyllie</w:t>
      </w:r>
      <w:proofErr w:type="spellEnd"/>
      <w:r>
        <w:t xml:space="preserve">, Lord (2004) </w:t>
      </w:r>
      <w:r>
        <w:rPr>
          <w:i/>
          <w:iCs/>
        </w:rPr>
        <w:t>The Holyrood Inquiry.</w:t>
      </w:r>
      <w:r>
        <w:t xml:space="preserve"> Edinburgh: Scottish Parliament Corporate Body.</w:t>
      </w:r>
    </w:p>
    <w:p w14:paraId="2F2FB658" w14:textId="77777777" w:rsidR="008D2572" w:rsidRDefault="00000000">
      <w:pPr>
        <w:spacing w:after="160" w:line="360" w:lineRule="auto"/>
        <w:ind w:left="720" w:hanging="720"/>
      </w:pPr>
      <w:r>
        <w:t xml:space="preserve">Great Britain (1980) </w:t>
      </w:r>
      <w:r>
        <w:rPr>
          <w:i/>
          <w:iCs/>
        </w:rPr>
        <w:t>Local Government, Planning and Land Act 1980.</w:t>
      </w:r>
      <w:r>
        <w:t xml:space="preserve"> London: HMSO.</w:t>
      </w:r>
    </w:p>
    <w:p w14:paraId="54730EC8" w14:textId="77777777" w:rsidR="008D2572" w:rsidRDefault="00000000">
      <w:pPr>
        <w:spacing w:after="160" w:line="360" w:lineRule="auto"/>
        <w:ind w:left="720" w:hanging="720"/>
      </w:pPr>
      <w:r>
        <w:t>Inside Housing (2013) 'Return of the DLO'. Available at: https://www.insidehousing.co.uk/insight/return-of-the-dlo-34289 (Accessed: 15 August 2026).</w:t>
      </w:r>
    </w:p>
    <w:p w14:paraId="5D0AED10" w14:textId="77777777" w:rsidR="008D2572" w:rsidRDefault="00000000">
      <w:pPr>
        <w:spacing w:after="160" w:line="360" w:lineRule="auto"/>
        <w:ind w:left="720" w:hanging="720"/>
      </w:pPr>
      <w:r>
        <w:t xml:space="preserve">Langford, D.A. (1982) </w:t>
      </w:r>
      <w:r>
        <w:rPr>
          <w:i/>
          <w:iCs/>
        </w:rPr>
        <w:t>Direct Labour Organisations in the Construction Industry.</w:t>
      </w:r>
      <w:r>
        <w:t xml:space="preserve"> Aldershot: Gower.</w:t>
      </w:r>
    </w:p>
    <w:p w14:paraId="073579EC" w14:textId="77777777" w:rsidR="008D2572" w:rsidRDefault="00000000">
      <w:pPr>
        <w:spacing w:after="160" w:line="360" w:lineRule="auto"/>
        <w:ind w:left="720" w:hanging="720"/>
      </w:pPr>
      <w:r>
        <w:t xml:space="preserve">Masterman, J.W.E. (2002) </w:t>
      </w:r>
      <w:r>
        <w:rPr>
          <w:i/>
          <w:iCs/>
        </w:rPr>
        <w:t>An Introduction to Building Procurement Systems.</w:t>
      </w:r>
      <w:r>
        <w:t xml:space="preserve"> 2nd </w:t>
      </w:r>
      <w:proofErr w:type="spellStart"/>
      <w:r>
        <w:t>edn</w:t>
      </w:r>
      <w:proofErr w:type="spellEnd"/>
      <w:r>
        <w:t>. London: Routledge.</w:t>
      </w:r>
    </w:p>
    <w:p w14:paraId="299316EC" w14:textId="77777777" w:rsidR="008D2572" w:rsidRDefault="00000000">
      <w:pPr>
        <w:spacing w:after="160" w:line="360" w:lineRule="auto"/>
        <w:ind w:left="720" w:hanging="720"/>
      </w:pPr>
      <w:proofErr w:type="spellStart"/>
      <w:r>
        <w:t>Naphiet</w:t>
      </w:r>
      <w:proofErr w:type="spellEnd"/>
      <w:r>
        <w:t xml:space="preserve">, H. and </w:t>
      </w:r>
      <w:proofErr w:type="spellStart"/>
      <w:r>
        <w:t>Naphiet</w:t>
      </w:r>
      <w:proofErr w:type="spellEnd"/>
      <w:r>
        <w:t xml:space="preserve">, J. (1985) 'A comparison of contractual arrangements for building projects', </w:t>
      </w:r>
      <w:r>
        <w:rPr>
          <w:i/>
          <w:iCs/>
        </w:rPr>
        <w:t>Construction Management and Economics</w:t>
      </w:r>
      <w:r>
        <w:t>, 3(3), pp. 217–231.</w:t>
      </w:r>
    </w:p>
    <w:p w14:paraId="0AE31A74" w14:textId="77777777" w:rsidR="008D2572" w:rsidRDefault="00000000">
      <w:pPr>
        <w:spacing w:after="160" w:line="360" w:lineRule="auto"/>
        <w:ind w:left="720" w:hanging="720"/>
      </w:pPr>
      <w:r>
        <w:t>New Civil Engineer (2009) 'Wembley Stadium: Pitched Battle'. Available at: https://www.newcivilengineer.com/archive/wembley-stadium-pitched-battle-23-07-2009/ (Accessed: 15 August 2026).</w:t>
      </w:r>
    </w:p>
    <w:p w14:paraId="457A88E4" w14:textId="77777777" w:rsidR="008D2572" w:rsidRDefault="00000000">
      <w:pPr>
        <w:spacing w:after="160" w:line="360" w:lineRule="auto"/>
        <w:ind w:left="720" w:hanging="720"/>
      </w:pPr>
      <w:r>
        <w:t xml:space="preserve">PMI (Project Management Institute) (2021) </w:t>
      </w:r>
      <w:r>
        <w:rPr>
          <w:i/>
          <w:iCs/>
        </w:rPr>
        <w:t>A Guide to the Project Management Body of Knowledge (PMBOK Guide).</w:t>
      </w:r>
      <w:r>
        <w:t xml:space="preserve"> 7th </w:t>
      </w:r>
      <w:proofErr w:type="spellStart"/>
      <w:r>
        <w:t>edn</w:t>
      </w:r>
      <w:proofErr w:type="spellEnd"/>
      <w:r>
        <w:t>. Newtown Square, PA: Project Management Institute.</w:t>
      </w:r>
    </w:p>
    <w:p w14:paraId="08E267E0" w14:textId="77777777" w:rsidR="008D2572" w:rsidRDefault="00000000">
      <w:pPr>
        <w:spacing w:after="160" w:line="360" w:lineRule="auto"/>
        <w:ind w:left="720" w:hanging="720"/>
      </w:pPr>
      <w:r>
        <w:t xml:space="preserve">Procore (2024) </w:t>
      </w:r>
      <w:r>
        <w:rPr>
          <w:i/>
          <w:iCs/>
        </w:rPr>
        <w:t>Self-Perform Construction: Pros, Cons, and Considerations.</w:t>
      </w:r>
      <w:r>
        <w:t xml:space="preserve"> Available at: https://www.procore.com/library/self-perform-construction (Accessed: 15 August 2026).</w:t>
      </w:r>
    </w:p>
    <w:p w14:paraId="70B7B611" w14:textId="77777777" w:rsidR="008D2572" w:rsidRDefault="00000000">
      <w:pPr>
        <w:spacing w:after="160" w:line="360" w:lineRule="auto"/>
        <w:ind w:left="720" w:hanging="720"/>
      </w:pPr>
      <w:r>
        <w:t xml:space="preserve">Rojas, E.M. (2008) 'Single versus multiple prime contracting', </w:t>
      </w:r>
      <w:r>
        <w:rPr>
          <w:i/>
          <w:iCs/>
        </w:rPr>
        <w:t>Journal of Construction Engineering and Management</w:t>
      </w:r>
      <w:r>
        <w:t>, 134(10).</w:t>
      </w:r>
    </w:p>
    <w:p w14:paraId="52D0A522" w14:textId="77777777" w:rsidR="008D2572" w:rsidRDefault="00000000">
      <w:pPr>
        <w:spacing w:after="160" w:line="360" w:lineRule="auto"/>
        <w:ind w:left="720" w:hanging="720"/>
      </w:pPr>
      <w:r>
        <w:lastRenderedPageBreak/>
        <w:t xml:space="preserve">Rowlinson, S. and McDermott, P. (eds.) (1999) </w:t>
      </w:r>
      <w:r>
        <w:rPr>
          <w:i/>
          <w:iCs/>
        </w:rPr>
        <w:t>Procurement Systems: A Guide to Best Practice in Construction.</w:t>
      </w:r>
      <w:r>
        <w:t xml:space="preserve"> London: E &amp; FN Spon.</w:t>
      </w:r>
    </w:p>
    <w:p w14:paraId="295BE60A" w14:textId="77777777" w:rsidR="008D2572" w:rsidRDefault="00000000">
      <w:pPr>
        <w:spacing w:after="160" w:line="360" w:lineRule="auto"/>
        <w:ind w:left="720" w:hanging="720"/>
      </w:pPr>
      <w:r>
        <w:t xml:space="preserve">Walker, D.H.T. and Rowlinson, S. (2008) </w:t>
      </w:r>
      <w:r>
        <w:rPr>
          <w:i/>
          <w:iCs/>
        </w:rPr>
        <w:t>Procurement Systems: A Cross-Industry Project Management Perspective.</w:t>
      </w:r>
      <w:r>
        <w:t xml:space="preserve"> Abingdon: Taylor &amp; Francis.</w:t>
      </w:r>
    </w:p>
    <w:sectPr w:rsidR="008D2572">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54840B03"/>
    <w:multiLevelType w:val="hybridMultilevel"/>
    <w:tmpl w:val="55483C38"/>
    <w:lvl w:ilvl="0" w:tplc="BAD4CC7C">
      <w:start w:val="1"/>
      <w:numFmt w:val="bullet"/>
      <w:lvlText w:val="●"/>
      <w:lvlJc w:val="left"/>
      <w:pPr>
        <w:ind w:left="720" w:hanging="360"/>
      </w:pPr>
    </w:lvl>
    <w:lvl w:ilvl="1" w:tplc="6A7A38D8">
      <w:start w:val="1"/>
      <w:numFmt w:val="bullet"/>
      <w:lvlText w:val="○"/>
      <w:lvlJc w:val="left"/>
      <w:pPr>
        <w:ind w:left="1440" w:hanging="360"/>
      </w:pPr>
    </w:lvl>
    <w:lvl w:ilvl="2" w:tplc="41E69202">
      <w:start w:val="1"/>
      <w:numFmt w:val="bullet"/>
      <w:lvlText w:val="■"/>
      <w:lvlJc w:val="left"/>
      <w:pPr>
        <w:ind w:left="2160" w:hanging="360"/>
      </w:pPr>
    </w:lvl>
    <w:lvl w:ilvl="3" w:tplc="E7E00C94">
      <w:start w:val="1"/>
      <w:numFmt w:val="bullet"/>
      <w:lvlText w:val="●"/>
      <w:lvlJc w:val="left"/>
      <w:pPr>
        <w:ind w:left="2880" w:hanging="360"/>
      </w:pPr>
    </w:lvl>
    <w:lvl w:ilvl="4" w:tplc="C680C0A8">
      <w:start w:val="1"/>
      <w:numFmt w:val="bullet"/>
      <w:lvlText w:val="○"/>
      <w:lvlJc w:val="left"/>
      <w:pPr>
        <w:ind w:left="3600" w:hanging="360"/>
      </w:pPr>
    </w:lvl>
    <w:lvl w:ilvl="5" w:tplc="5DFAB4AE">
      <w:start w:val="1"/>
      <w:numFmt w:val="bullet"/>
      <w:lvlText w:val="■"/>
      <w:lvlJc w:val="left"/>
      <w:pPr>
        <w:ind w:left="4320" w:hanging="360"/>
      </w:pPr>
    </w:lvl>
    <w:lvl w:ilvl="6" w:tplc="E72C408E">
      <w:start w:val="1"/>
      <w:numFmt w:val="bullet"/>
      <w:lvlText w:val="●"/>
      <w:lvlJc w:val="left"/>
      <w:pPr>
        <w:ind w:left="5040" w:hanging="360"/>
      </w:pPr>
    </w:lvl>
    <w:lvl w:ilvl="7" w:tplc="D81417A4">
      <w:start w:val="1"/>
      <w:numFmt w:val="bullet"/>
      <w:lvlText w:val="●"/>
      <w:lvlJc w:val="left"/>
      <w:pPr>
        <w:ind w:left="5760" w:hanging="360"/>
      </w:pPr>
    </w:lvl>
    <w:lvl w:ilvl="8" w:tplc="75FE0FD2">
      <w:start w:val="1"/>
      <w:numFmt w:val="bullet"/>
      <w:lvlText w:val="●"/>
      <w:lvlJc w:val="left"/>
      <w:pPr>
        <w:ind w:left="6480" w:hanging="360"/>
      </w:pPr>
    </w:lvl>
  </w:abstractNum>
  <w:num w:numId="1" w16cid:durableId="1496798915">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39"/>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2572"/>
    <w:rsid w:val="008D2572"/>
    <w:rsid w:val="009A24B4"/>
    <w:rsid w:val="00B356ED"/>
    <w:rsid w:val="00B60E3A"/>
    <w:rsid w:val="00BB21DF"/>
    <w:rsid w:val="00BF3C5D"/>
    <w:rsid w:val="00DA2254"/>
    <w:rsid w:val="00F66041"/>
    <w:rsid w:val="00FD5E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178B9"/>
  <w15:docId w15:val="{B4CE7F1B-4ED4-644B-8EE7-901886405C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DA225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0334EE7-A563-9F46-AEBA-91B6DFDBF2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9</Pages>
  <Words>2267</Words>
  <Characters>13562</Characters>
  <Application>Microsoft Office Word</Application>
  <DocSecurity>0</DocSecurity>
  <Lines>211</Lines>
  <Paragraphs>57</Paragraphs>
  <ScaleCrop>false</ScaleCrop>
  <HeadingPairs>
    <vt:vector size="2" baseType="variant">
      <vt:variant>
        <vt:lpstr>Title</vt:lpstr>
      </vt:variant>
      <vt:variant>
        <vt:i4>1</vt:i4>
      </vt:variant>
    </vt:vector>
  </HeadingPairs>
  <TitlesOfParts>
    <vt:vector size="1" baseType="lpstr">
      <vt:lpstr>The Four Methods of Contracting in Project Management</vt:lpstr>
    </vt:vector>
  </TitlesOfParts>
  <Company/>
  <LinksUpToDate>false</LinksUpToDate>
  <CharactersWithSpaces>15772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Four Methods of Contracting in Project Management</dc:title>
  <dc:creator>Un-named</dc:creator>
  <cp:lastModifiedBy>Anamaria  Fermesanu</cp:lastModifiedBy>
  <cp:revision>5</cp:revision>
  <dcterms:created xsi:type="dcterms:W3CDTF">2026-08-15T13:21:00Z</dcterms:created>
  <dcterms:modified xsi:type="dcterms:W3CDTF">2026-08-17T08:18:00Z</dcterms:modified>
</cp:coreProperties>
</file>