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49B68C4D" w:rsidR="00EB12BC" w:rsidRPr="003C1846" w:rsidRDefault="00EB12BC" w:rsidP="00C03A91">
      <w:pPr>
        <w:tabs>
          <w:tab w:val="left" w:pos="6540"/>
        </w:tabs>
        <w:spacing w:line="360" w:lineRule="auto"/>
        <w:rPr>
          <w:rFonts w:ascii="Arial" w:hAnsi="Arial" w:cs="Arial"/>
          <w:sz w:val="28"/>
          <w:szCs w:val="28"/>
          <w:lang w:val="nl-NL"/>
        </w:rPr>
      </w:pPr>
      <w:r w:rsidRPr="003C1846">
        <w:rPr>
          <w:rFonts w:ascii="Arial" w:hAnsi="Arial" w:cs="Arial"/>
          <w:b/>
          <w:bCs/>
          <w:sz w:val="28"/>
          <w:szCs w:val="28"/>
          <w:lang w:val="nl-NL"/>
        </w:rPr>
        <w:t>Student name</w:t>
      </w:r>
      <w:r w:rsidRPr="003C1846">
        <w:rPr>
          <w:rFonts w:ascii="Arial" w:hAnsi="Arial" w:cs="Arial"/>
          <w:sz w:val="28"/>
          <w:szCs w:val="28"/>
          <w:lang w:val="nl-NL"/>
        </w:rPr>
        <w:t>:</w:t>
      </w:r>
      <w:r w:rsidR="003C1846" w:rsidRPr="003C1846">
        <w:rPr>
          <w:rFonts w:ascii="Arial" w:hAnsi="Arial" w:cs="Arial"/>
          <w:sz w:val="28"/>
          <w:szCs w:val="28"/>
          <w:lang w:val="nl-NL"/>
        </w:rPr>
        <w:t xml:space="preserve"> Hazel Rodriguez</w:t>
      </w:r>
    </w:p>
    <w:p w14:paraId="3C83A8A7" w14:textId="145AD94D" w:rsidR="00EB12BC" w:rsidRPr="003C1846" w:rsidRDefault="00EB12BC" w:rsidP="00C03A91">
      <w:pPr>
        <w:tabs>
          <w:tab w:val="left" w:pos="6540"/>
        </w:tabs>
        <w:spacing w:line="360" w:lineRule="auto"/>
        <w:rPr>
          <w:rFonts w:ascii="Arial" w:hAnsi="Arial" w:cs="Arial"/>
          <w:sz w:val="28"/>
          <w:szCs w:val="28"/>
        </w:rPr>
      </w:pPr>
      <w:r w:rsidRPr="003C1846">
        <w:rPr>
          <w:rFonts w:ascii="Arial" w:hAnsi="Arial" w:cs="Arial"/>
          <w:b/>
          <w:bCs/>
          <w:sz w:val="28"/>
          <w:szCs w:val="28"/>
        </w:rPr>
        <w:t>Student ID</w:t>
      </w:r>
      <w:r w:rsidRPr="003C1846">
        <w:rPr>
          <w:rFonts w:ascii="Arial" w:hAnsi="Arial" w:cs="Arial"/>
          <w:sz w:val="28"/>
          <w:szCs w:val="28"/>
        </w:rPr>
        <w:t>:</w:t>
      </w:r>
      <w:r w:rsidR="003C1846" w:rsidRPr="003C1846">
        <w:rPr>
          <w:rFonts w:ascii="Arial" w:hAnsi="Arial" w:cs="Arial"/>
          <w:sz w:val="28"/>
          <w:szCs w:val="28"/>
        </w:rPr>
        <w:t xml:space="preserve"> 2430331</w:t>
      </w:r>
    </w:p>
    <w:p w14:paraId="21E9DC72" w14:textId="77777777" w:rsidR="00EB12BC" w:rsidRPr="003C1846" w:rsidRDefault="00EB12BC" w:rsidP="00C03A91">
      <w:pPr>
        <w:tabs>
          <w:tab w:val="left" w:pos="6540"/>
        </w:tabs>
        <w:spacing w:line="360" w:lineRule="auto"/>
        <w:rPr>
          <w:rFonts w:ascii="Arial" w:hAnsi="Arial" w:cs="Arial"/>
          <w:sz w:val="28"/>
          <w:szCs w:val="28"/>
        </w:rPr>
      </w:pPr>
    </w:p>
    <w:p w14:paraId="23BAC9B9" w14:textId="4B5F0FCF" w:rsidR="00EB12BC" w:rsidRPr="003C1846" w:rsidRDefault="00EB12BC" w:rsidP="00C03A91">
      <w:pPr>
        <w:tabs>
          <w:tab w:val="left" w:pos="6540"/>
        </w:tabs>
        <w:spacing w:line="360" w:lineRule="auto"/>
        <w:rPr>
          <w:rFonts w:ascii="Arial" w:hAnsi="Arial" w:cs="Arial"/>
          <w:sz w:val="28"/>
          <w:szCs w:val="28"/>
        </w:rPr>
      </w:pPr>
      <w:r w:rsidRPr="003C1846">
        <w:rPr>
          <w:rFonts w:ascii="Arial" w:hAnsi="Arial" w:cs="Arial"/>
          <w:b/>
          <w:bCs/>
          <w:sz w:val="28"/>
          <w:szCs w:val="28"/>
        </w:rPr>
        <w:t>Module name</w:t>
      </w:r>
      <w:r w:rsidRPr="003C1846">
        <w:rPr>
          <w:rFonts w:ascii="Arial" w:hAnsi="Arial" w:cs="Arial"/>
          <w:sz w:val="28"/>
          <w:szCs w:val="28"/>
        </w:rPr>
        <w:t xml:space="preserve">: </w:t>
      </w:r>
      <w:r w:rsidR="003C1846">
        <w:rPr>
          <w:rFonts w:ascii="Arial" w:hAnsi="Arial" w:cs="Arial"/>
          <w:sz w:val="28"/>
          <w:szCs w:val="28"/>
        </w:rPr>
        <w:t>Introduction to physiology</w:t>
      </w:r>
    </w:p>
    <w:p w14:paraId="4FD97C8C" w14:textId="18E9B91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3C1846">
        <w:rPr>
          <w:rFonts w:ascii="Arial" w:hAnsi="Arial" w:cs="Arial"/>
          <w:sz w:val="28"/>
          <w:szCs w:val="28"/>
        </w:rPr>
        <w:t xml:space="preserve"> BMH</w:t>
      </w:r>
      <w:r w:rsidR="00400351">
        <w:rPr>
          <w:rFonts w:ascii="Arial" w:hAnsi="Arial" w:cs="Arial"/>
          <w:sz w:val="28"/>
          <w:szCs w:val="28"/>
        </w:rPr>
        <w:t>P</w:t>
      </w:r>
      <w:r w:rsidR="003C1846">
        <w:rPr>
          <w:rFonts w:ascii="Arial" w:hAnsi="Arial" w:cs="Arial"/>
          <w:sz w:val="28"/>
          <w:szCs w:val="28"/>
        </w:rPr>
        <w:t>05023</w:t>
      </w:r>
    </w:p>
    <w:p w14:paraId="2B1EA441" w14:textId="72D69239" w:rsidR="003C1846"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3C1846">
        <w:rPr>
          <w:rFonts w:ascii="Arial" w:hAnsi="Arial" w:cs="Arial"/>
          <w:sz w:val="28"/>
          <w:szCs w:val="28"/>
        </w:rPr>
        <w:t xml:space="preserve"> Shaila Hussain </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6ACDA806"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3C1846">
        <w:rPr>
          <w:rFonts w:ascii="Arial" w:hAnsi="Arial" w:cs="Arial"/>
          <w:b/>
          <w:bCs/>
          <w:sz w:val="28"/>
          <w:szCs w:val="28"/>
        </w:rPr>
        <w:t xml:space="preserve"> </w:t>
      </w:r>
      <w:r w:rsidR="00400351">
        <w:rPr>
          <w:rFonts w:ascii="Arial" w:hAnsi="Arial" w:cs="Arial"/>
          <w:b/>
          <w:bCs/>
          <w:sz w:val="28"/>
          <w:szCs w:val="28"/>
        </w:rPr>
        <w:t>Assessment</w:t>
      </w:r>
      <w:r w:rsidR="003C1846">
        <w:rPr>
          <w:rFonts w:ascii="Arial" w:hAnsi="Arial" w:cs="Arial"/>
          <w:b/>
          <w:bCs/>
          <w:sz w:val="28"/>
          <w:szCs w:val="28"/>
        </w:rPr>
        <w:t xml:space="preserve"> 1 – Case study (type </w:t>
      </w:r>
      <w:r w:rsidR="00400351">
        <w:rPr>
          <w:rFonts w:ascii="Arial" w:hAnsi="Arial" w:cs="Arial"/>
          <w:b/>
          <w:bCs/>
          <w:sz w:val="28"/>
          <w:szCs w:val="28"/>
        </w:rPr>
        <w:t xml:space="preserve">2 </w:t>
      </w:r>
      <w:r w:rsidR="003C1846">
        <w:rPr>
          <w:rFonts w:ascii="Arial" w:hAnsi="Arial" w:cs="Arial"/>
          <w:b/>
          <w:bCs/>
          <w:sz w:val="28"/>
          <w:szCs w:val="28"/>
        </w:rPr>
        <w:t>diabetes )</w:t>
      </w:r>
    </w:p>
    <w:p w14:paraId="442A8432" w14:textId="1586E5B0" w:rsidR="000C4EDA" w:rsidRPr="00995C46" w:rsidRDefault="000C4EDA" w:rsidP="00995C46">
      <w:pPr>
        <w:spacing w:line="360" w:lineRule="auto"/>
        <w:rPr>
          <w:rFonts w:ascii="Arial" w:hAnsi="Arial" w:cs="Arial"/>
          <w:sz w:val="28"/>
          <w:szCs w:val="28"/>
        </w:rPr>
      </w:pPr>
      <w:r w:rsidRPr="00995C46">
        <w:rPr>
          <w:rFonts w:ascii="Arial" w:eastAsiaTheme="majorEastAsia" w:hAnsi="Arial" w:cs="Arial"/>
          <w:b/>
          <w:sz w:val="32"/>
          <w:szCs w:val="32"/>
        </w:rPr>
        <w:t>1. Introduction</w:t>
      </w:r>
      <w:r w:rsidR="00C03A91" w:rsidRPr="00C03A91">
        <w:rPr>
          <w:rFonts w:cs="Arial"/>
        </w:rPr>
        <w:t xml:space="preserve"> </w:t>
      </w:r>
    </w:p>
    <w:p w14:paraId="5C2ADE36" w14:textId="21757ADB" w:rsidR="00995C46" w:rsidRPr="00FE1FD9" w:rsidRDefault="007C0AEA" w:rsidP="00FE1FD9">
      <w:pPr>
        <w:tabs>
          <w:tab w:val="left" w:pos="6540"/>
        </w:tabs>
        <w:spacing w:line="360" w:lineRule="auto"/>
        <w:rPr>
          <w:rFonts w:ascii="Arial" w:hAnsi="Arial" w:cs="Arial"/>
          <w:color w:val="000000" w:themeColor="text1"/>
          <w:sz w:val="22"/>
        </w:rPr>
      </w:pPr>
      <w:r w:rsidRPr="00FE1FD9">
        <w:rPr>
          <w:rFonts w:ascii="Arial" w:hAnsi="Arial" w:cs="Arial"/>
          <w:color w:val="000000" w:themeColor="text1"/>
          <w:sz w:val="22"/>
        </w:rPr>
        <w:t xml:space="preserve">Persistent </w:t>
      </w:r>
      <w:r w:rsidR="00400351" w:rsidRPr="00FE1FD9">
        <w:rPr>
          <w:rFonts w:ascii="Arial" w:hAnsi="Arial" w:cs="Arial"/>
          <w:color w:val="000000" w:themeColor="text1"/>
          <w:sz w:val="22"/>
        </w:rPr>
        <w:t>hyperglycaemia</w:t>
      </w:r>
      <w:r w:rsidRPr="00FE1FD9">
        <w:rPr>
          <w:rFonts w:ascii="Arial" w:hAnsi="Arial" w:cs="Arial"/>
          <w:color w:val="000000" w:themeColor="text1"/>
          <w:sz w:val="22"/>
        </w:rPr>
        <w:t xml:space="preserve"> is a hallmark of a group of metabolic diseases known as diabetes mellitus. Although glucose is a vital fuel, it cannot be utilised correctly in the absence or ineffectiveness of insulin. An absolute insulin deficit is brought on by the autoimmune death of pancreatic beta cells in type 1 diabetes, necessitating lifelong insulin supplementation. This case study focuses on type 2 diabetes, which arises when body tissues gain resistance to insulin and pancreatic insulin output gradually declines. Untreated </w:t>
      </w:r>
      <w:r w:rsidR="00400351" w:rsidRPr="00FE1FD9">
        <w:rPr>
          <w:rFonts w:ascii="Arial" w:hAnsi="Arial" w:cs="Arial"/>
          <w:color w:val="000000" w:themeColor="text1"/>
          <w:sz w:val="22"/>
        </w:rPr>
        <w:t>hyperglycaemia</w:t>
      </w:r>
      <w:r w:rsidRPr="00FE1FD9">
        <w:rPr>
          <w:rFonts w:ascii="Arial" w:hAnsi="Arial" w:cs="Arial"/>
          <w:color w:val="000000" w:themeColor="text1"/>
          <w:sz w:val="22"/>
        </w:rPr>
        <w:t xml:space="preserve"> increases the risk of cardiovascular disease, stroke, renal disease, retinopathy, and foot issues by damaging blood vessels and nerves (NHS, 2025).</w:t>
      </w:r>
    </w:p>
    <w:p w14:paraId="37EEA780" w14:textId="22F417D0" w:rsidR="007C0AEA" w:rsidRPr="00FE1FD9" w:rsidRDefault="007C0AEA" w:rsidP="00FE1FD9">
      <w:pPr>
        <w:tabs>
          <w:tab w:val="left" w:pos="6540"/>
        </w:tabs>
        <w:spacing w:line="360" w:lineRule="auto"/>
        <w:rPr>
          <w:rFonts w:ascii="Arial" w:hAnsi="Arial" w:cs="Arial"/>
          <w:color w:val="000000" w:themeColor="text1"/>
          <w:sz w:val="22"/>
        </w:rPr>
      </w:pPr>
      <w:r w:rsidRPr="00FE1FD9">
        <w:rPr>
          <w:rFonts w:ascii="Arial" w:hAnsi="Arial" w:cs="Arial"/>
          <w:color w:val="000000" w:themeColor="text1"/>
          <w:sz w:val="22"/>
        </w:rPr>
        <w:t xml:space="preserve">Risk is the result of the interaction of both modifiable and non-modifiable factors. Susceptibility is increased by age, family history, prior gestational diabetes, and certain ethnic origins. Type 2 diabetes can strike people of South Asian, Black African, and African-Caribbean descent earlier in life, and a first-degree family history significantly raises the risk </w:t>
      </w:r>
      <w:r w:rsidRPr="00FE1FD9">
        <w:rPr>
          <w:rFonts w:ascii="Arial" w:hAnsi="Arial" w:cs="Arial"/>
          <w:color w:val="000000" w:themeColor="text1"/>
          <w:sz w:val="22"/>
        </w:rPr>
        <w:lastRenderedPageBreak/>
        <w:t>(Diabetes UK, 2026a). Risk factors include being overweight or obese, especially central adiposity, being physically inactive, eating a diet high in energy, smoking, having high blood pressure, and having dyslipidaemia. Instead of assigning blame, these elements should guide supportive, culturally relevant evaluation.</w:t>
      </w:r>
    </w:p>
    <w:p w14:paraId="676CB768" w14:textId="4BBFF704" w:rsidR="00940407" w:rsidRPr="00FE1FD9" w:rsidRDefault="007C0AEA" w:rsidP="00FE1FD9">
      <w:pPr>
        <w:tabs>
          <w:tab w:val="left" w:pos="6540"/>
        </w:tabs>
        <w:spacing w:line="360" w:lineRule="auto"/>
        <w:rPr>
          <w:rFonts w:ascii="Arial" w:hAnsi="Arial" w:cs="Arial"/>
          <w:b/>
          <w:bCs/>
          <w:color w:val="000000" w:themeColor="text1"/>
          <w:sz w:val="22"/>
        </w:rPr>
      </w:pPr>
      <w:r w:rsidRPr="00FE1FD9">
        <w:rPr>
          <w:rFonts w:ascii="Arial" w:hAnsi="Arial" w:cs="Arial"/>
          <w:color w:val="000000" w:themeColor="text1"/>
          <w:sz w:val="22"/>
        </w:rPr>
        <w:t xml:space="preserve">The practice nurse plays a crucial instructional role in the general practitioner's office. Through structured education, patients can participate in shared decision-making, comprehend outcomes, medications, symptoms, and lifestyle options, and put an agreed-upon care plan into practice on a daily basis. Adults should be given organised education at diagnosis, according to NICE (2026a). Since knowledge by itself does not ensure long-term self-management, education must be tailored to health literacy, culture, preferences, </w:t>
      </w:r>
      <w:r w:rsidR="00A2033F" w:rsidRPr="00FE1FD9">
        <w:rPr>
          <w:rFonts w:ascii="Arial" w:hAnsi="Arial" w:cs="Arial"/>
          <w:color w:val="000000" w:themeColor="text1"/>
          <w:sz w:val="22"/>
        </w:rPr>
        <w:t>comorbidities, and adaptability.</w:t>
      </w:r>
    </w:p>
    <w:p w14:paraId="2D95E97C" w14:textId="0116D9CF" w:rsidR="00C03A91" w:rsidRPr="00DE4FB9" w:rsidRDefault="00C03A91" w:rsidP="00DE4FB9">
      <w:pPr>
        <w:pStyle w:val="Heading1"/>
      </w:pPr>
      <w:r w:rsidRPr="00DE4FB9">
        <w:t xml:space="preserve">2. </w:t>
      </w:r>
      <w:r w:rsidR="00FD7392" w:rsidRPr="00DE4FB9">
        <w:t>Blood Sugar Regulation</w:t>
      </w:r>
    </w:p>
    <w:p w14:paraId="136213B3" w14:textId="6609A98D" w:rsidR="00986F78" w:rsidRPr="00FE1FD9" w:rsidRDefault="00A2033F" w:rsidP="00FE1FD9">
      <w:pPr>
        <w:tabs>
          <w:tab w:val="left" w:pos="6540"/>
        </w:tabs>
        <w:spacing w:line="360" w:lineRule="auto"/>
        <w:rPr>
          <w:rFonts w:ascii="Arial" w:hAnsi="Arial" w:cs="Arial"/>
          <w:color w:val="000000" w:themeColor="text1"/>
          <w:sz w:val="22"/>
        </w:rPr>
      </w:pPr>
      <w:r w:rsidRPr="00FE1FD9">
        <w:rPr>
          <w:rFonts w:ascii="Arial" w:hAnsi="Arial" w:cs="Arial"/>
          <w:color w:val="000000" w:themeColor="text1"/>
          <w:sz w:val="22"/>
        </w:rPr>
        <w:t xml:space="preserve">The internal environment is kept within bounds that are appropriate for cell function via homeostasis. Endocrine negative feedback continuously modifies the storage, absorption, and synthesis of blood glucose because it varies with food consumption, fasting, exercise, disease, and medications. A global "normal range" should not be mistaken with a specific treatment target because a fasting plasma glucose of 7.0 mmol/L or higher is within the diagnostic range for diabetes when properly established (Diabetes UK, 2026b). While severe </w:t>
      </w:r>
      <w:r w:rsidR="00400351" w:rsidRPr="00FE1FD9">
        <w:rPr>
          <w:rFonts w:ascii="Arial" w:hAnsi="Arial" w:cs="Arial"/>
          <w:color w:val="000000" w:themeColor="text1"/>
          <w:sz w:val="22"/>
        </w:rPr>
        <w:t>hypoglycaemia</w:t>
      </w:r>
      <w:r w:rsidRPr="00FE1FD9">
        <w:rPr>
          <w:rFonts w:ascii="Arial" w:hAnsi="Arial" w:cs="Arial"/>
          <w:color w:val="000000" w:themeColor="text1"/>
          <w:sz w:val="22"/>
        </w:rPr>
        <w:t xml:space="preserve"> can impair cognition, induce seizures, or result in unconsciousness, persistent </w:t>
      </w:r>
      <w:r w:rsidR="00400351" w:rsidRPr="00FE1FD9">
        <w:rPr>
          <w:rFonts w:ascii="Arial" w:hAnsi="Arial" w:cs="Arial"/>
          <w:color w:val="000000" w:themeColor="text1"/>
          <w:sz w:val="22"/>
        </w:rPr>
        <w:t>hyperglycaemia</w:t>
      </w:r>
      <w:r w:rsidRPr="00FE1FD9">
        <w:rPr>
          <w:rFonts w:ascii="Arial" w:hAnsi="Arial" w:cs="Arial"/>
          <w:color w:val="000000" w:themeColor="text1"/>
          <w:sz w:val="22"/>
        </w:rPr>
        <w:t xml:space="preserve"> encourages glycation, oxidative stress, and vascular damage.</w:t>
      </w:r>
    </w:p>
    <w:p w14:paraId="1EEAE72A" w14:textId="6FF374D2" w:rsidR="001A5D34" w:rsidRPr="00FE1FD9" w:rsidRDefault="001A5D34" w:rsidP="00FE1FD9">
      <w:pPr>
        <w:tabs>
          <w:tab w:val="left" w:pos="6540"/>
        </w:tabs>
        <w:spacing w:line="360" w:lineRule="auto"/>
        <w:rPr>
          <w:rFonts w:ascii="Arial" w:hAnsi="Arial" w:cs="Arial"/>
          <w:color w:val="000000" w:themeColor="text1"/>
          <w:sz w:val="22"/>
        </w:rPr>
      </w:pPr>
      <w:r w:rsidRPr="00FE1FD9">
        <w:rPr>
          <w:rFonts w:ascii="Arial" w:hAnsi="Arial" w:cs="Arial"/>
          <w:color w:val="000000" w:themeColor="text1"/>
          <w:sz w:val="22"/>
        </w:rPr>
        <w:t>Blood glucose levels rise following a meal that contains carbohydrates due to digestion and absorption. The pancreatic islets' beta cells sense the increase and release insulin. Insulin promotes signalling pathways by binding to receptors on target cells. This increases glucose entry by moving GLUT4 transporters to the cell membrane in skeletal muscle and adipose tissue. Additionally, insulin promotes the synthesis of fat and protein, inhibits the breakdown of hepatic glycogen and gluconeogenesis, and stimulates the production of glycogen in muscle and liver. By lowering circulating glucose to its prior level, these coordinated processes lessen the impetus for further insulin release (Hall and Hall, 2021).</w:t>
      </w:r>
    </w:p>
    <w:p w14:paraId="19F2DC82" w14:textId="77777777" w:rsidR="001A5D34" w:rsidRPr="00FE1FD9" w:rsidRDefault="001A5D34" w:rsidP="00FE1FD9">
      <w:pPr>
        <w:tabs>
          <w:tab w:val="left" w:pos="6540"/>
        </w:tabs>
        <w:spacing w:line="360" w:lineRule="auto"/>
        <w:rPr>
          <w:rFonts w:ascii="Arial" w:hAnsi="Arial" w:cs="Arial"/>
          <w:color w:val="000000" w:themeColor="text1"/>
          <w:sz w:val="22"/>
        </w:rPr>
      </w:pPr>
      <w:r w:rsidRPr="00FE1FD9">
        <w:rPr>
          <w:rFonts w:ascii="Arial" w:hAnsi="Arial" w:cs="Arial"/>
          <w:color w:val="000000" w:themeColor="text1"/>
          <w:sz w:val="22"/>
        </w:rPr>
        <w:t>Falling glucose causes pancreatic alpha cells to release glucagon and decreases insulin secretion during fasting or extended activity. Glucagon primarily affects the liver, where it stimulates gluconeogenesis and glycogenolysis from substrates such lactate, glycerol, and amino acids. After then, hepatic glucose reaches the bloodstream. While cortisol and growth hormone have slower counter-regulatory effects, adrenaline promotes quick glucose mobilisation during exercise or stress. Thus, glucagon and insulin work in opposition to each other to balance tissue needs with fuel availability.</w:t>
      </w:r>
    </w:p>
    <w:p w14:paraId="6FB94877" w14:textId="77777777" w:rsidR="001A5D34" w:rsidRPr="00FE1FD9" w:rsidRDefault="001A5D34" w:rsidP="00FE1FD9">
      <w:pPr>
        <w:tabs>
          <w:tab w:val="left" w:pos="6540"/>
        </w:tabs>
        <w:spacing w:line="360" w:lineRule="auto"/>
        <w:rPr>
          <w:rFonts w:ascii="Arial" w:hAnsi="Arial" w:cs="Arial"/>
          <w:color w:val="000000" w:themeColor="text1"/>
          <w:sz w:val="22"/>
        </w:rPr>
      </w:pPr>
      <w:r w:rsidRPr="00FE1FD9">
        <w:rPr>
          <w:rFonts w:ascii="Arial" w:hAnsi="Arial" w:cs="Arial"/>
          <w:color w:val="000000" w:themeColor="text1"/>
          <w:sz w:val="22"/>
        </w:rPr>
        <w:lastRenderedPageBreak/>
        <w:t>The liver, muscle, and adipose tissue react to insulin less well in those with type 2 diabetes. At first, the pancreas makes up for this by making more insulin, but beta-cell activity may gradually deteriorate. Despite an existing high quantity, the liver continues to release glucose and muscle glucose absorption is decreased. This resistance is influenced by visceral fat, inflammation, genetics, inactivity, and ectopic lipid deposition. Excessive post-meal and fasting glucose is the outcome. As a result, management incorporates education, lifestyle modifications, and specially chosen medications; current NICE guidelines additionally prioritise cardiovascular and renal protection rather than only HbA1c (NICE, 2026a).</w:t>
      </w:r>
    </w:p>
    <w:p w14:paraId="41B38D2D" w14:textId="0C6417EB" w:rsidR="001A5D34" w:rsidRPr="00FE1FD9" w:rsidRDefault="001A5D34" w:rsidP="00FE1FD9">
      <w:pPr>
        <w:tabs>
          <w:tab w:val="left" w:pos="6540"/>
        </w:tabs>
        <w:spacing w:line="360" w:lineRule="auto"/>
        <w:rPr>
          <w:rFonts w:ascii="Arial" w:hAnsi="Arial" w:cs="Arial"/>
          <w:color w:val="000000" w:themeColor="text1"/>
          <w:sz w:val="22"/>
        </w:rPr>
      </w:pPr>
      <w:r w:rsidRPr="00FE1FD9">
        <w:rPr>
          <w:rFonts w:ascii="Arial" w:hAnsi="Arial" w:cs="Arial"/>
          <w:color w:val="000000" w:themeColor="text1"/>
          <w:sz w:val="22"/>
        </w:rPr>
        <w:t xml:space="preserve">Depending on the severity and duration of the imbalance, different outcomes occur. While higher levels might result in thirst, frequent urination, fatigue, blurred vision, and recurrent infection due to osmotic water loss and compromised immune function, mild </w:t>
      </w:r>
      <w:r w:rsidR="00400351" w:rsidRPr="00FE1FD9">
        <w:rPr>
          <w:rFonts w:ascii="Arial" w:hAnsi="Arial" w:cs="Arial"/>
          <w:color w:val="000000" w:themeColor="text1"/>
          <w:sz w:val="22"/>
        </w:rPr>
        <w:t>hyperglycaemia</w:t>
      </w:r>
      <w:r w:rsidRPr="00FE1FD9">
        <w:rPr>
          <w:rFonts w:ascii="Arial" w:hAnsi="Arial" w:cs="Arial"/>
          <w:color w:val="000000" w:themeColor="text1"/>
          <w:sz w:val="22"/>
        </w:rPr>
        <w:t xml:space="preserve"> may be asymptomatic. </w:t>
      </w:r>
      <w:r w:rsidR="00400351" w:rsidRPr="00FE1FD9">
        <w:rPr>
          <w:rFonts w:ascii="Arial" w:hAnsi="Arial" w:cs="Arial"/>
          <w:color w:val="000000" w:themeColor="text1"/>
          <w:sz w:val="22"/>
        </w:rPr>
        <w:t>Hypoglycaemia</w:t>
      </w:r>
      <w:r w:rsidRPr="00FE1FD9">
        <w:rPr>
          <w:rFonts w:ascii="Arial" w:hAnsi="Arial" w:cs="Arial"/>
          <w:color w:val="000000" w:themeColor="text1"/>
          <w:sz w:val="22"/>
        </w:rPr>
        <w:t xml:space="preserve"> is typically associated with insulin or insulin-secretagogue treatment rather than untreated type 2 diabetes and manifests as sweating, shaking, hunger, palpitations, or disorientation. Therefore, education should assist each patient in identifying both states and adhering to a personalised response plan. This emphasises the need to take into account a</w:t>
      </w:r>
      <w:r w:rsidRPr="001A5D34">
        <w:rPr>
          <w:rFonts w:ascii="Arial" w:hAnsi="Arial" w:cs="Arial"/>
          <w:b/>
          <w:bCs/>
          <w:color w:val="000000" w:themeColor="text1"/>
          <w:sz w:val="22"/>
        </w:rPr>
        <w:t xml:space="preserve"> </w:t>
      </w:r>
      <w:r w:rsidRPr="00FE1FD9">
        <w:rPr>
          <w:rFonts w:ascii="Arial" w:hAnsi="Arial" w:cs="Arial"/>
          <w:color w:val="000000" w:themeColor="text1"/>
          <w:sz w:val="22"/>
        </w:rPr>
        <w:t>numerical goal in addition to symptoms, medications, food, activities, and the clinical setting.</w:t>
      </w:r>
    </w:p>
    <w:p w14:paraId="4C5361BD" w14:textId="77777777" w:rsidR="001A5D34" w:rsidRDefault="001A5D34" w:rsidP="00A2033F">
      <w:pPr>
        <w:tabs>
          <w:tab w:val="left" w:pos="6540"/>
        </w:tabs>
        <w:spacing w:line="360" w:lineRule="auto"/>
        <w:rPr>
          <w:rFonts w:ascii="Arial" w:hAnsi="Arial" w:cs="Arial"/>
          <w:b/>
          <w:bCs/>
          <w:color w:val="000000" w:themeColor="text1"/>
          <w:sz w:val="22"/>
        </w:rPr>
      </w:pPr>
    </w:p>
    <w:p w14:paraId="2C7B4D77" w14:textId="6C841327" w:rsidR="00C03A91" w:rsidRDefault="00C000AF" w:rsidP="00986F78">
      <w:pPr>
        <w:tabs>
          <w:tab w:val="left" w:pos="6540"/>
        </w:tabs>
        <w:spacing w:line="360" w:lineRule="auto"/>
        <w:rPr>
          <w:rFonts w:ascii="Arial" w:eastAsia="Arial" w:hAnsi="Arial" w:cs="Arial"/>
          <w:b/>
          <w:bCs/>
          <w:color w:val="1A3F5C"/>
          <w:sz w:val="20"/>
          <w:szCs w:val="20"/>
        </w:rPr>
      </w:pPr>
      <w:r w:rsidRPr="00A71622">
        <w:rPr>
          <w:rFonts w:ascii="Arial" w:eastAsia="Arial" w:hAnsi="Arial" w:cs="Arial"/>
          <w:b/>
          <w:bCs/>
          <w:noProof/>
          <w:color w:val="1A3F5C"/>
          <w:sz w:val="20"/>
          <w:szCs w:val="20"/>
        </w:rPr>
        <mc:AlternateContent>
          <mc:Choice Requires="wps">
            <w:drawing>
              <wp:anchor distT="45720" distB="45720" distL="114300" distR="114300" simplePos="0" relativeHeight="251692032" behindDoc="0" locked="0" layoutInCell="1" allowOverlap="1" wp14:anchorId="3B56BB73" wp14:editId="7E1CECA3">
                <wp:simplePos x="0" y="0"/>
                <wp:positionH relativeFrom="margin">
                  <wp:posOffset>4427220</wp:posOffset>
                </wp:positionH>
                <wp:positionV relativeFrom="paragraph">
                  <wp:posOffset>255270</wp:posOffset>
                </wp:positionV>
                <wp:extent cx="1066800" cy="723900"/>
                <wp:effectExtent l="0" t="0" r="0" b="0"/>
                <wp:wrapSquare wrapText="bothSides"/>
                <wp:docPr id="1696724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723900"/>
                        </a:xfrm>
                        <a:prstGeom prst="rect">
                          <a:avLst/>
                        </a:prstGeom>
                        <a:noFill/>
                        <a:ln w="9525">
                          <a:noFill/>
                          <a:miter lim="800000"/>
                          <a:headEnd/>
                          <a:tailEnd/>
                        </a:ln>
                      </wps:spPr>
                      <wps:txbx>
                        <w:txbxContent>
                          <w:p w14:paraId="31EF084F" w14:textId="77568E6B" w:rsidR="00C000AF" w:rsidRPr="00A71622" w:rsidRDefault="00C000AF" w:rsidP="00C000AF">
                            <w:pPr>
                              <w:rPr>
                                <w:sz w:val="22"/>
                              </w:rPr>
                            </w:pPr>
                            <w:r>
                              <w:rPr>
                                <w:sz w:val="22"/>
                              </w:rPr>
                              <w:t>Blood glucose falls towards target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56BB73" id="_x0000_t202" coordsize="21600,21600" o:spt="202" path="m,l,21600r21600,l21600,xe">
                <v:stroke joinstyle="miter"/>
                <v:path gradientshapeok="t" o:connecttype="rect"/>
              </v:shapetype>
              <v:shape id="Text Box 2" o:spid="_x0000_s1026" type="#_x0000_t202" style="position:absolute;margin-left:348.6pt;margin-top:20.1pt;width:84pt;height:57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" filled="f" stroked="f">
                <v:textbox>
                  <w:txbxContent>
                    <w:p w14:paraId="31EF084F" w14:textId="77568E6B" w:rsidR="00C000AF" w:rsidRPr="00A71622" w:rsidRDefault="00C000AF" w:rsidP="00C000AF">
                      <w:pPr>
                        <w:rPr>
                          <w:sz w:val="22"/>
                        </w:rPr>
                      </w:pPr>
                      <w:r>
                        <w:rPr>
                          <w:sz w:val="22"/>
                        </w:rPr>
                        <w:t>Blood glucose falls towards target</w:t>
                      </w:r>
                    </w:p>
                  </w:txbxContent>
                </v:textbox>
                <w10:wrap type="square" anchorx="margin"/>
              </v:shape>
            </w:pict>
          </mc:Fallback>
        </mc:AlternateContent>
      </w:r>
      <w:r w:rsidR="001A5D34">
        <w:rPr>
          <w:rFonts w:ascii="Arial" w:eastAsia="Arial" w:hAnsi="Arial" w:cs="Arial"/>
          <w:b/>
          <w:bCs/>
          <w:color w:val="1A3F5C"/>
          <w:sz w:val="20"/>
          <w:szCs w:val="20"/>
        </w:rPr>
        <w:t>Negative feedback control after a meal containing carbohydrate.</w:t>
      </w:r>
    </w:p>
    <w:p w14:paraId="59674AE3" w14:textId="040FC84E" w:rsidR="001A5D34" w:rsidRDefault="00A71622" w:rsidP="00986F78">
      <w:pPr>
        <w:tabs>
          <w:tab w:val="left" w:pos="6540"/>
        </w:tabs>
        <w:spacing w:line="360" w:lineRule="auto"/>
        <w:rPr>
          <w:rFonts w:ascii="Arial" w:hAnsi="Arial" w:cs="Arial"/>
          <w:sz w:val="22"/>
        </w:rPr>
      </w:pPr>
      <w:r w:rsidRPr="00A71622">
        <w:rPr>
          <w:rFonts w:ascii="Arial" w:eastAsia="Arial" w:hAnsi="Arial" w:cs="Arial"/>
          <w:b/>
          <w:bCs/>
          <w:noProof/>
          <w:color w:val="1A3F5C"/>
          <w:sz w:val="20"/>
          <w:szCs w:val="20"/>
        </w:rPr>
        <mc:AlternateContent>
          <mc:Choice Requires="wps">
            <w:drawing>
              <wp:anchor distT="45720" distB="45720" distL="114300" distR="114300" simplePos="0" relativeHeight="251689984" behindDoc="0" locked="0" layoutInCell="1" allowOverlap="1" wp14:anchorId="2B48074B" wp14:editId="34E55AC3">
                <wp:simplePos x="0" y="0"/>
                <wp:positionH relativeFrom="margin">
                  <wp:posOffset>3291840</wp:posOffset>
                </wp:positionH>
                <wp:positionV relativeFrom="paragraph">
                  <wp:posOffset>26035</wp:posOffset>
                </wp:positionV>
                <wp:extent cx="1066800" cy="723900"/>
                <wp:effectExtent l="0" t="0" r="0" b="0"/>
                <wp:wrapSquare wrapText="bothSides"/>
                <wp:docPr id="418234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723900"/>
                        </a:xfrm>
                        <a:prstGeom prst="rect">
                          <a:avLst/>
                        </a:prstGeom>
                        <a:noFill/>
                        <a:ln w="9525">
                          <a:noFill/>
                          <a:miter lim="800000"/>
                          <a:headEnd/>
                          <a:tailEnd/>
                        </a:ln>
                      </wps:spPr>
                      <wps:txbx>
                        <w:txbxContent>
                          <w:p w14:paraId="2FA5CEEF" w14:textId="152174EF" w:rsidR="00A71622" w:rsidRPr="00A71622" w:rsidRDefault="00A71622" w:rsidP="00A71622">
                            <w:pPr>
                              <w:rPr>
                                <w:sz w:val="22"/>
                              </w:rPr>
                            </w:pPr>
                            <w:r>
                              <w:rPr>
                                <w:sz w:val="22"/>
                              </w:rPr>
                              <w:t xml:space="preserve">Muscle; liver stores </w:t>
                            </w:r>
                            <w:r w:rsidR="00C000AF">
                              <w:rPr>
                                <w:sz w:val="22"/>
                              </w:rPr>
                              <w:t>glycogen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48074B" id="_x0000_s1027" type="#_x0000_t202" style="position:absolute;margin-left:259.2pt;margin-top:2.05pt;width:84pt;height:57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" filled="f" stroked="f">
                <v:textbox>
                  <w:txbxContent>
                    <w:p w14:paraId="2FA5CEEF" w14:textId="152174EF" w:rsidR="00A71622" w:rsidRPr="00A71622" w:rsidRDefault="00A71622" w:rsidP="00A71622">
                      <w:pPr>
                        <w:rPr>
                          <w:sz w:val="22"/>
                        </w:rPr>
                      </w:pPr>
                      <w:r>
                        <w:rPr>
                          <w:sz w:val="22"/>
                        </w:rPr>
                        <w:t xml:space="preserve">Muscle; liver stores </w:t>
                      </w:r>
                      <w:r w:rsidR="00C000AF">
                        <w:rPr>
                          <w:sz w:val="22"/>
                        </w:rPr>
                        <w:t>glycogen</w:t>
                      </w:r>
                    </w:p>
                  </w:txbxContent>
                </v:textbox>
                <w10:wrap type="square" anchorx="margin"/>
              </v:shape>
            </w:pict>
          </mc:Fallback>
        </mc:AlternateContent>
      </w:r>
      <w:r w:rsidRPr="00A71622">
        <w:rPr>
          <w:rFonts w:ascii="Arial" w:eastAsia="Arial" w:hAnsi="Arial" w:cs="Arial"/>
          <w:b/>
          <w:bCs/>
          <w:noProof/>
          <w:color w:val="1A3F5C"/>
          <w:sz w:val="20"/>
          <w:szCs w:val="20"/>
        </w:rPr>
        <mc:AlternateContent>
          <mc:Choice Requires="wps">
            <w:drawing>
              <wp:anchor distT="45720" distB="45720" distL="114300" distR="114300" simplePos="0" relativeHeight="251687936" behindDoc="0" locked="0" layoutInCell="1" allowOverlap="1" wp14:anchorId="032FB010" wp14:editId="3D2A0AE6">
                <wp:simplePos x="0" y="0"/>
                <wp:positionH relativeFrom="margin">
                  <wp:posOffset>2278380</wp:posOffset>
                </wp:positionH>
                <wp:positionV relativeFrom="paragraph">
                  <wp:posOffset>10795</wp:posOffset>
                </wp:positionV>
                <wp:extent cx="792480" cy="525780"/>
                <wp:effectExtent l="0" t="0" r="0" b="0"/>
                <wp:wrapSquare wrapText="bothSides"/>
                <wp:docPr id="566360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2480" cy="525780"/>
                        </a:xfrm>
                        <a:prstGeom prst="rect">
                          <a:avLst/>
                        </a:prstGeom>
                        <a:noFill/>
                        <a:ln w="9525">
                          <a:noFill/>
                          <a:miter lim="800000"/>
                          <a:headEnd/>
                          <a:tailEnd/>
                        </a:ln>
                      </wps:spPr>
                      <wps:txbx>
                        <w:txbxContent>
                          <w:p w14:paraId="65FDF263" w14:textId="73FFA8D3" w:rsidR="00A71622" w:rsidRPr="00A71622" w:rsidRDefault="00A71622" w:rsidP="00A71622">
                            <w:pPr>
                              <w:rPr>
                                <w:sz w:val="22"/>
                              </w:rPr>
                            </w:pPr>
                            <w:r>
                              <w:rPr>
                                <w:sz w:val="22"/>
                              </w:rPr>
                              <w:t>Insulin released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2FB010" id="_x0000_s1028" type="#_x0000_t202" style="position:absolute;margin-left:179.4pt;margin-top:.85pt;width:62.4pt;height:41.4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" filled="f" stroked="f">
                <v:textbox>
                  <w:txbxContent>
                    <w:p w14:paraId="65FDF263" w14:textId="73FFA8D3" w:rsidR="00A71622" w:rsidRPr="00A71622" w:rsidRDefault="00A71622" w:rsidP="00A71622">
                      <w:pPr>
                        <w:rPr>
                          <w:sz w:val="22"/>
                        </w:rPr>
                      </w:pPr>
                      <w:r>
                        <w:rPr>
                          <w:sz w:val="22"/>
                        </w:rPr>
                        <w:t>Insulin released</w:t>
                      </w:r>
                    </w:p>
                  </w:txbxContent>
                </v:textbox>
                <w10:wrap type="square" anchorx="margin"/>
              </v:shape>
            </w:pict>
          </mc:Fallback>
        </mc:AlternateContent>
      </w:r>
      <w:r w:rsidRPr="00A71622">
        <w:rPr>
          <w:rFonts w:ascii="Arial" w:eastAsia="Arial" w:hAnsi="Arial" w:cs="Arial"/>
          <w:b/>
          <w:bCs/>
          <w:noProof/>
          <w:color w:val="1A3F5C"/>
          <w:sz w:val="20"/>
          <w:szCs w:val="20"/>
        </w:rPr>
        <mc:AlternateContent>
          <mc:Choice Requires="wps">
            <w:drawing>
              <wp:anchor distT="45720" distB="45720" distL="114300" distR="114300" simplePos="0" relativeHeight="251685888" behindDoc="0" locked="0" layoutInCell="1" allowOverlap="1" wp14:anchorId="5702FCB6" wp14:editId="494EA4BB">
                <wp:simplePos x="0" y="0"/>
                <wp:positionH relativeFrom="margin">
                  <wp:posOffset>1059180</wp:posOffset>
                </wp:positionH>
                <wp:positionV relativeFrom="paragraph">
                  <wp:posOffset>10795</wp:posOffset>
                </wp:positionV>
                <wp:extent cx="1089660" cy="525780"/>
                <wp:effectExtent l="0" t="0" r="0" b="0"/>
                <wp:wrapSquare wrapText="bothSides"/>
                <wp:docPr id="15952268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525780"/>
                        </a:xfrm>
                        <a:prstGeom prst="rect">
                          <a:avLst/>
                        </a:prstGeom>
                        <a:noFill/>
                        <a:ln w="9525">
                          <a:noFill/>
                          <a:miter lim="800000"/>
                          <a:headEnd/>
                          <a:tailEnd/>
                        </a:ln>
                      </wps:spPr>
                      <wps:txbx>
                        <w:txbxContent>
                          <w:p w14:paraId="5AFFCBC4" w14:textId="7D02D0A0" w:rsidR="00A71622" w:rsidRPr="00A71622" w:rsidRDefault="00A71622" w:rsidP="00A71622">
                            <w:pPr>
                              <w:rPr>
                                <w:sz w:val="22"/>
                              </w:rPr>
                            </w:pPr>
                            <w:r>
                              <w:rPr>
                                <w:sz w:val="22"/>
                              </w:rPr>
                              <w:t>Pancreatic beta cells detect rise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02FCB6" id="_x0000_s1029" type="#_x0000_t202" style="position:absolute;margin-left:83.4pt;margin-top:.85pt;width:85.8pt;height:41.4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" filled="f" stroked="f">
                <v:textbox>
                  <w:txbxContent>
                    <w:p w14:paraId="5AFFCBC4" w14:textId="7D02D0A0" w:rsidR="00A71622" w:rsidRPr="00A71622" w:rsidRDefault="00A71622" w:rsidP="00A71622">
                      <w:pPr>
                        <w:rPr>
                          <w:sz w:val="22"/>
                        </w:rPr>
                      </w:pPr>
                      <w:r>
                        <w:rPr>
                          <w:sz w:val="22"/>
                        </w:rPr>
                        <w:t>Pancreatic beta cells detect rise</w:t>
                      </w:r>
                    </w:p>
                  </w:txbxContent>
                </v:textbox>
                <w10:wrap type="square" anchorx="margin"/>
              </v:shape>
            </w:pict>
          </mc:Fallback>
        </mc:AlternateContent>
      </w:r>
      <w:r w:rsidRPr="00A71622">
        <w:rPr>
          <w:rFonts w:ascii="Arial" w:eastAsia="Arial" w:hAnsi="Arial" w:cs="Arial"/>
          <w:b/>
          <w:bCs/>
          <w:noProof/>
          <w:color w:val="1A3F5C"/>
          <w:sz w:val="20"/>
          <w:szCs w:val="20"/>
        </w:rPr>
        <mc:AlternateContent>
          <mc:Choice Requires="wps">
            <w:drawing>
              <wp:anchor distT="45720" distB="45720" distL="114300" distR="114300" simplePos="0" relativeHeight="251683840" behindDoc="0" locked="0" layoutInCell="1" allowOverlap="1" wp14:anchorId="0EBBD8B1" wp14:editId="3992B308">
                <wp:simplePos x="0" y="0"/>
                <wp:positionH relativeFrom="margin">
                  <wp:align>left</wp:align>
                </wp:positionH>
                <wp:positionV relativeFrom="paragraph">
                  <wp:posOffset>13335</wp:posOffset>
                </wp:positionV>
                <wp:extent cx="990600" cy="6324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632460"/>
                        </a:xfrm>
                        <a:prstGeom prst="rect">
                          <a:avLst/>
                        </a:prstGeom>
                        <a:noFill/>
                        <a:ln w="9525">
                          <a:noFill/>
                          <a:miter lim="800000"/>
                          <a:headEnd/>
                          <a:tailEnd/>
                        </a:ln>
                      </wps:spPr>
                      <wps:txbx>
                        <w:txbxContent>
                          <w:p w14:paraId="1580EB95" w14:textId="398126D6" w:rsidR="00A71622" w:rsidRPr="00A71622" w:rsidRDefault="00A71622">
                            <w:pPr>
                              <w:rPr>
                                <w:sz w:val="22"/>
                              </w:rPr>
                            </w:pPr>
                            <w:r w:rsidRPr="00A71622">
                              <w:rPr>
                                <w:sz w:val="22"/>
                              </w:rPr>
                              <w:t>Blood glucose rises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BD8B1" id="_x0000_s1030" type="#_x0000_t202" style="position:absolute;margin-left:0;margin-top:1.05pt;width:78pt;height:49.8pt;z-index:2516838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" filled="f" stroked="f">
                <v:textbox>
                  <w:txbxContent>
                    <w:p w14:paraId="1580EB95" w14:textId="398126D6" w:rsidR="00A71622" w:rsidRPr="00A71622" w:rsidRDefault="00A71622">
                      <w:pPr>
                        <w:rPr>
                          <w:sz w:val="22"/>
                        </w:rPr>
                      </w:pPr>
                      <w:r w:rsidRPr="00A71622">
                        <w:rPr>
                          <w:sz w:val="22"/>
                        </w:rPr>
                        <w:t>Blood glucose rises</w:t>
                      </w:r>
                    </w:p>
                  </w:txbxContent>
                </v:textbox>
                <w10:wrap type="square" anchorx="margin"/>
              </v:shape>
            </w:pict>
          </mc:Fallback>
        </mc:AlternateContent>
      </w:r>
      <w:r>
        <w:rPr>
          <w:rFonts w:ascii="Arial" w:hAnsi="Arial" w:cs="Arial"/>
          <w:noProof/>
          <w:sz w:val="22"/>
        </w:rPr>
        <mc:AlternateContent>
          <mc:Choice Requires="wps">
            <w:drawing>
              <wp:anchor distT="0" distB="0" distL="114300" distR="114300" simplePos="0" relativeHeight="251677696" behindDoc="0" locked="0" layoutInCell="1" allowOverlap="1" wp14:anchorId="5CD7EB03" wp14:editId="53F6D454">
                <wp:simplePos x="0" y="0"/>
                <wp:positionH relativeFrom="column">
                  <wp:posOffset>3147695</wp:posOffset>
                </wp:positionH>
                <wp:positionV relativeFrom="paragraph">
                  <wp:posOffset>159074</wp:posOffset>
                </wp:positionV>
                <wp:extent cx="142875" cy="0"/>
                <wp:effectExtent l="0" t="76200" r="9525" b="95250"/>
                <wp:wrapNone/>
                <wp:docPr id="1840508448" name="Straight Arrow Connector 4"/>
                <wp:cNvGraphicFramePr/>
                <a:graphic xmlns:a="http://schemas.openxmlformats.org/drawingml/2006/main">
                  <a:graphicData uri="http://schemas.microsoft.com/office/word/2010/wordprocessingShape">
                    <wps:wsp>
                      <wps:cNvCnPr/>
                      <wps:spPr>
                        <a:xfrm>
                          <a:off x="0" y="0"/>
                          <a:ext cx="1428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D13898" id="_x0000_t32" coordsize="21600,21600" o:spt="32" o:oned="t" path="m,l21600,21600e" filled="f">
                <v:path arrowok="t" fillok="f" o:connecttype="none"/>
                <o:lock v:ext="edit" shapetype="t"/>
              </v:shapetype>
              <v:shape id="Straight Arrow Connector 4" o:spid="_x0000_s1026" type="#_x0000_t32" style="position:absolute;margin-left:247.85pt;margin-top:12.55pt;width:11.2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" strokecolor="#4472c4 [3204]" strokeweight=".5pt">
                <v:stroke endarrow="block" joinstyle="miter"/>
              </v:shape>
            </w:pict>
          </mc:Fallback>
        </mc:AlternateContent>
      </w:r>
      <w:r>
        <w:rPr>
          <w:rFonts w:ascii="Arial" w:hAnsi="Arial" w:cs="Arial"/>
          <w:noProof/>
          <w:sz w:val="22"/>
        </w:rPr>
        <mc:AlternateContent>
          <mc:Choice Requires="wps">
            <w:drawing>
              <wp:anchor distT="0" distB="0" distL="114300" distR="114300" simplePos="0" relativeHeight="251672576" behindDoc="0" locked="0" layoutInCell="1" allowOverlap="1" wp14:anchorId="2F605238" wp14:editId="30751985">
                <wp:simplePos x="0" y="0"/>
                <wp:positionH relativeFrom="margin">
                  <wp:posOffset>4458659</wp:posOffset>
                </wp:positionH>
                <wp:positionV relativeFrom="paragraph">
                  <wp:posOffset>10795</wp:posOffset>
                </wp:positionV>
                <wp:extent cx="897890" cy="508635"/>
                <wp:effectExtent l="0" t="0" r="16510" b="24765"/>
                <wp:wrapNone/>
                <wp:docPr id="1581915044" name="Rectangle: Rounded Corners 3"/>
                <wp:cNvGraphicFramePr/>
                <a:graphic xmlns:a="http://schemas.openxmlformats.org/drawingml/2006/main">
                  <a:graphicData uri="http://schemas.microsoft.com/office/word/2010/wordprocessingShape">
                    <wps:wsp>
                      <wps:cNvSpPr/>
                      <wps:spPr>
                        <a:xfrm>
                          <a:off x="0" y="0"/>
                          <a:ext cx="897890" cy="50863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7EC13B1" id="Rectangle: Rounded Corners 3" o:spid="_x0000_s1026" style="position:absolute;margin-left:351.1pt;margin-top:.85pt;width:70.7pt;height:40.05pt;z-index:25167257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" fillcolor="#4472c4 [3204]" strokecolor="#09101d [484]" strokeweight="1pt">
                <v:stroke joinstyle="miter"/>
                <w10:wrap anchorx="margin"/>
              </v:roundrect>
            </w:pict>
          </mc:Fallback>
        </mc:AlternateContent>
      </w:r>
      <w:r>
        <w:rPr>
          <w:rFonts w:ascii="Arial" w:hAnsi="Arial" w:cs="Arial"/>
          <w:noProof/>
          <w:sz w:val="22"/>
        </w:rPr>
        <mc:AlternateContent>
          <mc:Choice Requires="wps">
            <w:drawing>
              <wp:anchor distT="0" distB="0" distL="114300" distR="114300" simplePos="0" relativeHeight="251681792" behindDoc="0" locked="0" layoutInCell="1" allowOverlap="1" wp14:anchorId="3BABD41C" wp14:editId="625D5F71">
                <wp:simplePos x="0" y="0"/>
                <wp:positionH relativeFrom="column">
                  <wp:posOffset>4265619</wp:posOffset>
                </wp:positionH>
                <wp:positionV relativeFrom="paragraph">
                  <wp:posOffset>189865</wp:posOffset>
                </wp:positionV>
                <wp:extent cx="142875" cy="0"/>
                <wp:effectExtent l="0" t="76200" r="9525" b="95250"/>
                <wp:wrapNone/>
                <wp:docPr id="3098859" name="Straight Arrow Connector 4"/>
                <wp:cNvGraphicFramePr/>
                <a:graphic xmlns:a="http://schemas.openxmlformats.org/drawingml/2006/main">
                  <a:graphicData uri="http://schemas.microsoft.com/office/word/2010/wordprocessingShape">
                    <wps:wsp>
                      <wps:cNvCnPr/>
                      <wps:spPr>
                        <a:xfrm>
                          <a:off x="0" y="0"/>
                          <a:ext cx="1428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88DB16" id="Straight Arrow Connector 4" o:spid="_x0000_s1026" type="#_x0000_t32" style="position:absolute;margin-left:335.9pt;margin-top:14.95pt;width:11.25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" strokecolor="#4472c4 [3204]" strokeweight=".5pt">
                <v:stroke endarrow="block" joinstyle="miter"/>
              </v:shape>
            </w:pict>
          </mc:Fallback>
        </mc:AlternateContent>
      </w:r>
      <w:r>
        <w:rPr>
          <w:rFonts w:ascii="Arial" w:hAnsi="Arial" w:cs="Arial"/>
          <w:noProof/>
          <w:sz w:val="22"/>
        </w:rPr>
        <mc:AlternateContent>
          <mc:Choice Requires="wps">
            <w:drawing>
              <wp:anchor distT="0" distB="0" distL="114300" distR="114300" simplePos="0" relativeHeight="251679744" behindDoc="0" locked="0" layoutInCell="1" allowOverlap="1" wp14:anchorId="10D03D41" wp14:editId="37F8B6B8">
                <wp:simplePos x="0" y="0"/>
                <wp:positionH relativeFrom="column">
                  <wp:posOffset>11295760</wp:posOffset>
                </wp:positionH>
                <wp:positionV relativeFrom="paragraph">
                  <wp:posOffset>469900</wp:posOffset>
                </wp:positionV>
                <wp:extent cx="142875" cy="0"/>
                <wp:effectExtent l="0" t="76200" r="9525" b="95250"/>
                <wp:wrapNone/>
                <wp:docPr id="1279765646" name="Straight Arrow Connector 4"/>
                <wp:cNvGraphicFramePr/>
                <a:graphic xmlns:a="http://schemas.openxmlformats.org/drawingml/2006/main">
                  <a:graphicData uri="http://schemas.microsoft.com/office/word/2010/wordprocessingShape">
                    <wps:wsp>
                      <wps:cNvCnPr/>
                      <wps:spPr>
                        <a:xfrm>
                          <a:off x="0" y="0"/>
                          <a:ext cx="1428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23A9DB" id="Straight Arrow Connector 4" o:spid="_x0000_s1026" type="#_x0000_t32" style="position:absolute;margin-left:889.45pt;margin-top:37pt;width:11.25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" strokecolor="#4472c4 [3204]" strokeweight=".5pt">
                <v:stroke endarrow="block" joinstyle="miter"/>
              </v:shape>
            </w:pict>
          </mc:Fallback>
        </mc:AlternateContent>
      </w:r>
      <w:r>
        <w:rPr>
          <w:rFonts w:ascii="Arial" w:hAnsi="Arial" w:cs="Arial"/>
          <w:noProof/>
          <w:sz w:val="22"/>
        </w:rPr>
        <mc:AlternateContent>
          <mc:Choice Requires="wps">
            <w:drawing>
              <wp:anchor distT="0" distB="0" distL="114300" distR="114300" simplePos="0" relativeHeight="251675648" behindDoc="0" locked="0" layoutInCell="1" allowOverlap="1" wp14:anchorId="03832232" wp14:editId="1A33E045">
                <wp:simplePos x="0" y="0"/>
                <wp:positionH relativeFrom="column">
                  <wp:posOffset>2063115</wp:posOffset>
                </wp:positionH>
                <wp:positionV relativeFrom="paragraph">
                  <wp:posOffset>162236</wp:posOffset>
                </wp:positionV>
                <wp:extent cx="143123" cy="0"/>
                <wp:effectExtent l="0" t="76200" r="9525" b="95250"/>
                <wp:wrapNone/>
                <wp:docPr id="1445138716" name="Straight Arrow Connector 4"/>
                <wp:cNvGraphicFramePr/>
                <a:graphic xmlns:a="http://schemas.openxmlformats.org/drawingml/2006/main">
                  <a:graphicData uri="http://schemas.microsoft.com/office/word/2010/wordprocessingShape">
                    <wps:wsp>
                      <wps:cNvCnPr/>
                      <wps:spPr>
                        <a:xfrm>
                          <a:off x="0" y="0"/>
                          <a:ext cx="14312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7A25FC" id="Straight Arrow Connector 4" o:spid="_x0000_s1026" type="#_x0000_t32" style="position:absolute;margin-left:162.45pt;margin-top:12.75pt;width:11.2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" strokecolor="#4472c4 [3204]" strokeweight=".5pt">
                <v:stroke endarrow="block" joinstyle="miter"/>
              </v:shape>
            </w:pict>
          </mc:Fallback>
        </mc:AlternateContent>
      </w:r>
      <w:r>
        <w:rPr>
          <w:rFonts w:ascii="Arial" w:hAnsi="Arial" w:cs="Arial"/>
          <w:noProof/>
          <w:sz w:val="22"/>
        </w:rPr>
        <mc:AlternateContent>
          <mc:Choice Requires="wps">
            <w:drawing>
              <wp:anchor distT="0" distB="0" distL="114300" distR="114300" simplePos="0" relativeHeight="251673600" behindDoc="0" locked="0" layoutInCell="1" allowOverlap="1" wp14:anchorId="533C713E" wp14:editId="3719C6CD">
                <wp:simplePos x="0" y="0"/>
                <wp:positionH relativeFrom="column">
                  <wp:posOffset>930303</wp:posOffset>
                </wp:positionH>
                <wp:positionV relativeFrom="paragraph">
                  <wp:posOffset>192681</wp:posOffset>
                </wp:positionV>
                <wp:extent cx="143123" cy="0"/>
                <wp:effectExtent l="0" t="76200" r="9525" b="95250"/>
                <wp:wrapNone/>
                <wp:docPr id="1180223904" name="Straight Arrow Connector 4"/>
                <wp:cNvGraphicFramePr/>
                <a:graphic xmlns:a="http://schemas.openxmlformats.org/drawingml/2006/main">
                  <a:graphicData uri="http://schemas.microsoft.com/office/word/2010/wordprocessingShape">
                    <wps:wsp>
                      <wps:cNvCnPr/>
                      <wps:spPr>
                        <a:xfrm>
                          <a:off x="0" y="0"/>
                          <a:ext cx="14312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7DF6B6" id="Straight Arrow Connector 4" o:spid="_x0000_s1026" type="#_x0000_t32" style="position:absolute;margin-left:73.25pt;margin-top:15.15pt;width:11.2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" strokecolor="#4472c4 [3204]" strokeweight=".5pt">
                <v:stroke endarrow="block" joinstyle="miter"/>
              </v:shape>
            </w:pict>
          </mc:Fallback>
        </mc:AlternateContent>
      </w:r>
      <w:r>
        <w:rPr>
          <w:rFonts w:ascii="Arial" w:hAnsi="Arial" w:cs="Arial"/>
          <w:noProof/>
          <w:sz w:val="22"/>
        </w:rPr>
        <mc:AlternateContent>
          <mc:Choice Requires="wps">
            <w:drawing>
              <wp:anchor distT="0" distB="0" distL="114300" distR="114300" simplePos="0" relativeHeight="251666432" behindDoc="0" locked="0" layoutInCell="1" allowOverlap="1" wp14:anchorId="1FBA9277" wp14:editId="1ED74D94">
                <wp:simplePos x="0" y="0"/>
                <wp:positionH relativeFrom="margin">
                  <wp:posOffset>1112851</wp:posOffset>
                </wp:positionH>
                <wp:positionV relativeFrom="paragraph">
                  <wp:posOffset>10795</wp:posOffset>
                </wp:positionV>
                <wp:extent cx="897890" cy="508635"/>
                <wp:effectExtent l="0" t="0" r="16510" b="24765"/>
                <wp:wrapNone/>
                <wp:docPr id="110788825" name="Rectangle: Rounded Corners 3"/>
                <wp:cNvGraphicFramePr/>
                <a:graphic xmlns:a="http://schemas.openxmlformats.org/drawingml/2006/main">
                  <a:graphicData uri="http://schemas.microsoft.com/office/word/2010/wordprocessingShape">
                    <wps:wsp>
                      <wps:cNvSpPr/>
                      <wps:spPr>
                        <a:xfrm>
                          <a:off x="0" y="0"/>
                          <a:ext cx="897890" cy="50863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8BBD96" id="Rectangle: Rounded Corners 3" o:spid="_x0000_s1026" style="position:absolute;margin-left:87.65pt;margin-top:.85pt;width:70.7pt;height:40.05pt;z-index:25166643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" fillcolor="#4472c4 [3204]" strokecolor="#09101d [484]" strokeweight="1pt">
                <v:stroke joinstyle="miter"/>
                <w10:wrap anchorx="margin"/>
              </v:roundrect>
            </w:pict>
          </mc:Fallback>
        </mc:AlternateContent>
      </w:r>
      <w:r w:rsidR="001A5D34">
        <w:rPr>
          <w:rFonts w:ascii="Arial" w:hAnsi="Arial" w:cs="Arial"/>
          <w:noProof/>
          <w:sz w:val="22"/>
        </w:rPr>
        <mc:AlternateContent>
          <mc:Choice Requires="wps">
            <w:drawing>
              <wp:anchor distT="0" distB="0" distL="114300" distR="114300" simplePos="0" relativeHeight="251670528" behindDoc="0" locked="0" layoutInCell="1" allowOverlap="1" wp14:anchorId="5A729CE4" wp14:editId="659FB70E">
                <wp:simplePos x="0" y="0"/>
                <wp:positionH relativeFrom="margin">
                  <wp:posOffset>3357990</wp:posOffset>
                </wp:positionH>
                <wp:positionV relativeFrom="paragraph">
                  <wp:posOffset>10684</wp:posOffset>
                </wp:positionV>
                <wp:extent cx="897890" cy="508635"/>
                <wp:effectExtent l="0" t="0" r="16510" b="24765"/>
                <wp:wrapNone/>
                <wp:docPr id="59184766" name="Rectangle: Rounded Corners 3"/>
                <wp:cNvGraphicFramePr/>
                <a:graphic xmlns:a="http://schemas.openxmlformats.org/drawingml/2006/main">
                  <a:graphicData uri="http://schemas.microsoft.com/office/word/2010/wordprocessingShape">
                    <wps:wsp>
                      <wps:cNvSpPr/>
                      <wps:spPr>
                        <a:xfrm>
                          <a:off x="0" y="0"/>
                          <a:ext cx="897890" cy="50863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13D9B5" id="Rectangle: Rounded Corners 3" o:spid="_x0000_s1026" style="position:absolute;margin-left:264.4pt;margin-top:.85pt;width:70.7pt;height:40.05pt;z-index:25167052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" fillcolor="#4472c4 [3204]" strokecolor="#09101d [484]" strokeweight="1pt">
                <v:stroke joinstyle="miter"/>
                <w10:wrap anchorx="margin"/>
              </v:roundrect>
            </w:pict>
          </mc:Fallback>
        </mc:AlternateContent>
      </w:r>
      <w:r w:rsidR="001A5D34">
        <w:rPr>
          <w:rFonts w:ascii="Arial" w:hAnsi="Arial" w:cs="Arial"/>
          <w:noProof/>
          <w:sz w:val="22"/>
        </w:rPr>
        <mc:AlternateContent>
          <mc:Choice Requires="wps">
            <w:drawing>
              <wp:anchor distT="0" distB="0" distL="114300" distR="114300" simplePos="0" relativeHeight="251668480" behindDoc="0" locked="0" layoutInCell="1" allowOverlap="1" wp14:anchorId="1F4C5588" wp14:editId="1C981287">
                <wp:simplePos x="0" y="0"/>
                <wp:positionH relativeFrom="margin">
                  <wp:posOffset>2195581</wp:posOffset>
                </wp:positionH>
                <wp:positionV relativeFrom="paragraph">
                  <wp:posOffset>13390</wp:posOffset>
                </wp:positionV>
                <wp:extent cx="897890" cy="508635"/>
                <wp:effectExtent l="0" t="0" r="16510" b="24765"/>
                <wp:wrapNone/>
                <wp:docPr id="1056132347" name="Rectangle: Rounded Corners 3"/>
                <wp:cNvGraphicFramePr/>
                <a:graphic xmlns:a="http://schemas.openxmlformats.org/drawingml/2006/main">
                  <a:graphicData uri="http://schemas.microsoft.com/office/word/2010/wordprocessingShape">
                    <wps:wsp>
                      <wps:cNvSpPr/>
                      <wps:spPr>
                        <a:xfrm>
                          <a:off x="0" y="0"/>
                          <a:ext cx="897890" cy="50863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EE535D" id="Rectangle: Rounded Corners 3" o:spid="_x0000_s1026" style="position:absolute;margin-left:172.9pt;margin-top:1.05pt;width:70.7pt;height:40.05pt;z-index:251668480;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" fillcolor="#4472c4 [3204]" strokecolor="#09101d [484]" strokeweight="1pt">
                <v:stroke joinstyle="miter"/>
                <w10:wrap anchorx="margin"/>
              </v:roundrect>
            </w:pict>
          </mc:Fallback>
        </mc:AlternateContent>
      </w:r>
      <w:r w:rsidR="001A5D34">
        <w:rPr>
          <w:rFonts w:ascii="Arial" w:hAnsi="Arial" w:cs="Arial"/>
          <w:noProof/>
          <w:sz w:val="22"/>
        </w:rPr>
        <mc:AlternateContent>
          <mc:Choice Requires="wps">
            <w:drawing>
              <wp:anchor distT="0" distB="0" distL="114300" distR="114300" simplePos="0" relativeHeight="251664384" behindDoc="0" locked="0" layoutInCell="1" allowOverlap="1" wp14:anchorId="2A595053" wp14:editId="2DC763AD">
                <wp:simplePos x="0" y="0"/>
                <wp:positionH relativeFrom="margin">
                  <wp:align>left</wp:align>
                </wp:positionH>
                <wp:positionV relativeFrom="paragraph">
                  <wp:posOffset>10326</wp:posOffset>
                </wp:positionV>
                <wp:extent cx="898498" cy="508883"/>
                <wp:effectExtent l="0" t="0" r="16510" b="24765"/>
                <wp:wrapNone/>
                <wp:docPr id="1219138795" name="Rectangle: Rounded Corners 3"/>
                <wp:cNvGraphicFramePr/>
                <a:graphic xmlns:a="http://schemas.openxmlformats.org/drawingml/2006/main">
                  <a:graphicData uri="http://schemas.microsoft.com/office/word/2010/wordprocessingShape">
                    <wps:wsp>
                      <wps:cNvSpPr/>
                      <wps:spPr>
                        <a:xfrm>
                          <a:off x="0" y="0"/>
                          <a:ext cx="898498" cy="50888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216300" id="Rectangle: Rounded Corners 3" o:spid="_x0000_s1026" style="position:absolute;margin-left:0;margin-top:.8pt;width:70.75pt;height:40.05pt;z-index:251664384;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" fillcolor="#4472c4 [3204]" strokecolor="#09101d [484]" strokeweight="1pt">
                <v:stroke joinstyle="miter"/>
                <w10:wrap anchorx="margin"/>
              </v:roundrect>
            </w:pict>
          </mc:Fallback>
        </mc:AlternateContent>
      </w:r>
    </w:p>
    <w:p w14:paraId="3EFF38B8" w14:textId="7627BAD8" w:rsidR="00FE1FD9" w:rsidRPr="00C03A91" w:rsidRDefault="00C000AF" w:rsidP="00986F78">
      <w:pPr>
        <w:tabs>
          <w:tab w:val="left" w:pos="6540"/>
        </w:tabs>
        <w:spacing w:line="360" w:lineRule="auto"/>
        <w:rPr>
          <w:rFonts w:ascii="Arial" w:hAnsi="Arial" w:cs="Arial"/>
          <w:sz w:val="22"/>
        </w:rPr>
      </w:pPr>
      <w:r w:rsidRPr="00C000AF">
        <w:rPr>
          <w:rFonts w:ascii="Arial" w:hAnsi="Arial" w:cs="Arial"/>
          <w:sz w:val="22"/>
        </w:rPr>
        <w:t>Figure 1. Negative feedback regulation after a meal (author-created from Hall and Hall, 2021).</w:t>
      </w:r>
    </w:p>
    <w:p w14:paraId="381CCE5B" w14:textId="0623753D" w:rsidR="000C4EDA" w:rsidRDefault="00076AC0" w:rsidP="00DE4FB9">
      <w:pPr>
        <w:pStyle w:val="Heading1"/>
      </w:pPr>
      <w:r>
        <w:t>3</w:t>
      </w:r>
      <w:r w:rsidR="000C4EDA" w:rsidRPr="00C03A91">
        <w:t xml:space="preserve">. </w:t>
      </w:r>
      <w:r w:rsidR="00012E0F">
        <w:t xml:space="preserve">Oxygen and Glucose in </w:t>
      </w:r>
      <w:r w:rsidR="007A7297">
        <w:t>Cellular Metabolism</w:t>
      </w:r>
      <w:r w:rsidR="000C4EDA" w:rsidRPr="00C03A91">
        <w:t xml:space="preserve"> </w:t>
      </w:r>
    </w:p>
    <w:p w14:paraId="04EE8986" w14:textId="77777777" w:rsidR="00C000AF" w:rsidRPr="00FE1FD9" w:rsidRDefault="00C000AF" w:rsidP="00FE1FD9">
      <w:pPr>
        <w:spacing w:after="40" w:line="360" w:lineRule="auto"/>
        <w:rPr>
          <w:rFonts w:ascii="Arial" w:eastAsia="Arial" w:hAnsi="Arial" w:cs="Arial"/>
          <w:sz w:val="22"/>
        </w:rPr>
      </w:pPr>
      <w:r w:rsidRPr="00FE1FD9">
        <w:rPr>
          <w:rFonts w:ascii="Arial" w:eastAsia="Arial" w:hAnsi="Arial" w:cs="Arial"/>
          <w:sz w:val="22"/>
        </w:rPr>
        <w:t>Adenosine triphosphate (ATP), the instantly useable energy currency for muscular contraction, active transport, biosynthesis, and neuronal activity, is produced by cellular respiration from glucose. The aerobic equation can be reduced as follows: C</w:t>
      </w:r>
      <w:r w:rsidRPr="00FE1FD9">
        <w:rPr>
          <w:rFonts w:ascii="Cambria Math" w:eastAsia="Arial" w:hAnsi="Cambria Math" w:cs="Cambria Math"/>
          <w:sz w:val="22"/>
        </w:rPr>
        <w:t>₄</w:t>
      </w:r>
      <w:r w:rsidRPr="00FE1FD9">
        <w:rPr>
          <w:rFonts w:ascii="Arial" w:eastAsia="Arial" w:hAnsi="Arial" w:cs="Arial"/>
          <w:sz w:val="22"/>
        </w:rPr>
        <w:t>H</w:t>
      </w:r>
      <w:r w:rsidRPr="00FE1FD9">
        <w:rPr>
          <w:rFonts w:ascii="Cambria Math" w:eastAsia="Arial" w:hAnsi="Cambria Math" w:cs="Cambria Math"/>
          <w:sz w:val="22"/>
        </w:rPr>
        <w:t>₂₂</w:t>
      </w:r>
      <w:r w:rsidRPr="00FE1FD9">
        <w:rPr>
          <w:rFonts w:ascii="Arial" w:eastAsia="Arial" w:hAnsi="Arial" w:cs="Arial"/>
          <w:sz w:val="22"/>
        </w:rPr>
        <w:t>O</w:t>
      </w:r>
      <w:r w:rsidRPr="00FE1FD9">
        <w:rPr>
          <w:rFonts w:ascii="Cambria Math" w:eastAsia="Arial" w:hAnsi="Cambria Math" w:cs="Cambria Math"/>
          <w:sz w:val="22"/>
        </w:rPr>
        <w:t>₂</w:t>
      </w:r>
      <w:r w:rsidRPr="00FE1FD9">
        <w:rPr>
          <w:rFonts w:ascii="Arial" w:eastAsia="Arial" w:hAnsi="Arial" w:cs="Arial"/>
          <w:sz w:val="22"/>
        </w:rPr>
        <w:t xml:space="preserve"> + 6O</w:t>
      </w:r>
      <w:r w:rsidRPr="00FE1FD9">
        <w:rPr>
          <w:rFonts w:ascii="Cambria Math" w:eastAsia="Arial" w:hAnsi="Cambria Math" w:cs="Cambria Math"/>
          <w:sz w:val="22"/>
        </w:rPr>
        <w:t>₂</w:t>
      </w:r>
      <w:r w:rsidRPr="00FE1FD9">
        <w:rPr>
          <w:rFonts w:ascii="Arial" w:eastAsia="Arial" w:hAnsi="Arial" w:cs="Arial"/>
          <w:sz w:val="22"/>
        </w:rPr>
        <w:t xml:space="preserve"> → 6CO</w:t>
      </w:r>
      <w:r w:rsidRPr="00FE1FD9">
        <w:rPr>
          <w:rFonts w:ascii="Cambria Math" w:eastAsia="Arial" w:hAnsi="Cambria Math" w:cs="Cambria Math"/>
          <w:sz w:val="22"/>
        </w:rPr>
        <w:t>₂</w:t>
      </w:r>
      <w:r w:rsidRPr="00FE1FD9">
        <w:rPr>
          <w:rFonts w:ascii="Arial" w:eastAsia="Arial" w:hAnsi="Arial" w:cs="Arial"/>
          <w:sz w:val="22"/>
        </w:rPr>
        <w:t xml:space="preserve"> + 6H</w:t>
      </w:r>
      <w:r w:rsidRPr="00FE1FD9">
        <w:rPr>
          <w:rFonts w:ascii="Cambria Math" w:eastAsia="Arial" w:hAnsi="Cambria Math" w:cs="Cambria Math"/>
          <w:sz w:val="22"/>
        </w:rPr>
        <w:t>₂</w:t>
      </w:r>
      <w:r w:rsidRPr="00FE1FD9">
        <w:rPr>
          <w:rFonts w:ascii="Arial" w:eastAsia="Arial" w:hAnsi="Arial" w:cs="Arial"/>
          <w:sz w:val="22"/>
        </w:rPr>
        <w:t>O + energy collected in ATP and heat. The respiratory and cardiovascular systems carry oxygen, and insulin helps insulin-sensitive cells absorb glucose.</w:t>
      </w:r>
    </w:p>
    <w:p w14:paraId="06E8D463" w14:textId="77777777" w:rsidR="00C000AF" w:rsidRPr="00FE1FD9" w:rsidRDefault="00C000AF" w:rsidP="00FE1FD9">
      <w:pPr>
        <w:spacing w:after="40" w:line="360" w:lineRule="auto"/>
        <w:rPr>
          <w:rFonts w:ascii="Arial" w:eastAsia="Arial" w:hAnsi="Arial" w:cs="Arial"/>
          <w:sz w:val="22"/>
        </w:rPr>
      </w:pPr>
    </w:p>
    <w:p w14:paraId="60DCDA4E" w14:textId="11749134" w:rsidR="00C000AF" w:rsidRPr="00FE1FD9" w:rsidRDefault="00C000AF" w:rsidP="00FE1FD9">
      <w:pPr>
        <w:spacing w:after="40" w:line="360" w:lineRule="auto"/>
        <w:rPr>
          <w:rFonts w:ascii="Arial" w:eastAsia="Arial" w:hAnsi="Arial" w:cs="Arial"/>
          <w:sz w:val="22"/>
        </w:rPr>
      </w:pPr>
      <w:r w:rsidRPr="00FE1FD9">
        <w:rPr>
          <w:rFonts w:ascii="Arial" w:eastAsia="Arial" w:hAnsi="Arial" w:cs="Arial"/>
          <w:sz w:val="22"/>
        </w:rPr>
        <w:lastRenderedPageBreak/>
        <w:t>The cytoplasm is where glycolysis takes place. A net two ATP and decreased NADH are produced when one six-carbon glucose molecule is divided into two three-carbon pyruvate molecules. Pyruvate enters mitochondria and is transformed into acetyl coenzyme A when oxygen is present. Carbon dioxide is released and high-energy electrons are transferred to NADH and FADH</w:t>
      </w:r>
      <w:r w:rsidRPr="00FE1FD9">
        <w:rPr>
          <w:rFonts w:ascii="Cambria Math" w:eastAsia="Arial" w:hAnsi="Cambria Math" w:cs="Cambria Math"/>
          <w:sz w:val="22"/>
        </w:rPr>
        <w:t>₂</w:t>
      </w:r>
      <w:r w:rsidRPr="00FE1FD9">
        <w:rPr>
          <w:rFonts w:ascii="Arial" w:eastAsia="Arial" w:hAnsi="Arial" w:cs="Arial"/>
          <w:sz w:val="22"/>
        </w:rPr>
        <w:t xml:space="preserve"> by the Krebs (citric acid) cycle in the mitochondrial matrix. The inner mitochondrial membrane's electron transport chain is supplied by these carriers. Proton pumping is driven by electron mobility, and ATP is created when protons are returned through ATP synthase. At the end of the chain, oxygen takes up electrons to create water. This oxidative phosphorylation stage produces the majority of ATP; in human cells, the overall yield is typically estimated to be between 30 and 32 ATP per glucose (OpenStax, 2018).</w:t>
      </w:r>
    </w:p>
    <w:p w14:paraId="6D7F9293" w14:textId="0F6B9F80" w:rsidR="00C000AF" w:rsidRPr="00FE1FD9" w:rsidRDefault="00C000AF" w:rsidP="00FE1FD9">
      <w:pPr>
        <w:spacing w:after="40" w:line="360" w:lineRule="auto"/>
        <w:rPr>
          <w:rFonts w:ascii="Arial" w:eastAsia="Arial" w:hAnsi="Arial" w:cs="Arial"/>
          <w:sz w:val="22"/>
        </w:rPr>
      </w:pPr>
      <w:r w:rsidRPr="00FE1FD9">
        <w:rPr>
          <w:rFonts w:ascii="Arial" w:eastAsia="Arial" w:hAnsi="Arial" w:cs="Arial"/>
          <w:sz w:val="22"/>
        </w:rPr>
        <w:t>Cells can renew NAD</w:t>
      </w:r>
      <w:r w:rsidRPr="00FE1FD9">
        <w:rPr>
          <w:rFonts w:ascii="Cambria Math" w:eastAsia="Arial" w:hAnsi="Cambria Math" w:cs="Cambria Math"/>
          <w:sz w:val="22"/>
        </w:rPr>
        <w:t>⁺</w:t>
      </w:r>
      <w:r w:rsidRPr="00FE1FD9">
        <w:rPr>
          <w:rFonts w:ascii="Arial" w:eastAsia="Arial" w:hAnsi="Arial" w:cs="Arial"/>
          <w:sz w:val="22"/>
        </w:rPr>
        <w:t xml:space="preserve"> by converting pyruvate to lactate if oxygen delivery is insufficient. This allows glycolysis to proceed but only produces two ATP per glucose. Instead of being the primary cause of diabetic ketoacidosis, this is fermentation. Severe insulin insufficiency causes diabetic ketoacidosis, which produces acidic ketone bodies through accelerated fat breakdown. It is more common in type 1 diabetes, but it can also happen in type 2 diabetes, especially while taking specific medications or during a critical illness, and it needs to be treated very once. By separating these pathways, ketoacidosis is not implied to be caused by lactate from regular exercise.</w:t>
      </w:r>
    </w:p>
    <w:p w14:paraId="3BB688DA" w14:textId="77777777" w:rsidR="00C000AF" w:rsidRDefault="00C000AF" w:rsidP="00C000AF">
      <w:pPr>
        <w:tabs>
          <w:tab w:val="left" w:pos="5208"/>
        </w:tabs>
        <w:spacing w:after="40"/>
        <w:rPr>
          <w:rFonts w:ascii="Arial" w:eastAsia="Arial" w:hAnsi="Arial" w:cs="Arial"/>
          <w:sz w:val="22"/>
        </w:rPr>
      </w:pPr>
    </w:p>
    <w:p w14:paraId="2CA16711" w14:textId="77777777" w:rsidR="00DE4FB9" w:rsidRDefault="00DE4FB9" w:rsidP="00C000AF">
      <w:pPr>
        <w:tabs>
          <w:tab w:val="left" w:pos="5208"/>
        </w:tabs>
        <w:spacing w:after="40"/>
        <w:rPr>
          <w:rFonts w:ascii="Arial" w:eastAsia="Arial" w:hAnsi="Arial" w:cs="Arial"/>
          <w:sz w:val="22"/>
        </w:rPr>
      </w:pPr>
    </w:p>
    <w:p w14:paraId="426C5C35" w14:textId="77777777" w:rsidR="00DE4FB9" w:rsidRPr="00FE1FD9" w:rsidRDefault="00DE4FB9" w:rsidP="00C000AF">
      <w:pPr>
        <w:tabs>
          <w:tab w:val="left" w:pos="5208"/>
        </w:tabs>
        <w:spacing w:after="40"/>
        <w:rPr>
          <w:rFonts w:ascii="Arial" w:eastAsia="Arial" w:hAnsi="Arial" w:cs="Arial"/>
          <w:sz w:val="22"/>
        </w:rPr>
      </w:pPr>
    </w:p>
    <w:p w14:paraId="21DC4384" w14:textId="316A90FD" w:rsidR="00C000AF" w:rsidRPr="00FE1FD9" w:rsidRDefault="00C000AF" w:rsidP="00012E0F">
      <w:pPr>
        <w:spacing w:after="40"/>
        <w:rPr>
          <w:rFonts w:ascii="Arial" w:eastAsia="Arial" w:hAnsi="Arial" w:cs="Arial"/>
          <w:sz w:val="22"/>
        </w:rPr>
      </w:pPr>
      <w:r w:rsidRPr="00FE1FD9">
        <w:rPr>
          <w:rFonts w:ascii="Arial" w:eastAsia="Arial" w:hAnsi="Arial" w:cs="Arial"/>
          <w:sz w:val="22"/>
        </w:rPr>
        <w:t>How glucose and oxygen generate usable cellular energy</w:t>
      </w:r>
    </w:p>
    <w:p w14:paraId="1DE188FC" w14:textId="26EEBB5F" w:rsidR="00C000AF" w:rsidRDefault="00D601B5" w:rsidP="00012E0F">
      <w:pPr>
        <w:spacing w:after="40"/>
        <w:rPr>
          <w:rFonts w:ascii="Arial" w:eastAsia="Arial" w:hAnsi="Arial" w:cs="Arial"/>
          <w:sz w:val="22"/>
        </w:rPr>
      </w:pPr>
      <w:r>
        <w:rPr>
          <w:rFonts w:ascii="Arial" w:eastAsia="Arial" w:hAnsi="Arial" w:cs="Arial"/>
          <w:noProof/>
          <w:sz w:val="22"/>
        </w:rPr>
        <mc:AlternateContent>
          <mc:Choice Requires="wps">
            <w:drawing>
              <wp:anchor distT="0" distB="0" distL="114300" distR="114300" simplePos="0" relativeHeight="251695104" behindDoc="0" locked="0" layoutInCell="1" allowOverlap="1" wp14:anchorId="06A745DE" wp14:editId="06C343F8">
                <wp:simplePos x="0" y="0"/>
                <wp:positionH relativeFrom="column">
                  <wp:posOffset>1219200</wp:posOffset>
                </wp:positionH>
                <wp:positionV relativeFrom="paragraph">
                  <wp:posOffset>197485</wp:posOffset>
                </wp:positionV>
                <wp:extent cx="1097280" cy="647700"/>
                <wp:effectExtent l="0" t="0" r="26670" b="19050"/>
                <wp:wrapNone/>
                <wp:docPr id="196083057" name="Rectangle: Rounded Corners 6"/>
                <wp:cNvGraphicFramePr/>
                <a:graphic xmlns:a="http://schemas.openxmlformats.org/drawingml/2006/main">
                  <a:graphicData uri="http://schemas.microsoft.com/office/word/2010/wordprocessingShape">
                    <wps:wsp>
                      <wps:cNvSpPr/>
                      <wps:spPr>
                        <a:xfrm>
                          <a:off x="0" y="0"/>
                          <a:ext cx="1097280" cy="6477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6FA96A" w14:textId="4BF8A078" w:rsidR="00D601B5" w:rsidRDefault="00D601B5" w:rsidP="00D601B5">
                            <w:pPr>
                              <w:jc w:val="center"/>
                            </w:pPr>
                            <w:r>
                              <w:t>Glycolysis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6A745DE" id="Rectangle: Rounded Corners 6" o:spid="_x0000_s1031" style="position:absolute;margin-left:96pt;margin-top:15.55pt;width:86.4pt;height:51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" fillcolor="#4472c4 [3204]" strokecolor="#09101d [484]" strokeweight="1pt">
                <v:stroke joinstyle="miter"/>
                <v:textbox>
                  <w:txbxContent>
                    <w:p w14:paraId="706FA96A" w14:textId="4BF8A078" w:rsidR="00D601B5" w:rsidRDefault="00D601B5" w:rsidP="00D601B5">
                      <w:pPr>
                        <w:jc w:val="center"/>
                      </w:pPr>
                      <w:r>
                        <w:t>Glycolysis</w:t>
                      </w:r>
                    </w:p>
                  </w:txbxContent>
                </v:textbox>
              </v:roundrect>
            </w:pict>
          </mc:Fallback>
        </mc:AlternateContent>
      </w:r>
      <w:r>
        <w:rPr>
          <w:rFonts w:ascii="Arial" w:eastAsia="Arial" w:hAnsi="Arial" w:cs="Arial"/>
          <w:noProof/>
          <w:sz w:val="22"/>
        </w:rPr>
        <mc:AlternateContent>
          <mc:Choice Requires="wps">
            <w:drawing>
              <wp:anchor distT="0" distB="0" distL="114300" distR="114300" simplePos="0" relativeHeight="251693056" behindDoc="0" locked="0" layoutInCell="1" allowOverlap="1" wp14:anchorId="69EE42B1" wp14:editId="67200BFD">
                <wp:simplePos x="0" y="0"/>
                <wp:positionH relativeFrom="margin">
                  <wp:align>left</wp:align>
                </wp:positionH>
                <wp:positionV relativeFrom="paragraph">
                  <wp:posOffset>158115</wp:posOffset>
                </wp:positionV>
                <wp:extent cx="1097280" cy="716280"/>
                <wp:effectExtent l="0" t="0" r="26670" b="26670"/>
                <wp:wrapNone/>
                <wp:docPr id="51481723" name="Rectangle: Rounded Corners 6"/>
                <wp:cNvGraphicFramePr/>
                <a:graphic xmlns:a="http://schemas.openxmlformats.org/drawingml/2006/main">
                  <a:graphicData uri="http://schemas.microsoft.com/office/word/2010/wordprocessingShape">
                    <wps:wsp>
                      <wps:cNvSpPr/>
                      <wps:spPr>
                        <a:xfrm>
                          <a:off x="0" y="0"/>
                          <a:ext cx="1097280" cy="7162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E75E79" w14:textId="0593A733" w:rsidR="00D601B5" w:rsidRDefault="00D601B5" w:rsidP="00D601B5">
                            <w:pPr>
                              <w:jc w:val="center"/>
                            </w:pPr>
                            <w:r>
                              <w:t>Glucose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EE42B1" id="_x0000_s1032" style="position:absolute;margin-left:0;margin-top:12.45pt;width:86.4pt;height:56.4pt;z-index:251693056;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" fillcolor="#4472c4 [3204]" strokecolor="#09101d [484]" strokeweight="1pt">
                <v:stroke joinstyle="miter"/>
                <v:textbox>
                  <w:txbxContent>
                    <w:p w14:paraId="20E75E79" w14:textId="0593A733" w:rsidR="00D601B5" w:rsidRDefault="00D601B5" w:rsidP="00D601B5">
                      <w:pPr>
                        <w:jc w:val="center"/>
                      </w:pPr>
                      <w:r>
                        <w:t>Glucose</w:t>
                      </w:r>
                    </w:p>
                  </w:txbxContent>
                </v:textbox>
                <w10:wrap anchorx="margin"/>
              </v:roundrect>
            </w:pict>
          </mc:Fallback>
        </mc:AlternateContent>
      </w:r>
    </w:p>
    <w:p w14:paraId="0603AE08" w14:textId="51E93285" w:rsidR="00C000AF" w:rsidRDefault="00D601B5" w:rsidP="00012E0F">
      <w:pPr>
        <w:spacing w:after="40"/>
        <w:rPr>
          <w:rFonts w:ascii="Arial" w:eastAsia="Arial" w:hAnsi="Arial" w:cs="Arial"/>
          <w:sz w:val="22"/>
        </w:rPr>
      </w:pPr>
      <w:r>
        <w:rPr>
          <w:rFonts w:ascii="Arial" w:eastAsia="Arial" w:hAnsi="Arial" w:cs="Arial"/>
          <w:noProof/>
          <w:sz w:val="22"/>
        </w:rPr>
        <mc:AlternateContent>
          <mc:Choice Requires="wps">
            <w:drawing>
              <wp:anchor distT="0" distB="0" distL="114300" distR="114300" simplePos="0" relativeHeight="251697152" behindDoc="0" locked="0" layoutInCell="1" allowOverlap="1" wp14:anchorId="6393D941" wp14:editId="565764DF">
                <wp:simplePos x="0" y="0"/>
                <wp:positionH relativeFrom="column">
                  <wp:posOffset>2407920</wp:posOffset>
                </wp:positionH>
                <wp:positionV relativeFrom="paragraph">
                  <wp:posOffset>6350</wp:posOffset>
                </wp:positionV>
                <wp:extent cx="1120140" cy="617220"/>
                <wp:effectExtent l="0" t="0" r="22860" b="11430"/>
                <wp:wrapNone/>
                <wp:docPr id="62700617" name="Rectangle: Rounded Corners 6"/>
                <wp:cNvGraphicFramePr/>
                <a:graphic xmlns:a="http://schemas.openxmlformats.org/drawingml/2006/main">
                  <a:graphicData uri="http://schemas.microsoft.com/office/word/2010/wordprocessingShape">
                    <wps:wsp>
                      <wps:cNvSpPr/>
                      <wps:spPr>
                        <a:xfrm>
                          <a:off x="0" y="0"/>
                          <a:ext cx="1120140" cy="6172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69A7CF" w14:textId="26138D70" w:rsidR="00D601B5" w:rsidRDefault="00D601B5" w:rsidP="00D601B5">
                            <w:pPr>
                              <w:jc w:val="center"/>
                            </w:pPr>
                            <w:r>
                              <w:t>Krebs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93D941" id="_x0000_s1033" style="position:absolute;margin-left:189.6pt;margin-top:.5pt;width:88.2pt;height:48.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" fillcolor="#4472c4 [3204]" strokecolor="#09101d [484]" strokeweight="1pt">
                <v:stroke joinstyle="miter"/>
                <v:textbox>
                  <w:txbxContent>
                    <w:p w14:paraId="1E69A7CF" w14:textId="26138D70" w:rsidR="00D601B5" w:rsidRDefault="00D601B5" w:rsidP="00D601B5">
                      <w:pPr>
                        <w:jc w:val="center"/>
                      </w:pPr>
                      <w:r>
                        <w:t>Krebs cycle</w:t>
                      </w:r>
                    </w:p>
                  </w:txbxContent>
                </v:textbox>
              </v:roundrect>
            </w:pict>
          </mc:Fallback>
        </mc:AlternateContent>
      </w:r>
      <w:r>
        <w:rPr>
          <w:rFonts w:ascii="Arial" w:eastAsia="Arial" w:hAnsi="Arial" w:cs="Arial"/>
          <w:noProof/>
          <w:sz w:val="22"/>
        </w:rPr>
        <mc:AlternateContent>
          <mc:Choice Requires="wps">
            <w:drawing>
              <wp:anchor distT="0" distB="0" distL="114300" distR="114300" simplePos="0" relativeHeight="251699200" behindDoc="0" locked="0" layoutInCell="1" allowOverlap="1" wp14:anchorId="203A257D" wp14:editId="137FCBAF">
                <wp:simplePos x="0" y="0"/>
                <wp:positionH relativeFrom="column">
                  <wp:posOffset>3649980</wp:posOffset>
                </wp:positionH>
                <wp:positionV relativeFrom="paragraph">
                  <wp:posOffset>6350</wp:posOffset>
                </wp:positionV>
                <wp:extent cx="952500" cy="655320"/>
                <wp:effectExtent l="0" t="0" r="19050" b="11430"/>
                <wp:wrapNone/>
                <wp:docPr id="2073778882" name="Rectangle: Rounded Corners 6"/>
                <wp:cNvGraphicFramePr/>
                <a:graphic xmlns:a="http://schemas.openxmlformats.org/drawingml/2006/main">
                  <a:graphicData uri="http://schemas.microsoft.com/office/word/2010/wordprocessingShape">
                    <wps:wsp>
                      <wps:cNvSpPr/>
                      <wps:spPr>
                        <a:xfrm>
                          <a:off x="0" y="0"/>
                          <a:ext cx="952500" cy="6553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F73A2E" w14:textId="2F82B261" w:rsidR="00D601B5" w:rsidRPr="00D601B5" w:rsidRDefault="00D601B5" w:rsidP="00D601B5">
                            <w:pPr>
                              <w:jc w:val="center"/>
                              <w:rPr>
                                <w:sz w:val="22"/>
                              </w:rPr>
                            </w:pPr>
                            <w:r w:rsidRPr="00D601B5">
                              <w:rPr>
                                <w:sz w:val="22"/>
                              </w:rPr>
                              <w:t>Electron transport + O2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3A257D" id="_x0000_s1034" style="position:absolute;margin-left:287.4pt;margin-top:.5pt;width:75pt;height:51.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" fillcolor="#4472c4 [3204]" strokecolor="#09101d [484]" strokeweight="1pt">
                <v:stroke joinstyle="miter"/>
                <v:textbox>
                  <w:txbxContent>
                    <w:p w14:paraId="5CF73A2E" w14:textId="2F82B261" w:rsidR="00D601B5" w:rsidRPr="00D601B5" w:rsidRDefault="00D601B5" w:rsidP="00D601B5">
                      <w:pPr>
                        <w:jc w:val="center"/>
                        <w:rPr>
                          <w:sz w:val="22"/>
                        </w:rPr>
                      </w:pPr>
                      <w:r w:rsidRPr="00D601B5">
                        <w:rPr>
                          <w:sz w:val="22"/>
                        </w:rPr>
                        <w:t>Electron transport + O2</w:t>
                      </w:r>
                    </w:p>
                  </w:txbxContent>
                </v:textbox>
              </v:roundrect>
            </w:pict>
          </mc:Fallback>
        </mc:AlternateContent>
      </w:r>
      <w:r>
        <w:rPr>
          <w:rFonts w:ascii="Arial" w:eastAsia="Arial" w:hAnsi="Arial" w:cs="Arial"/>
          <w:noProof/>
          <w:sz w:val="22"/>
        </w:rPr>
        <mc:AlternateContent>
          <mc:Choice Requires="wps">
            <w:drawing>
              <wp:anchor distT="0" distB="0" distL="114300" distR="114300" simplePos="0" relativeHeight="251701248" behindDoc="0" locked="0" layoutInCell="1" allowOverlap="1" wp14:anchorId="4F7E7A5F" wp14:editId="35B73C1D">
                <wp:simplePos x="0" y="0"/>
                <wp:positionH relativeFrom="margin">
                  <wp:align>right</wp:align>
                </wp:positionH>
                <wp:positionV relativeFrom="paragraph">
                  <wp:posOffset>6350</wp:posOffset>
                </wp:positionV>
                <wp:extent cx="975360" cy="662940"/>
                <wp:effectExtent l="0" t="0" r="15240" b="22860"/>
                <wp:wrapNone/>
                <wp:docPr id="457056801" name="Rectangle: Rounded Corners 6"/>
                <wp:cNvGraphicFramePr/>
                <a:graphic xmlns:a="http://schemas.openxmlformats.org/drawingml/2006/main">
                  <a:graphicData uri="http://schemas.microsoft.com/office/word/2010/wordprocessingShape">
                    <wps:wsp>
                      <wps:cNvSpPr/>
                      <wps:spPr>
                        <a:xfrm>
                          <a:off x="0" y="0"/>
                          <a:ext cx="975360" cy="6629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2EA772" w14:textId="792A2292" w:rsidR="00D601B5" w:rsidRDefault="00D601B5" w:rsidP="00D601B5">
                            <w:pPr>
                              <w:jc w:val="center"/>
                            </w:pPr>
                            <w:r>
                              <w:t>ATP+CO2+H2O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7E7A5F" id="_x0000_s1035" style="position:absolute;margin-left:25.6pt;margin-top:.5pt;width:76.8pt;height:52.2pt;z-index:2517012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" fillcolor="#4472c4 [3204]" strokecolor="#09101d [484]" strokeweight="1pt">
                <v:stroke joinstyle="miter"/>
                <v:textbox>
                  <w:txbxContent>
                    <w:p w14:paraId="682EA772" w14:textId="792A2292" w:rsidR="00D601B5" w:rsidRDefault="00D601B5" w:rsidP="00D601B5">
                      <w:pPr>
                        <w:jc w:val="center"/>
                      </w:pPr>
                      <w:r>
                        <w:t>ATP+CO2+H2O</w:t>
                      </w:r>
                    </w:p>
                  </w:txbxContent>
                </v:textbox>
                <w10:wrap anchorx="margin"/>
              </v:roundrect>
            </w:pict>
          </mc:Fallback>
        </mc:AlternateContent>
      </w:r>
    </w:p>
    <w:p w14:paraId="40CE16F9" w14:textId="1B79D09E" w:rsidR="00C000AF" w:rsidRDefault="00C000AF" w:rsidP="00012E0F">
      <w:pPr>
        <w:spacing w:after="40"/>
        <w:rPr>
          <w:rFonts w:ascii="Arial" w:eastAsia="Arial" w:hAnsi="Arial" w:cs="Arial"/>
          <w:sz w:val="22"/>
        </w:rPr>
      </w:pPr>
    </w:p>
    <w:p w14:paraId="58FFE496" w14:textId="5939FDD9" w:rsidR="00C000AF" w:rsidRDefault="00C000AF" w:rsidP="00012E0F">
      <w:pPr>
        <w:spacing w:after="40"/>
        <w:rPr>
          <w:rFonts w:ascii="Arial" w:eastAsia="Arial" w:hAnsi="Arial" w:cs="Arial"/>
          <w:b/>
          <w:bCs/>
          <w:color w:val="1A3F5C"/>
          <w:sz w:val="20"/>
          <w:szCs w:val="20"/>
        </w:rPr>
      </w:pPr>
    </w:p>
    <w:p w14:paraId="20AA53C4" w14:textId="1C9E0A04" w:rsidR="00C000AF" w:rsidRDefault="00D601B5" w:rsidP="00012E0F">
      <w:pPr>
        <w:spacing w:after="40"/>
        <w:rPr>
          <w:rFonts w:ascii="Arial" w:eastAsia="Arial" w:hAnsi="Arial" w:cs="Arial"/>
          <w:b/>
          <w:bCs/>
          <w:color w:val="1A3F5C"/>
          <w:sz w:val="20"/>
          <w:szCs w:val="20"/>
        </w:rPr>
      </w:pPr>
      <w:r>
        <w:rPr>
          <w:rFonts w:ascii="Arial" w:eastAsia="Arial" w:hAnsi="Arial" w:cs="Arial"/>
          <w:b/>
          <w:bCs/>
          <w:noProof/>
          <w:color w:val="1A3F5C"/>
          <w:sz w:val="20"/>
          <w:szCs w:val="20"/>
        </w:rPr>
        <mc:AlternateContent>
          <mc:Choice Requires="wps">
            <w:drawing>
              <wp:anchor distT="0" distB="0" distL="114300" distR="114300" simplePos="0" relativeHeight="251706368" behindDoc="0" locked="0" layoutInCell="1" allowOverlap="1" wp14:anchorId="4FC16E14" wp14:editId="774D753A">
                <wp:simplePos x="0" y="0"/>
                <wp:positionH relativeFrom="column">
                  <wp:posOffset>3307080</wp:posOffset>
                </wp:positionH>
                <wp:positionV relativeFrom="paragraph">
                  <wp:posOffset>62230</wp:posOffset>
                </wp:positionV>
                <wp:extent cx="579120" cy="198120"/>
                <wp:effectExtent l="0" t="19050" r="30480" b="11430"/>
                <wp:wrapNone/>
                <wp:docPr id="309324939" name="Arrow: Curved Up 7"/>
                <wp:cNvGraphicFramePr/>
                <a:graphic xmlns:a="http://schemas.openxmlformats.org/drawingml/2006/main">
                  <a:graphicData uri="http://schemas.microsoft.com/office/word/2010/wordprocessingShape">
                    <wps:wsp>
                      <wps:cNvSpPr/>
                      <wps:spPr>
                        <a:xfrm>
                          <a:off x="0" y="0"/>
                          <a:ext cx="579120" cy="198120"/>
                        </a:xfrm>
                        <a:prstGeom prst="curved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7C20848"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7" o:spid="_x0000_s1026" type="#_x0000_t104" style="position:absolute;margin-left:260.4pt;margin-top:4.9pt;width:45.6pt;height:15.6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" adj="17905,20676,5400" fillcolor="#4472c4 [3204]" strokecolor="#09101d [484]" strokeweight="1pt"/>
            </w:pict>
          </mc:Fallback>
        </mc:AlternateContent>
      </w:r>
      <w:r>
        <w:rPr>
          <w:rFonts w:ascii="Arial" w:eastAsia="Arial" w:hAnsi="Arial" w:cs="Arial"/>
          <w:b/>
          <w:bCs/>
          <w:noProof/>
          <w:color w:val="1A3F5C"/>
          <w:sz w:val="20"/>
          <w:szCs w:val="20"/>
        </w:rPr>
        <mc:AlternateContent>
          <mc:Choice Requires="wps">
            <w:drawing>
              <wp:anchor distT="0" distB="0" distL="114300" distR="114300" simplePos="0" relativeHeight="251708416" behindDoc="0" locked="0" layoutInCell="1" allowOverlap="1" wp14:anchorId="57E5EB26" wp14:editId="75F2F31F">
                <wp:simplePos x="0" y="0"/>
                <wp:positionH relativeFrom="column">
                  <wp:posOffset>4450080</wp:posOffset>
                </wp:positionH>
                <wp:positionV relativeFrom="paragraph">
                  <wp:posOffset>107950</wp:posOffset>
                </wp:positionV>
                <wp:extent cx="579120" cy="198120"/>
                <wp:effectExtent l="0" t="19050" r="30480" b="11430"/>
                <wp:wrapNone/>
                <wp:docPr id="1941231348" name="Arrow: Curved Up 7"/>
                <wp:cNvGraphicFramePr/>
                <a:graphic xmlns:a="http://schemas.openxmlformats.org/drawingml/2006/main">
                  <a:graphicData uri="http://schemas.microsoft.com/office/word/2010/wordprocessingShape">
                    <wps:wsp>
                      <wps:cNvSpPr/>
                      <wps:spPr>
                        <a:xfrm>
                          <a:off x="0" y="0"/>
                          <a:ext cx="579120" cy="198120"/>
                        </a:xfrm>
                        <a:prstGeom prst="curved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CAC28F" id="Arrow: Curved Up 7" o:spid="_x0000_s1026" type="#_x0000_t104" style="position:absolute;margin-left:350.4pt;margin-top:8.5pt;width:45.6pt;height:15.6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" adj="17905,20676,5400" fillcolor="#4472c4 [3204]" strokecolor="#09101d [484]" strokeweight="1pt"/>
            </w:pict>
          </mc:Fallback>
        </mc:AlternateContent>
      </w:r>
      <w:r>
        <w:rPr>
          <w:rFonts w:ascii="Arial" w:eastAsia="Arial" w:hAnsi="Arial" w:cs="Arial"/>
          <w:b/>
          <w:bCs/>
          <w:noProof/>
          <w:color w:val="1A3F5C"/>
          <w:sz w:val="20"/>
          <w:szCs w:val="20"/>
        </w:rPr>
        <mc:AlternateContent>
          <mc:Choice Requires="wps">
            <w:drawing>
              <wp:anchor distT="0" distB="0" distL="114300" distR="114300" simplePos="0" relativeHeight="251704320" behindDoc="0" locked="0" layoutInCell="1" allowOverlap="1" wp14:anchorId="63018BFB" wp14:editId="137F74A5">
                <wp:simplePos x="0" y="0"/>
                <wp:positionH relativeFrom="column">
                  <wp:posOffset>2087880</wp:posOffset>
                </wp:positionH>
                <wp:positionV relativeFrom="paragraph">
                  <wp:posOffset>85090</wp:posOffset>
                </wp:positionV>
                <wp:extent cx="579120" cy="198120"/>
                <wp:effectExtent l="0" t="19050" r="30480" b="11430"/>
                <wp:wrapNone/>
                <wp:docPr id="723142007" name="Arrow: Curved Up 7"/>
                <wp:cNvGraphicFramePr/>
                <a:graphic xmlns:a="http://schemas.openxmlformats.org/drawingml/2006/main">
                  <a:graphicData uri="http://schemas.microsoft.com/office/word/2010/wordprocessingShape">
                    <wps:wsp>
                      <wps:cNvSpPr/>
                      <wps:spPr>
                        <a:xfrm>
                          <a:off x="0" y="0"/>
                          <a:ext cx="579120" cy="198120"/>
                        </a:xfrm>
                        <a:prstGeom prst="curved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27DF75" id="Arrow: Curved Up 7" o:spid="_x0000_s1026" type="#_x0000_t104" style="position:absolute;margin-left:164.4pt;margin-top:6.7pt;width:45.6pt;height:15.6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" adj="17905,20676,5400" fillcolor="#4472c4 [3204]" strokecolor="#09101d [484]" strokeweight="1pt"/>
            </w:pict>
          </mc:Fallback>
        </mc:AlternateContent>
      </w:r>
      <w:r>
        <w:rPr>
          <w:rFonts w:ascii="Arial" w:eastAsia="Arial" w:hAnsi="Arial" w:cs="Arial"/>
          <w:b/>
          <w:bCs/>
          <w:noProof/>
          <w:color w:val="1A3F5C"/>
          <w:sz w:val="20"/>
          <w:szCs w:val="20"/>
        </w:rPr>
        <mc:AlternateContent>
          <mc:Choice Requires="wps">
            <w:drawing>
              <wp:anchor distT="0" distB="0" distL="114300" distR="114300" simplePos="0" relativeHeight="251702272" behindDoc="0" locked="0" layoutInCell="1" allowOverlap="1" wp14:anchorId="6C2ACDAD" wp14:editId="465F6617">
                <wp:simplePos x="0" y="0"/>
                <wp:positionH relativeFrom="column">
                  <wp:posOffset>891540</wp:posOffset>
                </wp:positionH>
                <wp:positionV relativeFrom="paragraph">
                  <wp:posOffset>111760</wp:posOffset>
                </wp:positionV>
                <wp:extent cx="579120" cy="198120"/>
                <wp:effectExtent l="0" t="19050" r="30480" b="11430"/>
                <wp:wrapNone/>
                <wp:docPr id="1200090274" name="Arrow: Curved Up 7"/>
                <wp:cNvGraphicFramePr/>
                <a:graphic xmlns:a="http://schemas.openxmlformats.org/drawingml/2006/main">
                  <a:graphicData uri="http://schemas.microsoft.com/office/word/2010/wordprocessingShape">
                    <wps:wsp>
                      <wps:cNvSpPr/>
                      <wps:spPr>
                        <a:xfrm>
                          <a:off x="0" y="0"/>
                          <a:ext cx="579120" cy="198120"/>
                        </a:xfrm>
                        <a:prstGeom prst="curved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AA8E00" id="Arrow: Curved Up 7" o:spid="_x0000_s1026" type="#_x0000_t104" style="position:absolute;margin-left:70.2pt;margin-top:8.8pt;width:45.6pt;height:15.6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" adj="17905,20676,5400" fillcolor="#4472c4 [3204]" strokecolor="#09101d [484]" strokeweight="1pt"/>
            </w:pict>
          </mc:Fallback>
        </mc:AlternateContent>
      </w:r>
    </w:p>
    <w:p w14:paraId="0AA793AE" w14:textId="4C2B5B67" w:rsidR="00C000AF" w:rsidRDefault="00C000AF" w:rsidP="00012E0F">
      <w:pPr>
        <w:spacing w:after="40"/>
        <w:rPr>
          <w:rFonts w:ascii="Arial" w:eastAsia="Arial" w:hAnsi="Arial" w:cs="Arial"/>
          <w:b/>
          <w:bCs/>
          <w:color w:val="1A3F5C"/>
          <w:sz w:val="20"/>
          <w:szCs w:val="20"/>
        </w:rPr>
      </w:pPr>
    </w:p>
    <w:p w14:paraId="7AC355BA" w14:textId="50143C2E" w:rsidR="00C000AF" w:rsidRPr="00DE4FB9" w:rsidRDefault="00C000AF" w:rsidP="00012E0F">
      <w:pPr>
        <w:spacing w:after="40"/>
        <w:rPr>
          <w:rFonts w:ascii="Arial" w:eastAsia="Arial" w:hAnsi="Arial" w:cs="Arial"/>
          <w:b/>
          <w:bCs/>
          <w:color w:val="1A3F5C"/>
          <w:sz w:val="22"/>
        </w:rPr>
      </w:pPr>
    </w:p>
    <w:p w14:paraId="43A604CD" w14:textId="7BD03DC8" w:rsidR="00012E0F" w:rsidRPr="00DE4FB9" w:rsidRDefault="00D601B5" w:rsidP="00012E0F">
      <w:pPr>
        <w:spacing w:before="60" w:after="60"/>
        <w:rPr>
          <w:rFonts w:ascii="Arial" w:eastAsia="Arial" w:hAnsi="Arial" w:cs="Arial"/>
          <w:color w:val="444444"/>
          <w:sz w:val="22"/>
        </w:rPr>
      </w:pPr>
      <w:r w:rsidRPr="00DE4FB9">
        <w:rPr>
          <w:rFonts w:ascii="Arial" w:eastAsia="Arial" w:hAnsi="Arial" w:cs="Arial"/>
          <w:color w:val="444444"/>
          <w:sz w:val="22"/>
        </w:rPr>
        <w:t>Figure 2. Principal stages of aerobic cellular respiration (author-created from OpenStax, 2018).</w:t>
      </w:r>
    </w:p>
    <w:p w14:paraId="1B9479C4" w14:textId="4E6009B9" w:rsidR="00D601B5" w:rsidRDefault="00012E0F" w:rsidP="00DE4FB9">
      <w:pPr>
        <w:pStyle w:val="Heading1"/>
      </w:pPr>
      <w:r>
        <w:lastRenderedPageBreak/>
        <w:t>4</w:t>
      </w:r>
      <w:r w:rsidRPr="00C03A91">
        <w:t xml:space="preserve">. </w:t>
      </w:r>
      <w:r>
        <w:t xml:space="preserve">Recording and Tracking Blood Sugar Levels </w:t>
      </w:r>
      <w:r w:rsidRPr="00C03A91">
        <w:t xml:space="preserve"> </w:t>
      </w:r>
    </w:p>
    <w:p w14:paraId="2CE485AA" w14:textId="32FCEAD6" w:rsidR="00DE4FB9" w:rsidRPr="00DE4FB9" w:rsidRDefault="00DE4FB9" w:rsidP="00DE4FB9">
      <w:pPr>
        <w:pStyle w:val="Heading1"/>
      </w:pPr>
      <w:r w:rsidRPr="00DE4FB9">
        <w:t xml:space="preserve">When data are analysed and connected to a predetermined course of action, monitoring is beneficial. HbA1c represents the average exposure over the last two to three months and assesses the amount of glucose bound to haemoglobin. Until control and treatment are stable, NICE (2026b) advises measuring it every three to six months, after which it should be done every six months. A target of 48 mmol/mol (6.5%) may be suitable for many persons treated without medications that produce </w:t>
      </w:r>
      <w:r w:rsidR="00400351" w:rsidRPr="00DE4FB9">
        <w:t>hypoglycaemia</w:t>
      </w:r>
      <w:r w:rsidRPr="00DE4FB9">
        <w:t>; however, safety, frailty, comorbidity, and treatment load may warrant a different target.</w:t>
      </w:r>
    </w:p>
    <w:p w14:paraId="55E89BE7" w14:textId="37B55BD6" w:rsidR="00DE4FB9" w:rsidRPr="00346BD5" w:rsidRDefault="00DE4FB9" w:rsidP="00DE4FB9">
      <w:pPr>
        <w:spacing w:line="360" w:lineRule="auto"/>
        <w:rPr>
          <w:rFonts w:ascii="Arial" w:hAnsi="Arial" w:cs="Arial"/>
          <w:sz w:val="22"/>
        </w:rPr>
      </w:pPr>
      <w:r w:rsidRPr="00346BD5">
        <w:rPr>
          <w:rFonts w:ascii="Arial" w:hAnsi="Arial" w:cs="Arial"/>
          <w:sz w:val="22"/>
        </w:rPr>
        <w:t xml:space="preserve">Capillary self-monitoring yields a value at a predetermined time using a finger-prick meter. In addition to supporting insulin titration and confirming suspected </w:t>
      </w:r>
      <w:r w:rsidR="00400351" w:rsidRPr="00346BD5">
        <w:rPr>
          <w:rFonts w:ascii="Arial" w:hAnsi="Arial" w:cs="Arial"/>
          <w:sz w:val="22"/>
        </w:rPr>
        <w:t>hypoglycaemia</w:t>
      </w:r>
      <w:r w:rsidRPr="00346BD5">
        <w:rPr>
          <w:rFonts w:ascii="Arial" w:hAnsi="Arial" w:cs="Arial"/>
          <w:sz w:val="22"/>
        </w:rPr>
        <w:t xml:space="preserve">, a dated record of the value, meals, activity, symptoms, and medications can highlight patterns like post-meal climbs or exercise-related decreases. For certain insulin-treated patients, continuous or sporadic glucose monitors provide trend data and alarms. NICE (2026b) cautions against routinely providing finger-prick monitoring to all adults with type 2 diabetes. When it comes to insulin use, </w:t>
      </w:r>
      <w:r w:rsidR="00400351" w:rsidRPr="00346BD5">
        <w:rPr>
          <w:rFonts w:ascii="Arial" w:hAnsi="Arial" w:cs="Arial"/>
          <w:sz w:val="22"/>
        </w:rPr>
        <w:t>hypoglycaemic</w:t>
      </w:r>
      <w:r w:rsidRPr="00346BD5">
        <w:rPr>
          <w:rFonts w:ascii="Arial" w:hAnsi="Arial" w:cs="Arial"/>
          <w:sz w:val="22"/>
        </w:rPr>
        <w:t xml:space="preserve"> episodes, pregnancy, certain driving risks, or short-term clinical indications, it is especially pertinent.</w:t>
      </w:r>
    </w:p>
    <w:p w14:paraId="57B1E241" w14:textId="38972B2E" w:rsidR="00DE4FB9" w:rsidRPr="00346BD5" w:rsidRDefault="00DE4FB9" w:rsidP="00DE4FB9">
      <w:pPr>
        <w:spacing w:line="360" w:lineRule="auto"/>
        <w:rPr>
          <w:rFonts w:ascii="Arial" w:hAnsi="Arial" w:cs="Arial"/>
          <w:sz w:val="22"/>
        </w:rPr>
      </w:pPr>
      <w:r w:rsidRPr="00346BD5">
        <w:rPr>
          <w:rFonts w:ascii="Arial" w:hAnsi="Arial" w:cs="Arial"/>
          <w:sz w:val="22"/>
        </w:rPr>
        <w:t xml:space="preserve">At least once a year, the nurse should assess the patient's comprehension, psychological burden, testing frequency, technique, and meter quality. Clear instructions on personal goals, when to repeat a reading, how to address </w:t>
      </w:r>
      <w:r w:rsidR="00400351" w:rsidRPr="00346BD5">
        <w:rPr>
          <w:rFonts w:ascii="Arial" w:hAnsi="Arial" w:cs="Arial"/>
          <w:sz w:val="22"/>
        </w:rPr>
        <w:t>hypoglycaemia</w:t>
      </w:r>
      <w:r w:rsidRPr="00346BD5">
        <w:rPr>
          <w:rFonts w:ascii="Arial" w:hAnsi="Arial" w:cs="Arial"/>
          <w:sz w:val="22"/>
        </w:rPr>
        <w:t>, sick-day policies, and when to seek emergency assistance are all necessary. Tracking then shifts from being an inexplicable data collection tool to a safety and shared decision-making tool.</w:t>
      </w:r>
    </w:p>
    <w:p w14:paraId="3A0A0166" w14:textId="77777777" w:rsidR="00DE4FB9" w:rsidRPr="00DE4FB9" w:rsidRDefault="00DE4FB9" w:rsidP="00DE4FB9"/>
    <w:p w14:paraId="5EC89A6B" w14:textId="5EDAD95F" w:rsidR="00DE477A" w:rsidRDefault="00DE477A" w:rsidP="00DE4FB9">
      <w:pPr>
        <w:pStyle w:val="Heading1"/>
      </w:pPr>
      <w:r>
        <w:t>5</w:t>
      </w:r>
      <w:r w:rsidRPr="00C03A91">
        <w:t xml:space="preserve">. </w:t>
      </w:r>
      <w:r>
        <w:t xml:space="preserve">Evidence-Based Lifestyle Recommendations </w:t>
      </w:r>
      <w:r w:rsidRPr="00C03A91">
        <w:t xml:space="preserve"> </w:t>
      </w:r>
    </w:p>
    <w:p w14:paraId="7C7E07CC" w14:textId="09FE0D5B" w:rsidR="00346BD5" w:rsidRPr="00346BD5" w:rsidRDefault="00346BD5" w:rsidP="00DE4FB9">
      <w:pPr>
        <w:spacing w:before="60" w:after="60" w:line="360" w:lineRule="auto"/>
        <w:rPr>
          <w:rFonts w:ascii="Arial" w:eastAsia="Arial" w:hAnsi="Arial" w:cs="Arial"/>
          <w:color w:val="000000" w:themeColor="text1"/>
          <w:sz w:val="22"/>
        </w:rPr>
      </w:pPr>
      <w:r w:rsidRPr="00346BD5">
        <w:rPr>
          <w:rFonts w:ascii="Arial" w:eastAsia="Arial" w:hAnsi="Arial" w:cs="Arial"/>
          <w:color w:val="000000" w:themeColor="text1"/>
          <w:sz w:val="22"/>
        </w:rPr>
        <w:t>Together with medication, lifestyle care should be targeted, collaborative, and reviewed. The nurse should avoid using a one-size-fits-all strategy, set tiny, attainable goals, and employ motivational interviewing. Even with a little improvement in HbA1c, sustainable change can enhance insulin sensitivity, blood pressure, lipids, wellness, and cardiovascular risk.</w:t>
      </w:r>
    </w:p>
    <w:p w14:paraId="19397B58" w14:textId="58CFA36A" w:rsidR="00346BD5" w:rsidRPr="00DE4FB9" w:rsidRDefault="00346BD5" w:rsidP="00DE4FB9">
      <w:pPr>
        <w:spacing w:before="60" w:after="60" w:line="360" w:lineRule="auto"/>
        <w:rPr>
          <w:rFonts w:ascii="Arial" w:eastAsia="Arial" w:hAnsi="Arial" w:cs="Arial"/>
          <w:color w:val="000000" w:themeColor="text1"/>
          <w:sz w:val="22"/>
        </w:rPr>
      </w:pPr>
      <w:r w:rsidRPr="00DE4FB9">
        <w:rPr>
          <w:rFonts w:ascii="Arial" w:eastAsia="Arial" w:hAnsi="Arial" w:cs="Arial"/>
          <w:color w:val="000000" w:themeColor="text1"/>
          <w:sz w:val="22"/>
        </w:rPr>
        <w:t>nutrition. Individualised dietary recommendations that respect culture, beliefs, and quality of life are advised by NICE (2026c). A sensible diet limits sugar-sweetened beverages, refined carbs, processed meat, saturated fat, and large portions while emphasising vegetables, pulses, wholegrains, fruit, nuts, oily fish, and high-</w:t>
      </w:r>
      <w:r w:rsidR="00400351" w:rsidRPr="00DE4FB9">
        <w:rPr>
          <w:rFonts w:ascii="Arial" w:eastAsia="Arial" w:hAnsi="Arial" w:cs="Arial"/>
          <w:color w:val="000000" w:themeColor="text1"/>
          <w:sz w:val="22"/>
        </w:rPr>
        <w:t>fibre</w:t>
      </w:r>
      <w:r w:rsidRPr="00DE4FB9">
        <w:rPr>
          <w:rFonts w:ascii="Arial" w:eastAsia="Arial" w:hAnsi="Arial" w:cs="Arial"/>
          <w:color w:val="000000" w:themeColor="text1"/>
          <w:sz w:val="22"/>
        </w:rPr>
        <w:t xml:space="preserve">, lower-glycaemic-index carbohydrates. Although the quantity, kind, and distribution of carbohydrates affect post-meal glucose, they are not forbidden. Rapid glucose surges can be decreased by substituting </w:t>
      </w:r>
      <w:r w:rsidRPr="00DE4FB9">
        <w:rPr>
          <w:rFonts w:ascii="Arial" w:eastAsia="Arial" w:hAnsi="Arial" w:cs="Arial"/>
          <w:color w:val="000000" w:themeColor="text1"/>
          <w:sz w:val="22"/>
        </w:rPr>
        <w:t>fibre</w:t>
      </w:r>
      <w:r w:rsidRPr="00DE4FB9">
        <w:rPr>
          <w:rFonts w:ascii="Arial" w:eastAsia="Arial" w:hAnsi="Arial" w:cs="Arial"/>
          <w:color w:val="000000" w:themeColor="text1"/>
          <w:sz w:val="22"/>
        </w:rPr>
        <w:t xml:space="preserve">-rich foods for refined ones, mixing carbohydrates with protein or </w:t>
      </w:r>
      <w:r w:rsidRPr="00DE4FB9">
        <w:rPr>
          <w:rFonts w:ascii="Arial" w:eastAsia="Arial" w:hAnsi="Arial" w:cs="Arial"/>
          <w:color w:val="000000" w:themeColor="text1"/>
          <w:sz w:val="22"/>
        </w:rPr>
        <w:lastRenderedPageBreak/>
        <w:t>unsaturated fat, and using regular quantities. An agreed-upon caloric deficit can reduce insulin resistance in cases of excess weight. The NHS Type 2 Diabetes Path to Remission Programme may be available to certain individuals with recent type 2 diabetes who are overweight or obese, however low-energy diets necessitate clinician evaluation and medication revision rather than</w:t>
      </w:r>
      <w:r w:rsidRPr="00DE4FB9">
        <w:rPr>
          <w:rFonts w:ascii="Arial" w:eastAsia="Arial" w:hAnsi="Arial" w:cs="Arial"/>
          <w:color w:val="000000" w:themeColor="text1"/>
          <w:sz w:val="22"/>
        </w:rPr>
        <w:t xml:space="preserve"> </w:t>
      </w:r>
      <w:r w:rsidRPr="00DE4FB9">
        <w:rPr>
          <w:rFonts w:ascii="Arial" w:eastAsia="Arial" w:hAnsi="Arial" w:cs="Arial"/>
          <w:color w:val="000000" w:themeColor="text1"/>
          <w:sz w:val="22"/>
        </w:rPr>
        <w:t>unsupervised restriction (NHS England, 2024).</w:t>
      </w:r>
    </w:p>
    <w:p w14:paraId="71E2F683" w14:textId="11A7D1EF" w:rsidR="00346BD5" w:rsidRPr="00DE4FB9" w:rsidRDefault="00346BD5" w:rsidP="00DE4FB9">
      <w:pPr>
        <w:spacing w:before="60" w:after="60" w:line="360" w:lineRule="auto"/>
        <w:rPr>
          <w:rFonts w:ascii="Arial" w:eastAsia="Arial" w:hAnsi="Arial" w:cs="Arial"/>
          <w:color w:val="000000" w:themeColor="text1"/>
          <w:sz w:val="22"/>
        </w:rPr>
      </w:pPr>
      <w:r w:rsidRPr="00DE4FB9">
        <w:rPr>
          <w:rFonts w:ascii="Arial" w:eastAsia="Arial" w:hAnsi="Arial" w:cs="Arial"/>
          <w:color w:val="000000" w:themeColor="text1"/>
          <w:sz w:val="22"/>
        </w:rPr>
        <w:t xml:space="preserve">Physical activity. </w:t>
      </w:r>
      <w:r w:rsidRPr="00DE4FB9">
        <w:rPr>
          <w:rFonts w:ascii="Arial" w:eastAsia="Arial" w:hAnsi="Arial" w:cs="Arial"/>
          <w:color w:val="000000" w:themeColor="text1"/>
          <w:sz w:val="22"/>
        </w:rPr>
        <w:t xml:space="preserve">Adults should gradually reduce prolonged sitting and strive for 150–300 minutes of moderate-intensity aerobic activity per week, or 75–150 minutes of vigorous activity, plus muscle-strengthening activity on at least two days (WHO, 2020). While resistance exercise preserves muscle mass and glucose disposal capacity, brisk walking, cycling, or swimming enhances muscle glucose uptake during activity and therefore improves insulin sensitivity. After meals, an inactive individual could start with ten-minute walks and progressively increase. The nurse should evaluate fall risk, foot issues, and cardiovascular symptoms. Because activity might result in </w:t>
      </w:r>
      <w:r w:rsidRPr="00DE4FB9">
        <w:rPr>
          <w:rFonts w:ascii="Arial" w:eastAsia="Arial" w:hAnsi="Arial" w:cs="Arial"/>
          <w:color w:val="000000" w:themeColor="text1"/>
          <w:sz w:val="22"/>
        </w:rPr>
        <w:t>hypoglycaemia</w:t>
      </w:r>
      <w:r w:rsidRPr="00DE4FB9">
        <w:rPr>
          <w:rFonts w:ascii="Arial" w:eastAsia="Arial" w:hAnsi="Arial" w:cs="Arial"/>
          <w:color w:val="000000" w:themeColor="text1"/>
          <w:sz w:val="22"/>
        </w:rPr>
        <w:t>, patients on insulin or sulfonylureas require assistance on glucose tests, carbohydrate and medication adjustments.</w:t>
      </w:r>
    </w:p>
    <w:p w14:paraId="56571D23" w14:textId="013E1FCD" w:rsidR="00346BD5" w:rsidRPr="00DE4FB9" w:rsidRDefault="00346BD5" w:rsidP="00DE4FB9">
      <w:pPr>
        <w:spacing w:before="60" w:after="60" w:line="360" w:lineRule="auto"/>
        <w:rPr>
          <w:rFonts w:ascii="Arial" w:eastAsia="Arial" w:hAnsi="Arial" w:cs="Arial"/>
          <w:color w:val="000000" w:themeColor="text1"/>
          <w:sz w:val="22"/>
        </w:rPr>
      </w:pPr>
      <w:r w:rsidRPr="00DE4FB9">
        <w:rPr>
          <w:rFonts w:ascii="Arial" w:eastAsia="Arial" w:hAnsi="Arial" w:cs="Arial"/>
          <w:color w:val="000000" w:themeColor="text1"/>
          <w:sz w:val="22"/>
        </w:rPr>
        <w:t>S</w:t>
      </w:r>
      <w:r w:rsidRPr="00DE4FB9">
        <w:rPr>
          <w:rFonts w:ascii="Arial" w:eastAsia="Arial" w:hAnsi="Arial" w:cs="Arial"/>
          <w:color w:val="000000" w:themeColor="text1"/>
          <w:sz w:val="22"/>
        </w:rPr>
        <w:t xml:space="preserve">moking. Smoking exacerbates the already high vascular risk of diabetes by causing endothelial damage, inflammation, and increased cardiovascular risk. Giving up smoking enhances circulation and significantly lowers the risk of heart disease and stroke in the future (NHS, 2026). In addition to assessing dependence and offering a referral to a nearby NHS stop-smoking service, the practice nurse should get consent before discussing smoking and making a clear, tailored suggestion to quit. Unsupported willpower is less effective than behavioural assistance in conjunction with a licensed aid, such as nicotine replacement therapy, varenicline, or </w:t>
      </w:r>
      <w:proofErr w:type="spellStart"/>
      <w:r w:rsidRPr="00DE4FB9">
        <w:rPr>
          <w:rFonts w:ascii="Arial" w:eastAsia="Arial" w:hAnsi="Arial" w:cs="Arial"/>
          <w:color w:val="000000" w:themeColor="text1"/>
          <w:sz w:val="22"/>
        </w:rPr>
        <w:t>cytisinicline</w:t>
      </w:r>
      <w:proofErr w:type="spellEnd"/>
      <w:r w:rsidRPr="00DE4FB9">
        <w:rPr>
          <w:rFonts w:ascii="Arial" w:eastAsia="Arial" w:hAnsi="Arial" w:cs="Arial"/>
          <w:color w:val="000000" w:themeColor="text1"/>
          <w:sz w:val="22"/>
        </w:rPr>
        <w:t xml:space="preserve"> when appropriate; medication selection necessitates an assessment of interactions and contraindications (NICE, 2025).</w:t>
      </w:r>
    </w:p>
    <w:p w14:paraId="4D323D80" w14:textId="77777777" w:rsidR="00FE1FD9" w:rsidRPr="00DE4FB9" w:rsidRDefault="00FE1FD9" w:rsidP="00DE4FB9">
      <w:pPr>
        <w:spacing w:before="60" w:after="60" w:line="360" w:lineRule="auto"/>
        <w:rPr>
          <w:rFonts w:ascii="Arial" w:eastAsia="Arial" w:hAnsi="Arial" w:cs="Arial"/>
          <w:color w:val="000000" w:themeColor="text1"/>
          <w:sz w:val="22"/>
        </w:rPr>
      </w:pPr>
      <w:r w:rsidRPr="00DE4FB9">
        <w:rPr>
          <w:rFonts w:ascii="Arial" w:eastAsia="Arial" w:hAnsi="Arial" w:cs="Arial"/>
          <w:color w:val="000000" w:themeColor="text1"/>
          <w:sz w:val="22"/>
        </w:rPr>
        <w:t>Blood pressure, HbA1c, lipids, renal function, feet, eyes, medication adherence, emotional well-being, and weight or waist measurements should all be part of the follow-up. Goals like substituting sugar-filled beverages, walking five days a week after dinner, and establishing a stop date should be recorded. Evaluating results without passing judgement promotes patient ownership and enables the plan to be modified.</w:t>
      </w:r>
    </w:p>
    <w:p w14:paraId="5510A455" w14:textId="4969AC2D" w:rsidR="00346BD5" w:rsidRPr="00DE4FB9" w:rsidRDefault="00FE1FD9" w:rsidP="00DE4FB9">
      <w:pPr>
        <w:spacing w:before="60" w:after="60" w:line="360" w:lineRule="auto"/>
        <w:rPr>
          <w:rFonts w:ascii="Arial" w:eastAsia="Arial" w:hAnsi="Arial" w:cs="Arial"/>
          <w:color w:val="000000" w:themeColor="text1"/>
          <w:sz w:val="22"/>
        </w:rPr>
      </w:pPr>
      <w:r w:rsidRPr="00DE4FB9">
        <w:rPr>
          <w:rFonts w:ascii="Arial" w:eastAsia="Arial" w:hAnsi="Arial" w:cs="Arial"/>
          <w:color w:val="000000" w:themeColor="text1"/>
          <w:sz w:val="22"/>
        </w:rPr>
        <w:t xml:space="preserve">Because they can interfere with habits, hunger, exercise, and medication adherence, sleep, alcohol, and stress should also be briefly assessed. When using glucose-lowering medications linked to </w:t>
      </w:r>
      <w:r w:rsidR="00400351" w:rsidRPr="00DE4FB9">
        <w:rPr>
          <w:rFonts w:ascii="Arial" w:eastAsia="Arial" w:hAnsi="Arial" w:cs="Arial"/>
          <w:color w:val="000000" w:themeColor="text1"/>
          <w:sz w:val="22"/>
        </w:rPr>
        <w:t>hypoglycaemia</w:t>
      </w:r>
      <w:r w:rsidRPr="00DE4FB9">
        <w:rPr>
          <w:rFonts w:ascii="Arial" w:eastAsia="Arial" w:hAnsi="Arial" w:cs="Arial"/>
          <w:color w:val="000000" w:themeColor="text1"/>
          <w:sz w:val="22"/>
        </w:rPr>
        <w:t xml:space="preserve">, adults should be encouraged to maintain regular sleep, adhere to UK low-risk alcohol guidelines, and refrain from drinking on an empty stomach. Effective lifestyle management includes appropriate assistance or referral because psychological distress and diabetes burnout may decrease self-care. Importantly, weight should not be the only criterion used to evaluate improvement. Even when weight or HbA1c </w:t>
      </w:r>
      <w:r w:rsidRPr="00DE4FB9">
        <w:rPr>
          <w:rFonts w:ascii="Arial" w:eastAsia="Arial" w:hAnsi="Arial" w:cs="Arial"/>
          <w:color w:val="000000" w:themeColor="text1"/>
          <w:sz w:val="22"/>
        </w:rPr>
        <w:lastRenderedPageBreak/>
        <w:t>changes gradually, meaningful outcomes like increased fitness, quitting smoking, better eating habits, lower blood pressure, and a higher quality of life can maintain interest.</w:t>
      </w:r>
    </w:p>
    <w:p w14:paraId="5DFD20F9" w14:textId="77777777" w:rsidR="00346BD5" w:rsidRPr="00346BD5" w:rsidRDefault="00346BD5" w:rsidP="00346BD5">
      <w:pPr>
        <w:spacing w:before="60" w:after="60"/>
        <w:rPr>
          <w:rFonts w:ascii="Arial" w:eastAsia="Arial" w:hAnsi="Arial" w:cs="Arial"/>
          <w:color w:val="000000" w:themeColor="text1"/>
          <w:sz w:val="22"/>
        </w:rPr>
      </w:pPr>
    </w:p>
    <w:p w14:paraId="781D45B7" w14:textId="77777777" w:rsidR="00346BD5" w:rsidRDefault="00346BD5" w:rsidP="00DE477A">
      <w:pPr>
        <w:spacing w:before="60" w:after="60"/>
        <w:rPr>
          <w:rFonts w:ascii="Arial" w:eastAsia="Arial" w:hAnsi="Arial" w:cs="Arial"/>
          <w:color w:val="444444"/>
          <w:sz w:val="20"/>
          <w:szCs w:val="20"/>
        </w:rPr>
      </w:pPr>
    </w:p>
    <w:p w14:paraId="062E52B0" w14:textId="3D6D7D0B" w:rsidR="00DE477A" w:rsidRDefault="00A153DB" w:rsidP="00DE477A">
      <w:pPr>
        <w:spacing w:before="60" w:after="60"/>
        <w:rPr>
          <w:rFonts w:ascii="Arial" w:eastAsiaTheme="majorEastAsia" w:hAnsi="Arial" w:cs="Arial"/>
          <w:b/>
          <w:sz w:val="32"/>
          <w:szCs w:val="32"/>
        </w:rPr>
      </w:pPr>
      <w:r>
        <w:rPr>
          <w:rFonts w:ascii="Arial" w:eastAsiaTheme="majorEastAsia" w:hAnsi="Arial" w:cs="Arial"/>
          <w:b/>
          <w:sz w:val="32"/>
          <w:szCs w:val="32"/>
        </w:rPr>
        <w:t>6. Conclusion</w:t>
      </w:r>
    </w:p>
    <w:p w14:paraId="15F6AE3A" w14:textId="32348945" w:rsidR="00DE477A" w:rsidRDefault="00FE1FD9" w:rsidP="00DE4FB9">
      <w:pPr>
        <w:spacing w:before="60" w:after="60" w:line="360" w:lineRule="auto"/>
        <w:rPr>
          <w:rFonts w:ascii="Arial" w:eastAsiaTheme="majorEastAsia" w:hAnsi="Arial" w:cs="Arial"/>
          <w:bCs/>
          <w:sz w:val="22"/>
        </w:rPr>
      </w:pPr>
      <w:r w:rsidRPr="00FE1FD9">
        <w:rPr>
          <w:rFonts w:ascii="Arial" w:eastAsiaTheme="majorEastAsia" w:hAnsi="Arial" w:cs="Arial"/>
          <w:bCs/>
          <w:sz w:val="22"/>
        </w:rPr>
        <w:t>When insulin resistance and increasing beta-cell dysfunction impede normal glucose homeostasis, type 2 diabetes develops. While glucagon keeps blood glucose levels stable while fasting, insulin often encourages glucose absorption and storage following meals. Oxygen and glucose help cells produce mitochondrial ATP; when glucose stays in the bloodstream instead of being properly managed, it increases the risk of long-term vascular and neurological problems.</w:t>
      </w:r>
      <w:r>
        <w:rPr>
          <w:rFonts w:ascii="Arial" w:eastAsiaTheme="majorEastAsia" w:hAnsi="Arial" w:cs="Arial"/>
          <w:bCs/>
          <w:sz w:val="22"/>
        </w:rPr>
        <w:t xml:space="preserve"> </w:t>
      </w:r>
    </w:p>
    <w:p w14:paraId="0DE7A983" w14:textId="724FDFA6" w:rsidR="00FE1FD9" w:rsidRPr="00FE1FD9" w:rsidRDefault="00FE1FD9" w:rsidP="00DE4FB9">
      <w:pPr>
        <w:spacing w:before="60" w:after="60" w:line="360" w:lineRule="auto"/>
        <w:rPr>
          <w:rFonts w:ascii="Arial" w:eastAsiaTheme="majorEastAsia" w:hAnsi="Arial" w:cs="Arial"/>
          <w:bCs/>
          <w:sz w:val="22"/>
        </w:rPr>
      </w:pPr>
      <w:r w:rsidRPr="00FE1FD9">
        <w:rPr>
          <w:rFonts w:ascii="Arial" w:eastAsiaTheme="majorEastAsia" w:hAnsi="Arial" w:cs="Arial"/>
          <w:bCs/>
          <w:sz w:val="22"/>
        </w:rPr>
        <w:t xml:space="preserve">Therefore, safe management calls for more than a single outcome. As long as patients are aware of what to do, clinically recommended home or continuous monitoring and individualised HbA1c reviews can detect patterns, </w:t>
      </w:r>
      <w:r w:rsidR="00400351" w:rsidRPr="00FE1FD9">
        <w:rPr>
          <w:rFonts w:ascii="Arial" w:eastAsiaTheme="majorEastAsia" w:hAnsi="Arial" w:cs="Arial"/>
          <w:bCs/>
          <w:sz w:val="22"/>
        </w:rPr>
        <w:t>hypoglycaemia</w:t>
      </w:r>
      <w:r w:rsidRPr="00FE1FD9">
        <w:rPr>
          <w:rFonts w:ascii="Arial" w:eastAsiaTheme="majorEastAsia" w:hAnsi="Arial" w:cs="Arial"/>
          <w:bCs/>
          <w:sz w:val="22"/>
        </w:rPr>
        <w:t xml:space="preserve">, and medication requirements. Glycaemic and cardiovascular outcomes can be improved with a culturally appropriate diet, frequent aerobic and resistance exercise, weight management when appropriate, and supported smoking cessation. The practice nurse can assist patients in understanding their illness, taking part in decision-making, and incorporating the treatment plan into daily life through organised education and collaborative </w:t>
      </w:r>
      <w:r w:rsidRPr="00FE1FD9">
        <w:rPr>
          <w:rFonts w:ascii="Arial" w:eastAsiaTheme="majorEastAsia" w:hAnsi="Arial" w:cs="Arial"/>
          <w:bCs/>
          <w:sz w:val="22"/>
        </w:rPr>
        <w:t>goal setting</w:t>
      </w:r>
      <w:r w:rsidRPr="00FE1FD9">
        <w:rPr>
          <w:rFonts w:ascii="Arial" w:eastAsiaTheme="majorEastAsia" w:hAnsi="Arial" w:cs="Arial"/>
          <w:bCs/>
          <w:sz w:val="22"/>
        </w:rPr>
        <w:t>.</w:t>
      </w:r>
    </w:p>
    <w:p w14:paraId="4FF82D41" w14:textId="77777777" w:rsidR="00FE1FD9" w:rsidRPr="00FE1FD9" w:rsidRDefault="00FE1FD9" w:rsidP="00DE4FB9">
      <w:pPr>
        <w:spacing w:before="60" w:after="60" w:line="360" w:lineRule="auto"/>
        <w:rPr>
          <w:rFonts w:ascii="Arial" w:eastAsiaTheme="majorEastAsia" w:hAnsi="Arial" w:cs="Arial"/>
          <w:bCs/>
          <w:sz w:val="22"/>
        </w:rPr>
      </w:pPr>
    </w:p>
    <w:p w14:paraId="4B173646" w14:textId="25EE30BC" w:rsidR="00DE477A" w:rsidRDefault="00400351" w:rsidP="00DE477A">
      <w:pPr>
        <w:spacing w:before="60" w:after="60"/>
        <w:rPr>
          <w:rFonts w:ascii="Arial" w:eastAsiaTheme="majorEastAsia" w:hAnsi="Arial" w:cs="Arial"/>
          <w:b/>
          <w:sz w:val="32"/>
          <w:szCs w:val="32"/>
        </w:rPr>
      </w:pPr>
      <w:r>
        <w:rPr>
          <w:rFonts w:ascii="Arial" w:eastAsiaTheme="majorEastAsia" w:hAnsi="Arial" w:cs="Arial"/>
          <w:b/>
          <w:sz w:val="32"/>
          <w:szCs w:val="32"/>
        </w:rPr>
        <w:t>7</w:t>
      </w:r>
      <w:r w:rsidR="00DE477A">
        <w:rPr>
          <w:rFonts w:ascii="Arial" w:eastAsiaTheme="majorEastAsia" w:hAnsi="Arial" w:cs="Arial"/>
          <w:b/>
          <w:sz w:val="32"/>
          <w:szCs w:val="32"/>
        </w:rPr>
        <w:t>. Reference List</w:t>
      </w:r>
    </w:p>
    <w:p w14:paraId="32F71ACF" w14:textId="77777777" w:rsidR="00DE477A" w:rsidRDefault="00DE477A" w:rsidP="00DE477A">
      <w:pPr>
        <w:spacing w:before="60" w:after="60"/>
      </w:pPr>
    </w:p>
    <w:p w14:paraId="4F9F2AC8"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Diabetes UK (2026a) ‘Type 2 diabetes risk factors’. Available at: https://www.diabetes.org.uk/about-diabetes/type-2-diabetes/diabetes-risk-factors (Accessed: 28 July 2026).</w:t>
      </w:r>
    </w:p>
    <w:p w14:paraId="283920C9" w14:textId="77777777" w:rsidR="00FE1FD9" w:rsidRPr="00FE1FD9" w:rsidRDefault="00FE1FD9" w:rsidP="00FE1FD9">
      <w:pPr>
        <w:spacing w:before="60" w:after="60"/>
        <w:rPr>
          <w:rFonts w:ascii="Arial" w:eastAsia="Arial" w:hAnsi="Arial" w:cs="Arial"/>
          <w:color w:val="1A3F5C"/>
          <w:sz w:val="22"/>
        </w:rPr>
      </w:pPr>
    </w:p>
    <w:p w14:paraId="32AB889A"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Diabetes UK (2026b) ‘Diagnostic criteria for diabetes’. Available at: https://www.diabetes.org.uk/for-professionals/improving-care/clinical-recommendations-for-professionals/diagnosis (Accessed: 28 July 2026).</w:t>
      </w:r>
    </w:p>
    <w:p w14:paraId="79A43DA7" w14:textId="77777777" w:rsidR="00FE1FD9" w:rsidRPr="00FE1FD9" w:rsidRDefault="00FE1FD9" w:rsidP="00FE1FD9">
      <w:pPr>
        <w:spacing w:before="60" w:after="60"/>
        <w:rPr>
          <w:rFonts w:ascii="Arial" w:eastAsia="Arial" w:hAnsi="Arial" w:cs="Arial"/>
          <w:color w:val="1A3F5C"/>
          <w:sz w:val="22"/>
        </w:rPr>
      </w:pPr>
    </w:p>
    <w:p w14:paraId="2CDE3B56"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 xml:space="preserve">Hall, J.E. and Hall, M.E. (2021) Guyton and Hall textbook of medical physiology. 14th </w:t>
      </w:r>
      <w:proofErr w:type="spellStart"/>
      <w:r w:rsidRPr="00FE1FD9">
        <w:rPr>
          <w:rFonts w:ascii="Arial" w:eastAsia="Arial" w:hAnsi="Arial" w:cs="Arial"/>
          <w:color w:val="1A3F5C"/>
          <w:sz w:val="22"/>
        </w:rPr>
        <w:t>edn</w:t>
      </w:r>
      <w:proofErr w:type="spellEnd"/>
      <w:r w:rsidRPr="00FE1FD9">
        <w:rPr>
          <w:rFonts w:ascii="Arial" w:eastAsia="Arial" w:hAnsi="Arial" w:cs="Arial"/>
          <w:color w:val="1A3F5C"/>
          <w:sz w:val="22"/>
        </w:rPr>
        <w:t>. Philadelphia: Elsevier.</w:t>
      </w:r>
    </w:p>
    <w:p w14:paraId="64971BE5" w14:textId="77777777" w:rsidR="00FE1FD9" w:rsidRPr="00FE1FD9" w:rsidRDefault="00FE1FD9" w:rsidP="00FE1FD9">
      <w:pPr>
        <w:spacing w:before="60" w:after="60"/>
        <w:rPr>
          <w:rFonts w:ascii="Arial" w:eastAsia="Arial" w:hAnsi="Arial" w:cs="Arial"/>
          <w:color w:val="1A3F5C"/>
          <w:sz w:val="22"/>
        </w:rPr>
      </w:pPr>
    </w:p>
    <w:p w14:paraId="14160F3D"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NHS (2025) ‘What is type 2 diabetes?’. Available at: https://www.nhs.uk/conditions/type-2-diabetes/what-is-type-2-diabetes/ (Accessed: 28 July 2026).</w:t>
      </w:r>
    </w:p>
    <w:p w14:paraId="2D5351FB" w14:textId="77777777" w:rsidR="00FE1FD9" w:rsidRPr="00FE1FD9" w:rsidRDefault="00FE1FD9" w:rsidP="00FE1FD9">
      <w:pPr>
        <w:spacing w:before="60" w:after="60"/>
        <w:rPr>
          <w:rFonts w:ascii="Arial" w:eastAsia="Arial" w:hAnsi="Arial" w:cs="Arial"/>
          <w:color w:val="1A3F5C"/>
          <w:sz w:val="22"/>
        </w:rPr>
      </w:pPr>
    </w:p>
    <w:p w14:paraId="707CD436"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NHS (2026) ‘Benefits of quitting smoking’. Available at: https://www.nhs.uk/better-health/quit-smoking/why-quit-smoking/benefits-of-quitting-smoking/ (Accessed: 28 July 2026).</w:t>
      </w:r>
    </w:p>
    <w:p w14:paraId="7FE60723" w14:textId="77777777" w:rsidR="00FE1FD9" w:rsidRPr="00FE1FD9" w:rsidRDefault="00FE1FD9" w:rsidP="00FE1FD9">
      <w:pPr>
        <w:spacing w:before="60" w:after="60"/>
        <w:rPr>
          <w:rFonts w:ascii="Arial" w:eastAsia="Arial" w:hAnsi="Arial" w:cs="Arial"/>
          <w:color w:val="1A3F5C"/>
          <w:sz w:val="22"/>
        </w:rPr>
      </w:pPr>
    </w:p>
    <w:p w14:paraId="36ACBCBB"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lastRenderedPageBreak/>
        <w:t>NHS England (2024) ‘NHS Type 2 Diabetes Path to Remission Programme’. Available at: https://www.england.nhs.uk/diabetes/treatment-care/diabetes-remission/ (Accessed: 28 July 2026).</w:t>
      </w:r>
    </w:p>
    <w:p w14:paraId="1BD124E2" w14:textId="77777777" w:rsidR="00FE1FD9" w:rsidRPr="00FE1FD9" w:rsidRDefault="00FE1FD9" w:rsidP="00FE1FD9">
      <w:pPr>
        <w:spacing w:before="60" w:after="60"/>
        <w:rPr>
          <w:rFonts w:ascii="Arial" w:eastAsia="Arial" w:hAnsi="Arial" w:cs="Arial"/>
          <w:color w:val="1A3F5C"/>
          <w:sz w:val="22"/>
        </w:rPr>
      </w:pPr>
    </w:p>
    <w:p w14:paraId="4180A880"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NICE (2025) Tobacco: preventing uptake, promoting quitting and treating dependence. NICE guideline NG209. Available at: https://www.nice.org.uk/guidance/ng209 (Accessed: 28 July 2026).</w:t>
      </w:r>
    </w:p>
    <w:p w14:paraId="7FCD0B64" w14:textId="77777777" w:rsidR="00FE1FD9" w:rsidRPr="00FE1FD9" w:rsidRDefault="00FE1FD9" w:rsidP="00FE1FD9">
      <w:pPr>
        <w:spacing w:before="60" w:after="60"/>
        <w:rPr>
          <w:rFonts w:ascii="Arial" w:eastAsia="Arial" w:hAnsi="Arial" w:cs="Arial"/>
          <w:color w:val="1A3F5C"/>
          <w:sz w:val="22"/>
        </w:rPr>
      </w:pPr>
    </w:p>
    <w:p w14:paraId="783AF3CF"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NICE (2026a) Type 2 diabetes in adults: management. NICE guideline NG28. Available at: https://www.nice.org.uk/guidance/ng28 (Accessed: 28 July 2026).</w:t>
      </w:r>
    </w:p>
    <w:p w14:paraId="08A84F67" w14:textId="77777777" w:rsidR="00FE1FD9" w:rsidRPr="00FE1FD9" w:rsidRDefault="00FE1FD9" w:rsidP="00FE1FD9">
      <w:pPr>
        <w:spacing w:before="60" w:after="60"/>
        <w:rPr>
          <w:rFonts w:ascii="Arial" w:eastAsia="Arial" w:hAnsi="Arial" w:cs="Arial"/>
          <w:color w:val="1A3F5C"/>
          <w:sz w:val="22"/>
        </w:rPr>
      </w:pPr>
    </w:p>
    <w:p w14:paraId="3BFAD7FE"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NICE (2026b) ‘Blood glucose management’, Type 2 diabetes in adults: management. Available at: https://www.nice.org.uk/guidance/ng28/chapter/Blood-glucose-management (Accessed: 28 July 2026).</w:t>
      </w:r>
    </w:p>
    <w:p w14:paraId="213D003F" w14:textId="77777777" w:rsidR="00FE1FD9" w:rsidRPr="00FE1FD9" w:rsidRDefault="00FE1FD9" w:rsidP="00FE1FD9">
      <w:pPr>
        <w:spacing w:before="60" w:after="60"/>
        <w:rPr>
          <w:rFonts w:ascii="Arial" w:eastAsia="Arial" w:hAnsi="Arial" w:cs="Arial"/>
          <w:color w:val="1A3F5C"/>
          <w:sz w:val="22"/>
        </w:rPr>
      </w:pPr>
    </w:p>
    <w:p w14:paraId="3C3F239D"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NICE (2026c) ‘Dietary advice and interventions’, Type 2 diabetes in adults: management. Available at: https://www.nice.org.uk/guidance/ng28/chapter/Dietary-advice-and-interventions (Accessed: 28 July 2026).</w:t>
      </w:r>
    </w:p>
    <w:p w14:paraId="5D4616C0" w14:textId="77777777" w:rsidR="00FE1FD9" w:rsidRPr="00FE1FD9" w:rsidRDefault="00FE1FD9" w:rsidP="00FE1FD9">
      <w:pPr>
        <w:spacing w:before="60" w:after="60"/>
        <w:rPr>
          <w:rFonts w:ascii="Arial" w:eastAsia="Arial" w:hAnsi="Arial" w:cs="Arial"/>
          <w:color w:val="1A3F5C"/>
          <w:sz w:val="22"/>
        </w:rPr>
      </w:pPr>
    </w:p>
    <w:p w14:paraId="64E39FFC" w14:textId="77777777" w:rsidR="00FE1FD9" w:rsidRPr="00FE1FD9" w:rsidRDefault="00FE1FD9" w:rsidP="00FE1FD9">
      <w:pPr>
        <w:spacing w:before="60" w:after="60"/>
        <w:rPr>
          <w:rFonts w:ascii="Arial" w:eastAsia="Arial" w:hAnsi="Arial" w:cs="Arial"/>
          <w:color w:val="1A3F5C"/>
          <w:sz w:val="22"/>
        </w:rPr>
      </w:pPr>
      <w:r w:rsidRPr="00FE1FD9">
        <w:rPr>
          <w:rFonts w:ascii="Arial" w:eastAsia="Arial" w:hAnsi="Arial" w:cs="Arial"/>
          <w:color w:val="1A3F5C"/>
          <w:sz w:val="22"/>
        </w:rPr>
        <w:t>OpenStax (2018) Biology 2e. Houston, TX: OpenStax, Rice University. Available at: https://openstax.org/details/books/biology-2e (Accessed: 28 July 2026).</w:t>
      </w:r>
    </w:p>
    <w:p w14:paraId="0B7D7764" w14:textId="77777777" w:rsidR="00FE1FD9" w:rsidRPr="00FE1FD9" w:rsidRDefault="00FE1FD9" w:rsidP="00FE1FD9">
      <w:pPr>
        <w:spacing w:before="60" w:after="60"/>
        <w:rPr>
          <w:rFonts w:ascii="Arial" w:eastAsia="Arial" w:hAnsi="Arial" w:cs="Arial"/>
          <w:color w:val="1A3F5C"/>
          <w:sz w:val="22"/>
        </w:rPr>
      </w:pPr>
    </w:p>
    <w:p w14:paraId="1908E762" w14:textId="6759FFEE" w:rsidR="00DE477A" w:rsidRPr="00FE1FD9" w:rsidRDefault="00FE1FD9" w:rsidP="00FE1FD9">
      <w:pPr>
        <w:spacing w:before="60" w:after="60"/>
        <w:rPr>
          <w:sz w:val="22"/>
        </w:rPr>
      </w:pPr>
      <w:r w:rsidRPr="00FE1FD9">
        <w:rPr>
          <w:rFonts w:ascii="Arial" w:eastAsia="Arial" w:hAnsi="Arial" w:cs="Arial"/>
          <w:color w:val="1A3F5C"/>
          <w:sz w:val="22"/>
        </w:rPr>
        <w:t>World Health Organization (WHO) (2020) WHO guidelines on physical activity and sedentary behaviour. Geneva: WHO. Available at: https://www.who.int/publications/i/item/9789240015128 (Accessed: 28 July 2026).</w:t>
      </w:r>
    </w:p>
    <w:p w14:paraId="1ABB4A3B" w14:textId="77777777" w:rsidR="00DE477A" w:rsidRPr="00FE1FD9" w:rsidRDefault="00DE477A" w:rsidP="00DE477A">
      <w:pPr>
        <w:spacing w:before="60" w:after="60"/>
        <w:rPr>
          <w:sz w:val="22"/>
        </w:rPr>
      </w:pPr>
    </w:p>
    <w:p w14:paraId="1DFCEF02" w14:textId="77777777" w:rsidR="00DE477A" w:rsidRPr="00FE1FD9" w:rsidRDefault="00DE477A" w:rsidP="00DE477A">
      <w:pPr>
        <w:spacing w:before="60" w:after="60"/>
        <w:rPr>
          <w:sz w:val="22"/>
        </w:rPr>
      </w:pPr>
    </w:p>
    <w:p w14:paraId="1C1B5B6E" w14:textId="02BC4E0B" w:rsidR="001B7A40" w:rsidRPr="00DE477A" w:rsidRDefault="001B7A40" w:rsidP="00FE1FD9">
      <w:pPr>
        <w:spacing w:line="360" w:lineRule="auto"/>
        <w:rPr>
          <w:rFonts w:ascii="Arial" w:hAnsi="Arial" w:cs="Arial"/>
          <w:b/>
          <w:bCs/>
        </w:rPr>
      </w:pPr>
    </w:p>
    <w:sectPr w:rsidR="001B7A40" w:rsidRPr="00DE477A" w:rsidSect="0037028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5F85A" w14:textId="77777777" w:rsidR="00726943" w:rsidRDefault="00726943" w:rsidP="00C03A91">
      <w:pPr>
        <w:spacing w:after="0" w:line="240" w:lineRule="auto"/>
      </w:pPr>
      <w:r>
        <w:separator/>
      </w:r>
    </w:p>
  </w:endnote>
  <w:endnote w:type="continuationSeparator" w:id="0">
    <w:p w14:paraId="6119A36A" w14:textId="77777777" w:rsidR="00726943" w:rsidRDefault="00726943"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72C1D" w14:textId="77777777" w:rsidR="00726943" w:rsidRDefault="00726943" w:rsidP="00C03A91">
      <w:pPr>
        <w:spacing w:after="0" w:line="240" w:lineRule="auto"/>
      </w:pPr>
      <w:r>
        <w:separator/>
      </w:r>
    </w:p>
  </w:footnote>
  <w:footnote w:type="continuationSeparator" w:id="0">
    <w:p w14:paraId="07154F35" w14:textId="77777777" w:rsidR="00726943" w:rsidRDefault="00726943"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6AC0"/>
    <w:rsid w:val="000B17F2"/>
    <w:rsid w:val="000C4EDA"/>
    <w:rsid w:val="001A5D34"/>
    <w:rsid w:val="001B7A40"/>
    <w:rsid w:val="001F6DDB"/>
    <w:rsid w:val="00216C85"/>
    <w:rsid w:val="00273EDD"/>
    <w:rsid w:val="002C3965"/>
    <w:rsid w:val="002D5EDB"/>
    <w:rsid w:val="00321C4C"/>
    <w:rsid w:val="00346BD5"/>
    <w:rsid w:val="00370282"/>
    <w:rsid w:val="003C1846"/>
    <w:rsid w:val="00400351"/>
    <w:rsid w:val="004577F7"/>
    <w:rsid w:val="005247B0"/>
    <w:rsid w:val="00563AF8"/>
    <w:rsid w:val="0057616D"/>
    <w:rsid w:val="005851AD"/>
    <w:rsid w:val="00726943"/>
    <w:rsid w:val="007A7297"/>
    <w:rsid w:val="007C0AEA"/>
    <w:rsid w:val="007E7745"/>
    <w:rsid w:val="008353D4"/>
    <w:rsid w:val="008942A0"/>
    <w:rsid w:val="00940407"/>
    <w:rsid w:val="00986F78"/>
    <w:rsid w:val="00995C46"/>
    <w:rsid w:val="009D1D1E"/>
    <w:rsid w:val="009E7164"/>
    <w:rsid w:val="00A035FD"/>
    <w:rsid w:val="00A153DB"/>
    <w:rsid w:val="00A2033F"/>
    <w:rsid w:val="00A71622"/>
    <w:rsid w:val="00AA4DD8"/>
    <w:rsid w:val="00BF7262"/>
    <w:rsid w:val="00C000AF"/>
    <w:rsid w:val="00C03A91"/>
    <w:rsid w:val="00C85E18"/>
    <w:rsid w:val="00CD2863"/>
    <w:rsid w:val="00CD73C3"/>
    <w:rsid w:val="00CE7A90"/>
    <w:rsid w:val="00D601B5"/>
    <w:rsid w:val="00D73FB0"/>
    <w:rsid w:val="00D870AB"/>
    <w:rsid w:val="00DA2A1E"/>
    <w:rsid w:val="00DB6D4B"/>
    <w:rsid w:val="00DE477A"/>
    <w:rsid w:val="00DE4FB9"/>
    <w:rsid w:val="00E2038D"/>
    <w:rsid w:val="00E6072D"/>
    <w:rsid w:val="00E92200"/>
    <w:rsid w:val="00EB12BC"/>
    <w:rsid w:val="00EC71DB"/>
    <w:rsid w:val="00F137E3"/>
    <w:rsid w:val="00F23281"/>
    <w:rsid w:val="00F44C8F"/>
    <w:rsid w:val="00FD7392"/>
    <w:rsid w:val="00FE1F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4FB9"/>
    <w:pPr>
      <w:keepNext/>
      <w:keepLines/>
      <w:spacing w:before="240" w:after="0" w:line="360" w:lineRule="auto"/>
      <w:outlineLvl w:val="0"/>
    </w:pPr>
    <w:rPr>
      <w:rFonts w:ascii="Arial" w:eastAsiaTheme="majorEastAsia" w:hAnsi="Arial" w:cs="Arial"/>
      <w:bCs/>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FB9"/>
    <w:rPr>
      <w:rFonts w:ascii="Arial" w:eastAsiaTheme="majorEastAsia" w:hAnsi="Arial" w:cs="Arial"/>
      <w:bCs/>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2593</Words>
  <Characters>14784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Hazel Ignacia Rodriguez Torres (2430331)</cp:lastModifiedBy>
  <cp:revision>3</cp:revision>
  <dcterms:created xsi:type="dcterms:W3CDTF">2026-08-03T17:53:00Z</dcterms:created>
  <dcterms:modified xsi:type="dcterms:W3CDTF">2026-08-03T18:01:00Z</dcterms:modified>
</cp:coreProperties>
</file>