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7A16" w:rsidRPr="003730B5" w:rsidRDefault="003730B5" w:rsidP="003730B5">
      <w:pPr>
        <w:spacing w:line="480" w:lineRule="auto"/>
        <w:jc w:val="center"/>
        <w:rPr>
          <w:rFonts w:cstheme="minorHAnsi"/>
          <w:b/>
          <w:u w:val="single"/>
        </w:rPr>
      </w:pPr>
      <w:r>
        <w:rPr>
          <w:b/>
          <w:u w:val="single"/>
        </w:rPr>
        <w:t>Depictions</w:t>
      </w:r>
      <w:r w:rsidRPr="003730B5">
        <w:rPr>
          <w:rFonts w:cstheme="minorHAnsi"/>
          <w:b/>
          <w:u w:val="single"/>
        </w:rPr>
        <w:t xml:space="preserve"> of the </w:t>
      </w:r>
      <w:proofErr w:type="spellStart"/>
      <w:r w:rsidRPr="00176D39">
        <w:rPr>
          <w:rFonts w:cstheme="minorHAnsi"/>
          <w:b/>
          <w:i/>
          <w:u w:val="single"/>
        </w:rPr>
        <w:t>Danse</w:t>
      </w:r>
      <w:proofErr w:type="spellEnd"/>
      <w:r w:rsidRPr="00176D39">
        <w:rPr>
          <w:rFonts w:cstheme="minorHAnsi"/>
          <w:b/>
          <w:i/>
          <w:u w:val="single"/>
        </w:rPr>
        <w:t xml:space="preserve"> Macabre</w:t>
      </w:r>
      <w:r w:rsidRPr="003730B5">
        <w:rPr>
          <w:rFonts w:cstheme="minorHAnsi"/>
          <w:b/>
          <w:u w:val="single"/>
        </w:rPr>
        <w:t xml:space="preserve">: An Exploration of What </w:t>
      </w:r>
      <w:r w:rsidR="00176D39" w:rsidRPr="003730B5">
        <w:rPr>
          <w:rFonts w:cstheme="minorHAnsi"/>
          <w:b/>
          <w:u w:val="single"/>
        </w:rPr>
        <w:t>They</w:t>
      </w:r>
      <w:r w:rsidRPr="003730B5">
        <w:rPr>
          <w:rFonts w:cstheme="minorHAnsi"/>
          <w:b/>
          <w:u w:val="single"/>
        </w:rPr>
        <w:t xml:space="preserve"> Reveal About Late Medieval Attitudes Towards Death</w:t>
      </w:r>
    </w:p>
    <w:p w:rsidR="00176D39" w:rsidRDefault="00176D39" w:rsidP="00886D09">
      <w:pPr>
        <w:spacing w:line="480" w:lineRule="auto"/>
        <w:jc w:val="both"/>
        <w:rPr>
          <w:rFonts w:cstheme="minorHAnsi"/>
        </w:rPr>
      </w:pPr>
    </w:p>
    <w:p w:rsidR="00886D09" w:rsidRDefault="00886D09" w:rsidP="00886D09">
      <w:pPr>
        <w:spacing w:line="480" w:lineRule="auto"/>
        <w:jc w:val="both"/>
        <w:rPr>
          <w:rFonts w:cstheme="minorHAnsi"/>
        </w:rPr>
      </w:pPr>
      <w:bookmarkStart w:id="0" w:name="_Hlk499917888"/>
      <w:r w:rsidRPr="003730B5">
        <w:rPr>
          <w:rFonts w:cstheme="minorHAnsi"/>
        </w:rPr>
        <w:t>‘The establishment of the doctrine of purgatory at the second council of Lyons in 1274 asserted that the prayers of the living could assist the dead’.</w:t>
      </w:r>
      <w:r w:rsidRPr="003730B5">
        <w:rPr>
          <w:rStyle w:val="FootnoteReference"/>
          <w:rFonts w:cstheme="minorHAnsi"/>
        </w:rPr>
        <w:footnoteReference w:id="1"/>
      </w:r>
      <w:r w:rsidRPr="003730B5">
        <w:rPr>
          <w:rFonts w:cstheme="minorHAnsi"/>
        </w:rPr>
        <w:t xml:space="preserve">  The </w:t>
      </w:r>
      <w:proofErr w:type="spellStart"/>
      <w:r w:rsidRPr="00886D09">
        <w:rPr>
          <w:rFonts w:cstheme="minorHAnsi"/>
          <w:i/>
        </w:rPr>
        <w:t>danse</w:t>
      </w:r>
      <w:proofErr w:type="spellEnd"/>
      <w:r w:rsidRPr="00886D09">
        <w:rPr>
          <w:rFonts w:cstheme="minorHAnsi"/>
          <w:i/>
        </w:rPr>
        <w:t xml:space="preserve"> macabre</w:t>
      </w:r>
      <w:r w:rsidRPr="003730B5">
        <w:rPr>
          <w:rFonts w:cstheme="minorHAnsi"/>
        </w:rPr>
        <w:t xml:space="preserve"> took the cultural emphasis put on death </w:t>
      </w:r>
      <w:r w:rsidR="0057770B" w:rsidRPr="003730B5">
        <w:rPr>
          <w:rFonts w:cstheme="minorHAnsi"/>
        </w:rPr>
        <w:t>because of</w:t>
      </w:r>
      <w:r w:rsidRPr="003730B5">
        <w:rPr>
          <w:rFonts w:cstheme="minorHAnsi"/>
        </w:rPr>
        <w:t xml:space="preserve"> a codified doctrine of purgatory a step further than previous motifs.</w:t>
      </w:r>
      <w:r>
        <w:rPr>
          <w:rFonts w:cstheme="minorHAnsi"/>
        </w:rPr>
        <w:t xml:space="preserve"> </w:t>
      </w:r>
      <w:r w:rsidRPr="003730B5">
        <w:rPr>
          <w:rFonts w:cstheme="minorHAnsi"/>
        </w:rPr>
        <w:t xml:space="preserve">Unlike many depictions of the macabre in late medieval aesthetic and literary culture, the intention </w:t>
      </w:r>
      <w:r>
        <w:rPr>
          <w:rFonts w:cstheme="minorHAnsi"/>
        </w:rPr>
        <w:t>o</w:t>
      </w:r>
      <w:r w:rsidRPr="003730B5">
        <w:rPr>
          <w:rFonts w:cstheme="minorHAnsi"/>
        </w:rPr>
        <w:t xml:space="preserve">f the </w:t>
      </w:r>
      <w:proofErr w:type="spellStart"/>
      <w:r w:rsidRPr="00886D09">
        <w:rPr>
          <w:rFonts w:cstheme="minorHAnsi"/>
          <w:i/>
        </w:rPr>
        <w:t>danse</w:t>
      </w:r>
      <w:proofErr w:type="spellEnd"/>
      <w:r w:rsidRPr="00886D09">
        <w:rPr>
          <w:rFonts w:cstheme="minorHAnsi"/>
          <w:i/>
        </w:rPr>
        <w:t xml:space="preserve"> macabre</w:t>
      </w:r>
      <w:r w:rsidRPr="003730B5">
        <w:rPr>
          <w:rFonts w:cstheme="minorHAnsi"/>
        </w:rPr>
        <w:t xml:space="preserve"> may not have been to induce the living to remembering (and therefor praying for) the dead, but to remind the living of the horrors of an ill prepared for demise. Unli</w:t>
      </w:r>
      <w:r>
        <w:rPr>
          <w:rFonts w:cstheme="minorHAnsi"/>
        </w:rPr>
        <w:t>ke, for example, the themes of The Three Living and The Three D</w:t>
      </w:r>
      <w:r w:rsidRPr="003730B5">
        <w:rPr>
          <w:rFonts w:cstheme="minorHAnsi"/>
        </w:rPr>
        <w:t>ead, the corpses may not actually represent the dead so much as death itself. This</w:t>
      </w:r>
      <w:r>
        <w:rPr>
          <w:rFonts w:cstheme="minorHAnsi"/>
        </w:rPr>
        <w:t xml:space="preserve"> essay will explore the notion that the performative elements of the </w:t>
      </w:r>
      <w:proofErr w:type="spellStart"/>
      <w:r>
        <w:rPr>
          <w:rFonts w:cstheme="minorHAnsi"/>
          <w:i/>
        </w:rPr>
        <w:t>danse</w:t>
      </w:r>
      <w:proofErr w:type="spellEnd"/>
      <w:r>
        <w:rPr>
          <w:rFonts w:cstheme="minorHAnsi"/>
          <w:i/>
        </w:rPr>
        <w:t xml:space="preserve"> macabre</w:t>
      </w:r>
      <w:r w:rsidRPr="003730B5">
        <w:rPr>
          <w:rFonts w:cstheme="minorHAnsi"/>
        </w:rPr>
        <w:t xml:space="preserve"> may have be</w:t>
      </w:r>
      <w:r>
        <w:rPr>
          <w:rFonts w:cstheme="minorHAnsi"/>
        </w:rPr>
        <w:t>en used as an engaging incentive</w:t>
      </w:r>
      <w:r w:rsidRPr="003730B5">
        <w:rPr>
          <w:rFonts w:cstheme="minorHAnsi"/>
        </w:rPr>
        <w:t xml:space="preserve"> to prepare for one’s mortality.</w:t>
      </w:r>
    </w:p>
    <w:p w:rsidR="00886D09" w:rsidRDefault="00886D09" w:rsidP="003730B5">
      <w:pPr>
        <w:spacing w:line="480" w:lineRule="auto"/>
        <w:jc w:val="both"/>
        <w:rPr>
          <w:rFonts w:cstheme="minorHAnsi"/>
        </w:rPr>
      </w:pPr>
    </w:p>
    <w:p w:rsidR="003730B5" w:rsidRPr="003730B5" w:rsidRDefault="00176D39" w:rsidP="003730B5">
      <w:pPr>
        <w:spacing w:line="480" w:lineRule="auto"/>
        <w:jc w:val="both"/>
        <w:rPr>
          <w:rFonts w:cstheme="minorHAnsi"/>
        </w:rPr>
      </w:pPr>
      <w:r>
        <w:rPr>
          <w:rFonts w:cstheme="minorHAnsi"/>
        </w:rPr>
        <w:t>The</w:t>
      </w:r>
      <w:r w:rsidR="00867A16" w:rsidRPr="003730B5">
        <w:rPr>
          <w:rFonts w:cstheme="minorHAnsi"/>
        </w:rPr>
        <w:t xml:space="preserve"> focus on </w:t>
      </w:r>
      <w:r>
        <w:rPr>
          <w:rFonts w:cstheme="minorHAnsi"/>
        </w:rPr>
        <w:t xml:space="preserve">the actual moment of death, </w:t>
      </w:r>
      <w:r w:rsidR="00867A16" w:rsidRPr="003730B5">
        <w:rPr>
          <w:rFonts w:cstheme="minorHAnsi"/>
        </w:rPr>
        <w:t>would have been</w:t>
      </w:r>
      <w:r>
        <w:rPr>
          <w:rFonts w:cstheme="minorHAnsi"/>
        </w:rPr>
        <w:t xml:space="preserve"> understandable </w:t>
      </w:r>
      <w:r w:rsidR="00867A16" w:rsidRPr="003730B5">
        <w:rPr>
          <w:rFonts w:cstheme="minorHAnsi"/>
        </w:rPr>
        <w:t>in late medieval society, not only due to an increased experience of death in the aftermath of the black death, but also because they likely would have witnessed the moment of death given t</w:t>
      </w:r>
      <w:r w:rsidR="00886D09">
        <w:rPr>
          <w:rFonts w:cstheme="minorHAnsi"/>
        </w:rPr>
        <w:t>hat the deathbed was a communal,</w:t>
      </w:r>
      <w:r w:rsidR="00867A16" w:rsidRPr="003730B5">
        <w:rPr>
          <w:rFonts w:cstheme="minorHAnsi"/>
        </w:rPr>
        <w:t xml:space="preserve"> household ev</w:t>
      </w:r>
      <w:r w:rsidR="00886D09">
        <w:rPr>
          <w:rFonts w:cstheme="minorHAnsi"/>
        </w:rPr>
        <w:t>e</w:t>
      </w:r>
      <w:r w:rsidR="00867A16" w:rsidRPr="003730B5">
        <w:rPr>
          <w:rFonts w:cstheme="minorHAnsi"/>
        </w:rPr>
        <w:t>nt.</w:t>
      </w:r>
      <w:r>
        <w:rPr>
          <w:rFonts w:cstheme="minorHAnsi"/>
        </w:rPr>
        <w:t xml:space="preserve"> </w:t>
      </w:r>
      <w:r w:rsidR="003730B5" w:rsidRPr="003730B5">
        <w:rPr>
          <w:rFonts w:cstheme="minorHAnsi"/>
        </w:rPr>
        <w:t xml:space="preserve">Sudden death was feared because the lack of preparation was potentially </w:t>
      </w:r>
      <w:r w:rsidRPr="003730B5">
        <w:rPr>
          <w:rFonts w:cstheme="minorHAnsi"/>
        </w:rPr>
        <w:t>injurious</w:t>
      </w:r>
      <w:r w:rsidR="003730B5" w:rsidRPr="003730B5">
        <w:rPr>
          <w:rFonts w:cstheme="minorHAnsi"/>
        </w:rPr>
        <w:t xml:space="preserve"> to </w:t>
      </w:r>
      <w:r w:rsidRPr="003730B5">
        <w:rPr>
          <w:rFonts w:cstheme="minorHAnsi"/>
        </w:rPr>
        <w:t>the</w:t>
      </w:r>
      <w:r w:rsidR="003730B5" w:rsidRPr="003730B5">
        <w:rPr>
          <w:rFonts w:cstheme="minorHAnsi"/>
        </w:rPr>
        <w:t xml:space="preserve"> soul in the afterlife</w:t>
      </w:r>
      <w:r w:rsidR="003730B5" w:rsidRPr="003730B5">
        <w:rPr>
          <w:rStyle w:val="FootnoteReference"/>
          <w:rFonts w:cstheme="minorHAnsi"/>
        </w:rPr>
        <w:footnoteReference w:id="2"/>
      </w:r>
      <w:r w:rsidR="003730B5" w:rsidRPr="003730B5">
        <w:rPr>
          <w:rFonts w:cstheme="minorHAnsi"/>
        </w:rPr>
        <w:t xml:space="preserve"> </w:t>
      </w:r>
      <w:r>
        <w:rPr>
          <w:rFonts w:cstheme="minorHAnsi"/>
        </w:rPr>
        <w:t xml:space="preserve"> The</w:t>
      </w:r>
      <w:r w:rsidR="003730B5" w:rsidRPr="003730B5">
        <w:rPr>
          <w:rFonts w:cstheme="minorHAnsi"/>
        </w:rPr>
        <w:t xml:space="preserve"> death</w:t>
      </w:r>
      <w:r>
        <w:rPr>
          <w:rFonts w:cstheme="minorHAnsi"/>
        </w:rPr>
        <w:t xml:space="preserve"> had become intrinsically linked to the morality of the deceased,</w:t>
      </w:r>
      <w:r w:rsidR="003730B5" w:rsidRPr="003730B5">
        <w:rPr>
          <w:rFonts w:cstheme="minorHAnsi"/>
        </w:rPr>
        <w:t xml:space="preserve"> </w:t>
      </w:r>
      <w:r>
        <w:rPr>
          <w:rFonts w:cstheme="minorHAnsi"/>
        </w:rPr>
        <w:t xml:space="preserve">with the </w:t>
      </w:r>
      <w:r w:rsidRPr="003730B5">
        <w:rPr>
          <w:rFonts w:cstheme="minorHAnsi"/>
        </w:rPr>
        <w:t>foreknowledge</w:t>
      </w:r>
      <w:r>
        <w:rPr>
          <w:rFonts w:cstheme="minorHAnsi"/>
        </w:rPr>
        <w:t xml:space="preserve"> of death being a sought-after virtue and a sudden death being suspect</w:t>
      </w:r>
      <w:r w:rsidR="003730B5" w:rsidRPr="003730B5">
        <w:rPr>
          <w:rFonts w:cstheme="minorHAnsi"/>
        </w:rPr>
        <w:t xml:space="preserve"> and potentially risky for the soul.</w:t>
      </w:r>
      <w:r w:rsidR="003730B5" w:rsidRPr="003730B5">
        <w:rPr>
          <w:rStyle w:val="FootnoteReference"/>
          <w:rFonts w:cstheme="minorHAnsi"/>
        </w:rPr>
        <w:footnoteReference w:id="3"/>
      </w:r>
    </w:p>
    <w:p w:rsidR="00176D39" w:rsidRPr="003730B5" w:rsidRDefault="003730B5" w:rsidP="00176D39">
      <w:pPr>
        <w:spacing w:line="480" w:lineRule="auto"/>
        <w:jc w:val="both"/>
        <w:rPr>
          <w:rFonts w:cstheme="minorHAnsi"/>
        </w:rPr>
      </w:pPr>
      <w:r w:rsidRPr="003730B5">
        <w:rPr>
          <w:rFonts w:cstheme="minorHAnsi"/>
        </w:rPr>
        <w:lastRenderedPageBreak/>
        <w:t xml:space="preserve">The universality of death is obviously a key theme in the </w:t>
      </w:r>
      <w:proofErr w:type="spellStart"/>
      <w:r w:rsidRPr="00176D39">
        <w:rPr>
          <w:rFonts w:cstheme="minorHAnsi"/>
          <w:i/>
        </w:rPr>
        <w:t>danse</w:t>
      </w:r>
      <w:proofErr w:type="spellEnd"/>
      <w:r w:rsidRPr="00176D39">
        <w:rPr>
          <w:rFonts w:cstheme="minorHAnsi"/>
          <w:i/>
        </w:rPr>
        <w:t xml:space="preserve"> macabre</w:t>
      </w:r>
      <w:r w:rsidRPr="003730B5">
        <w:rPr>
          <w:rFonts w:cstheme="minorHAnsi"/>
        </w:rPr>
        <w:t>, a similar message is conveyed in depictions of</w:t>
      </w:r>
      <w:r w:rsidR="00176D39">
        <w:rPr>
          <w:rFonts w:cstheme="minorHAnsi"/>
        </w:rPr>
        <w:t xml:space="preserve"> </w:t>
      </w:r>
      <w:r w:rsidR="00176D39" w:rsidRPr="00574B90">
        <w:rPr>
          <w:rFonts w:cstheme="minorHAnsi"/>
          <w:i/>
        </w:rPr>
        <w:t>The Three Living and The Three D</w:t>
      </w:r>
      <w:r w:rsidRPr="00574B90">
        <w:rPr>
          <w:rFonts w:cstheme="minorHAnsi"/>
          <w:i/>
        </w:rPr>
        <w:t>ead</w:t>
      </w:r>
      <w:r w:rsidRPr="003730B5">
        <w:rPr>
          <w:rStyle w:val="FootnoteReference"/>
          <w:rFonts w:cstheme="minorHAnsi"/>
        </w:rPr>
        <w:footnoteReference w:id="4"/>
      </w:r>
      <w:r w:rsidR="00176D39">
        <w:rPr>
          <w:rFonts w:cstheme="minorHAnsi"/>
        </w:rPr>
        <w:t>,</w:t>
      </w:r>
      <w:r w:rsidRPr="003730B5">
        <w:rPr>
          <w:rFonts w:cstheme="minorHAnsi"/>
        </w:rPr>
        <w:t xml:space="preserve"> </w:t>
      </w:r>
      <w:r w:rsidR="00176D39">
        <w:rPr>
          <w:rFonts w:cstheme="minorHAnsi"/>
        </w:rPr>
        <w:t>however, t</w:t>
      </w:r>
      <w:r w:rsidRPr="003730B5">
        <w:rPr>
          <w:rFonts w:cstheme="minorHAnsi"/>
        </w:rPr>
        <w:t xml:space="preserve">he dance of the dead, although substantially less subdued in terms of imagery, has more in </w:t>
      </w:r>
      <w:r w:rsidR="00886D09">
        <w:rPr>
          <w:rFonts w:cstheme="minorHAnsi"/>
        </w:rPr>
        <w:t xml:space="preserve">common with the message of the </w:t>
      </w:r>
      <w:r w:rsidR="00886D09" w:rsidRPr="00886D09">
        <w:rPr>
          <w:rFonts w:cstheme="minorHAnsi"/>
          <w:i/>
        </w:rPr>
        <w:t xml:space="preserve">Ars </w:t>
      </w:r>
      <w:proofErr w:type="spellStart"/>
      <w:r w:rsidR="00886D09" w:rsidRPr="00886D09">
        <w:rPr>
          <w:rFonts w:cstheme="minorHAnsi"/>
          <w:i/>
        </w:rPr>
        <w:t>M</w:t>
      </w:r>
      <w:r w:rsidRPr="00886D09">
        <w:rPr>
          <w:rFonts w:cstheme="minorHAnsi"/>
          <w:i/>
        </w:rPr>
        <w:t>oriendi</w:t>
      </w:r>
      <w:proofErr w:type="spellEnd"/>
      <w:r w:rsidR="00176D39">
        <w:rPr>
          <w:rFonts w:cstheme="minorHAnsi"/>
        </w:rPr>
        <w:t xml:space="preserve"> than the visually similar </w:t>
      </w:r>
      <w:r w:rsidR="00176D39" w:rsidRPr="0057770B">
        <w:rPr>
          <w:rFonts w:cstheme="minorHAnsi"/>
          <w:i/>
        </w:rPr>
        <w:t>Three Living and the Three D</w:t>
      </w:r>
      <w:r w:rsidRPr="0057770B">
        <w:rPr>
          <w:rFonts w:cstheme="minorHAnsi"/>
          <w:i/>
        </w:rPr>
        <w:t>ead</w:t>
      </w:r>
      <w:r w:rsidRPr="003730B5">
        <w:rPr>
          <w:rFonts w:cstheme="minorHAnsi"/>
        </w:rPr>
        <w:t xml:space="preserve">. </w:t>
      </w:r>
      <w:r w:rsidR="00176D39" w:rsidRPr="003730B5">
        <w:rPr>
          <w:rFonts w:cstheme="minorHAnsi"/>
        </w:rPr>
        <w:t>The</w:t>
      </w:r>
      <w:r w:rsidR="00176D39">
        <w:rPr>
          <w:rFonts w:cstheme="minorHAnsi"/>
        </w:rPr>
        <w:t>y both represented the</w:t>
      </w:r>
      <w:r w:rsidR="00176D39" w:rsidRPr="003730B5">
        <w:rPr>
          <w:rFonts w:cstheme="minorHAnsi"/>
        </w:rPr>
        <w:t xml:space="preserve"> idea that death, and therefore the devil, is attempting to trick or trap the living into death is used in both to highlight the necessity of being prepared for death as one lives.</w:t>
      </w:r>
      <w:r w:rsidR="00176D39" w:rsidRPr="003730B5">
        <w:rPr>
          <w:rStyle w:val="FootnoteReference"/>
          <w:rFonts w:cstheme="minorHAnsi"/>
        </w:rPr>
        <w:footnoteReference w:id="5"/>
      </w:r>
      <w:r w:rsidR="00176D39" w:rsidRPr="003730B5">
        <w:rPr>
          <w:rFonts w:cstheme="minorHAnsi"/>
        </w:rPr>
        <w:t xml:space="preserve"> </w:t>
      </w:r>
      <w:r w:rsidR="00176D39">
        <w:rPr>
          <w:rFonts w:cstheme="minorHAnsi"/>
        </w:rPr>
        <w:t xml:space="preserve"> This notion is evidenced in the inclusion of the</w:t>
      </w:r>
      <w:r w:rsidR="00176D39" w:rsidRPr="00176D39">
        <w:rPr>
          <w:rFonts w:cstheme="minorHAnsi"/>
        </w:rPr>
        <w:t xml:space="preserve"> </w:t>
      </w:r>
      <w:proofErr w:type="spellStart"/>
      <w:r w:rsidR="00176D39" w:rsidRPr="00176D39">
        <w:rPr>
          <w:rFonts w:cstheme="minorHAnsi"/>
          <w:i/>
        </w:rPr>
        <w:t>danse</w:t>
      </w:r>
      <w:proofErr w:type="spellEnd"/>
      <w:r w:rsidR="00176D39" w:rsidRPr="00176D39">
        <w:rPr>
          <w:rFonts w:cstheme="minorHAnsi"/>
          <w:i/>
        </w:rPr>
        <w:t xml:space="preserve"> macabre</w:t>
      </w:r>
      <w:r w:rsidR="00176D39" w:rsidRPr="003730B5">
        <w:rPr>
          <w:rFonts w:cstheme="minorHAnsi"/>
        </w:rPr>
        <w:t xml:space="preserve"> in printed</w:t>
      </w:r>
      <w:r w:rsidR="00176D39">
        <w:rPr>
          <w:rFonts w:cstheme="minorHAnsi"/>
        </w:rPr>
        <w:t xml:space="preserve"> editions of the </w:t>
      </w:r>
      <w:r w:rsidR="00176D39" w:rsidRPr="00574B90">
        <w:rPr>
          <w:rFonts w:cstheme="minorHAnsi"/>
          <w:i/>
        </w:rPr>
        <w:t xml:space="preserve">Ars </w:t>
      </w:r>
      <w:proofErr w:type="spellStart"/>
      <w:r w:rsidR="00176D39" w:rsidRPr="00574B90">
        <w:rPr>
          <w:rFonts w:cstheme="minorHAnsi"/>
          <w:i/>
        </w:rPr>
        <w:t>Moriendi</w:t>
      </w:r>
      <w:proofErr w:type="spellEnd"/>
      <w:r w:rsidR="00176D39">
        <w:rPr>
          <w:rFonts w:cstheme="minorHAnsi"/>
        </w:rPr>
        <w:t>.</w:t>
      </w:r>
      <w:r w:rsidR="00176D39" w:rsidRPr="003730B5">
        <w:rPr>
          <w:rStyle w:val="FootnoteReference"/>
          <w:rFonts w:cstheme="minorHAnsi"/>
        </w:rPr>
        <w:footnoteReference w:id="6"/>
      </w:r>
      <w:r w:rsidR="00176D39" w:rsidRPr="003730B5">
        <w:rPr>
          <w:rFonts w:cstheme="minorHAnsi"/>
        </w:rPr>
        <w:t xml:space="preserve"> </w:t>
      </w:r>
    </w:p>
    <w:p w:rsidR="003730B5" w:rsidRPr="003730B5" w:rsidRDefault="003730B5" w:rsidP="003730B5">
      <w:pPr>
        <w:spacing w:line="480" w:lineRule="auto"/>
        <w:jc w:val="both"/>
        <w:rPr>
          <w:rFonts w:cstheme="minorHAnsi"/>
        </w:rPr>
      </w:pPr>
    </w:p>
    <w:p w:rsidR="008C5995" w:rsidRDefault="008C5995" w:rsidP="003730B5">
      <w:pPr>
        <w:spacing w:line="480" w:lineRule="auto"/>
        <w:jc w:val="both"/>
        <w:rPr>
          <w:rFonts w:cstheme="minorHAnsi"/>
        </w:rPr>
      </w:pPr>
    </w:p>
    <w:p w:rsidR="009C7308" w:rsidRDefault="00574B90" w:rsidP="009C7308">
      <w:pPr>
        <w:spacing w:line="480" w:lineRule="auto"/>
        <w:jc w:val="both"/>
        <w:rPr>
          <w:rFonts w:cstheme="minorHAnsi"/>
        </w:rPr>
      </w:pPr>
      <w:r>
        <w:rPr>
          <w:rFonts w:cstheme="minorHAnsi"/>
        </w:rPr>
        <w:t>It has been suggested that t</w:t>
      </w:r>
      <w:r w:rsidRPr="003730B5">
        <w:rPr>
          <w:rFonts w:cstheme="minorHAnsi"/>
        </w:rPr>
        <w:t>he dance of death grew out of a dramatic preaching tradition</w:t>
      </w:r>
      <w:r w:rsidRPr="003730B5">
        <w:rPr>
          <w:rStyle w:val="FootnoteReference"/>
          <w:rFonts w:cstheme="minorHAnsi"/>
        </w:rPr>
        <w:footnoteReference w:id="7"/>
      </w:r>
      <w:r w:rsidR="0057770B">
        <w:rPr>
          <w:rFonts w:cstheme="minorHAnsi"/>
        </w:rPr>
        <w:t xml:space="preserve">. </w:t>
      </w:r>
      <w:r w:rsidR="009C7308" w:rsidRPr="003730B5">
        <w:rPr>
          <w:rFonts w:cstheme="minorHAnsi"/>
        </w:rPr>
        <w:t xml:space="preserve">The dramatic nature of the </w:t>
      </w:r>
      <w:proofErr w:type="spellStart"/>
      <w:r w:rsidR="009C7308" w:rsidRPr="009C7308">
        <w:rPr>
          <w:rFonts w:cstheme="minorHAnsi"/>
          <w:i/>
        </w:rPr>
        <w:t>danse</w:t>
      </w:r>
      <w:proofErr w:type="spellEnd"/>
      <w:r w:rsidR="009C7308" w:rsidRPr="009C7308">
        <w:rPr>
          <w:rFonts w:cstheme="minorHAnsi"/>
          <w:i/>
        </w:rPr>
        <w:t xml:space="preserve"> macabre</w:t>
      </w:r>
      <w:r w:rsidR="009C7308" w:rsidRPr="003730B5">
        <w:rPr>
          <w:rFonts w:cstheme="minorHAnsi"/>
        </w:rPr>
        <w:t xml:space="preserve"> could indicate two things. It could support the idea that death and decay was merely a fashionable subject in the popular arts of the period, or, it could indicate that theatre was more than mere entertainment but </w:t>
      </w:r>
      <w:r w:rsidR="0057770B" w:rsidRPr="003730B5">
        <w:rPr>
          <w:rFonts w:cstheme="minorHAnsi"/>
        </w:rPr>
        <w:t>an</w:t>
      </w:r>
      <w:r w:rsidR="009C7308">
        <w:rPr>
          <w:rFonts w:cstheme="minorHAnsi"/>
        </w:rPr>
        <w:t xml:space="preserve"> active tool in a </w:t>
      </w:r>
      <w:r w:rsidR="0057770B">
        <w:rPr>
          <w:rFonts w:cstheme="minorHAnsi"/>
        </w:rPr>
        <w:t>predominan</w:t>
      </w:r>
      <w:r w:rsidR="0057770B" w:rsidRPr="003730B5">
        <w:rPr>
          <w:rFonts w:cstheme="minorHAnsi"/>
        </w:rPr>
        <w:t>tly</w:t>
      </w:r>
      <w:r w:rsidR="0057770B">
        <w:rPr>
          <w:rFonts w:cstheme="minorHAnsi"/>
        </w:rPr>
        <w:t xml:space="preserve"> illiterate culture</w:t>
      </w:r>
      <w:r w:rsidR="009C7308" w:rsidRPr="003730B5">
        <w:rPr>
          <w:rStyle w:val="FootnoteReference"/>
          <w:rFonts w:cstheme="minorHAnsi"/>
        </w:rPr>
        <w:footnoteReference w:id="8"/>
      </w:r>
      <w:r w:rsidR="0057770B">
        <w:rPr>
          <w:rFonts w:cstheme="minorHAnsi"/>
        </w:rPr>
        <w:t xml:space="preserve">. It has been </w:t>
      </w:r>
      <w:r w:rsidR="009C7308">
        <w:rPr>
          <w:rFonts w:cstheme="minorHAnsi"/>
        </w:rPr>
        <w:t xml:space="preserve">suggested that </w:t>
      </w:r>
      <w:r w:rsidR="009C7308" w:rsidRPr="003730B5">
        <w:rPr>
          <w:rFonts w:cstheme="minorHAnsi"/>
        </w:rPr>
        <w:t xml:space="preserve">‘Through religious drama, the invisible truths of medieval religion had been illuminated for the greater benefit of the </w:t>
      </w:r>
      <w:r w:rsidR="0057770B" w:rsidRPr="003730B5">
        <w:rPr>
          <w:rFonts w:cstheme="minorHAnsi"/>
        </w:rPr>
        <w:t>Christian</w:t>
      </w:r>
      <w:r w:rsidR="009C7308" w:rsidRPr="003730B5">
        <w:rPr>
          <w:rFonts w:cstheme="minorHAnsi"/>
        </w:rPr>
        <w:t xml:space="preserve"> soul’</w:t>
      </w:r>
      <w:r w:rsidR="0057770B">
        <w:rPr>
          <w:rFonts w:cstheme="minorHAnsi"/>
        </w:rPr>
        <w:t>.</w:t>
      </w:r>
      <w:r w:rsidR="009C7308" w:rsidRPr="003730B5">
        <w:rPr>
          <w:rStyle w:val="FootnoteReference"/>
          <w:rFonts w:cstheme="minorHAnsi"/>
        </w:rPr>
        <w:footnoteReference w:id="9"/>
      </w:r>
      <w:r w:rsidR="0057770B">
        <w:rPr>
          <w:rFonts w:cstheme="minorHAnsi"/>
        </w:rPr>
        <w:t xml:space="preserve"> </w:t>
      </w:r>
    </w:p>
    <w:p w:rsidR="009C7308" w:rsidRPr="003730B5" w:rsidRDefault="009C7308" w:rsidP="009C7308">
      <w:pPr>
        <w:spacing w:line="480" w:lineRule="auto"/>
        <w:jc w:val="both"/>
        <w:rPr>
          <w:rFonts w:cstheme="minorHAnsi"/>
        </w:rPr>
      </w:pPr>
    </w:p>
    <w:p w:rsidR="00574B90" w:rsidRDefault="009C7308" w:rsidP="00574B90">
      <w:pPr>
        <w:spacing w:line="480" w:lineRule="auto"/>
        <w:jc w:val="both"/>
        <w:rPr>
          <w:rFonts w:cstheme="minorHAnsi"/>
        </w:rPr>
      </w:pPr>
      <w:r>
        <w:rPr>
          <w:rFonts w:cstheme="minorHAnsi"/>
        </w:rPr>
        <w:t xml:space="preserve">Some have argued that the use of the </w:t>
      </w:r>
      <w:proofErr w:type="spellStart"/>
      <w:r>
        <w:rPr>
          <w:rFonts w:cstheme="minorHAnsi"/>
          <w:i/>
        </w:rPr>
        <w:t>danse</w:t>
      </w:r>
      <w:proofErr w:type="spellEnd"/>
      <w:r>
        <w:rPr>
          <w:rFonts w:cstheme="minorHAnsi"/>
          <w:i/>
        </w:rPr>
        <w:t xml:space="preserve"> macabre </w:t>
      </w:r>
      <w:r>
        <w:rPr>
          <w:rFonts w:cstheme="minorHAnsi"/>
        </w:rPr>
        <w:t>a</w:t>
      </w:r>
      <w:r w:rsidR="0057770B">
        <w:rPr>
          <w:rFonts w:cstheme="minorHAnsi"/>
        </w:rPr>
        <w:t xml:space="preserve">s a tool in teaching indicated </w:t>
      </w:r>
      <w:r>
        <w:rPr>
          <w:rFonts w:cstheme="minorHAnsi"/>
        </w:rPr>
        <w:t xml:space="preserve"> the </w:t>
      </w:r>
      <w:r w:rsidR="0057770B">
        <w:rPr>
          <w:rFonts w:cstheme="minorHAnsi"/>
        </w:rPr>
        <w:t>ascendancy</w:t>
      </w:r>
      <w:r>
        <w:rPr>
          <w:rFonts w:cstheme="minorHAnsi"/>
        </w:rPr>
        <w:t xml:space="preserve"> of a performative liturgy as a </w:t>
      </w:r>
      <w:r w:rsidR="0057770B">
        <w:rPr>
          <w:rFonts w:cstheme="minorHAnsi"/>
        </w:rPr>
        <w:t>preaching aid:</w:t>
      </w:r>
      <w:r w:rsidR="00574B90" w:rsidRPr="003730B5">
        <w:rPr>
          <w:rFonts w:cstheme="minorHAnsi"/>
        </w:rPr>
        <w:t xml:space="preserve"> ‘These performative traits, as we will see, transform into </w:t>
      </w:r>
      <w:r w:rsidR="00574B90" w:rsidRPr="003730B5">
        <w:rPr>
          <w:rFonts w:cstheme="minorHAnsi"/>
        </w:rPr>
        <w:lastRenderedPageBreak/>
        <w:t xml:space="preserve">cues for the enactment of the dance of death, which allowed the message of the dance to be internalised and transformed into a rehearsed and therefore memorable lesson’ </w:t>
      </w:r>
      <w:r>
        <w:rPr>
          <w:rFonts w:cstheme="minorHAnsi"/>
        </w:rPr>
        <w:t>.</w:t>
      </w:r>
      <w:r w:rsidR="00574B90" w:rsidRPr="003730B5">
        <w:rPr>
          <w:rStyle w:val="FootnoteReference"/>
          <w:rFonts w:cstheme="minorHAnsi"/>
        </w:rPr>
        <w:footnoteReference w:id="10"/>
      </w:r>
      <w:r>
        <w:rPr>
          <w:rFonts w:cstheme="minorHAnsi"/>
        </w:rPr>
        <w:t xml:space="preserve"> However the rise in the popularity of performance and pageantry becoming a part of the preaching tradition can as easily be attributed to the necessity of entertainment as a foundational attribute in the success of the preachers, who were often itinerant wanderers whose livelihood could well have depended on their popularity.</w:t>
      </w:r>
    </w:p>
    <w:p w:rsidR="0057770B" w:rsidRPr="003730B5" w:rsidRDefault="0057770B" w:rsidP="00574B90">
      <w:pPr>
        <w:spacing w:line="480" w:lineRule="auto"/>
        <w:jc w:val="both"/>
        <w:rPr>
          <w:rFonts w:cstheme="minorHAnsi"/>
        </w:rPr>
      </w:pPr>
    </w:p>
    <w:p w:rsidR="0057770B" w:rsidRDefault="0057770B" w:rsidP="0057770B">
      <w:pPr>
        <w:spacing w:line="480" w:lineRule="auto"/>
        <w:jc w:val="both"/>
        <w:rPr>
          <w:rFonts w:cstheme="minorHAnsi"/>
        </w:rPr>
      </w:pPr>
      <w:r w:rsidRPr="003730B5">
        <w:rPr>
          <w:rFonts w:cstheme="minorHAnsi"/>
        </w:rPr>
        <w:t>The dance shows a cross sections of society, demonstrating the foundational belief that everyone regardless of position must die.</w:t>
      </w:r>
      <w:r w:rsidRPr="003730B5">
        <w:rPr>
          <w:rStyle w:val="FootnoteReference"/>
          <w:rFonts w:cstheme="minorHAnsi"/>
        </w:rPr>
        <w:footnoteReference w:id="11"/>
      </w:r>
      <w:r w:rsidRPr="003730B5">
        <w:rPr>
          <w:rFonts w:cstheme="minorHAnsi"/>
        </w:rPr>
        <w:t xml:space="preserve"> Living </w:t>
      </w:r>
      <w:r w:rsidR="00E53FD3">
        <w:rPr>
          <w:rFonts w:cstheme="minorHAnsi"/>
        </w:rPr>
        <w:t>subjects are mocked by the dead (or</w:t>
      </w:r>
      <w:r w:rsidRPr="003730B5">
        <w:rPr>
          <w:rFonts w:cstheme="minorHAnsi"/>
        </w:rPr>
        <w:t xml:space="preserve"> a personified death</w:t>
      </w:r>
      <w:r w:rsidR="00E53FD3">
        <w:rPr>
          <w:rFonts w:cstheme="minorHAnsi"/>
        </w:rPr>
        <w:t>)</w:t>
      </w:r>
      <w:r w:rsidRPr="003730B5">
        <w:rPr>
          <w:rFonts w:cstheme="minorHAnsi"/>
        </w:rPr>
        <w:t xml:space="preserve"> for their vices and manners</w:t>
      </w:r>
      <w:r w:rsidRPr="003730B5">
        <w:rPr>
          <w:rStyle w:val="FootnoteReference"/>
          <w:rFonts w:cstheme="minorHAnsi"/>
        </w:rPr>
        <w:footnoteReference w:id="12"/>
      </w:r>
      <w:r w:rsidRPr="003730B5">
        <w:rPr>
          <w:rFonts w:cstheme="minorHAnsi"/>
        </w:rPr>
        <w:t xml:space="preserve"> The </w:t>
      </w:r>
      <w:r w:rsidR="00E53FD3" w:rsidRPr="003730B5">
        <w:rPr>
          <w:rFonts w:cstheme="minorHAnsi"/>
        </w:rPr>
        <w:t>characters</w:t>
      </w:r>
      <w:r w:rsidRPr="003730B5">
        <w:rPr>
          <w:rFonts w:cstheme="minorHAnsi"/>
        </w:rPr>
        <w:t xml:space="preserve"> regret their greed and excesses. The character of the preacher that was included in some depictions of </w:t>
      </w:r>
      <w:r w:rsidRPr="00E53FD3">
        <w:rPr>
          <w:rFonts w:cstheme="minorHAnsi"/>
          <w:i/>
        </w:rPr>
        <w:t xml:space="preserve">the </w:t>
      </w:r>
      <w:proofErr w:type="spellStart"/>
      <w:r w:rsidRPr="00E53FD3">
        <w:rPr>
          <w:rFonts w:cstheme="minorHAnsi"/>
          <w:i/>
        </w:rPr>
        <w:t>danse</w:t>
      </w:r>
      <w:proofErr w:type="spellEnd"/>
      <w:r w:rsidRPr="00E53FD3">
        <w:rPr>
          <w:rFonts w:cstheme="minorHAnsi"/>
          <w:i/>
        </w:rPr>
        <w:t xml:space="preserve"> macabre</w:t>
      </w:r>
      <w:r w:rsidRPr="003730B5">
        <w:rPr>
          <w:rFonts w:cstheme="minorHAnsi"/>
        </w:rPr>
        <w:t xml:space="preserve"> could offer a hint as to how the image</w:t>
      </w:r>
      <w:r w:rsidR="00E53FD3">
        <w:rPr>
          <w:rFonts w:cstheme="minorHAnsi"/>
        </w:rPr>
        <w:t>s were intended to be received a</w:t>
      </w:r>
      <w:r w:rsidRPr="003730B5">
        <w:rPr>
          <w:rFonts w:cstheme="minorHAnsi"/>
        </w:rPr>
        <w:t>nd utilised. While they</w:t>
      </w:r>
      <w:r w:rsidR="00E53FD3">
        <w:rPr>
          <w:rFonts w:cstheme="minorHAnsi"/>
        </w:rPr>
        <w:t xml:space="preserve"> can appear fun and festive on </w:t>
      </w:r>
      <w:r w:rsidRPr="003730B5">
        <w:rPr>
          <w:rFonts w:cstheme="minorHAnsi"/>
        </w:rPr>
        <w:t xml:space="preserve">the surface, the facial expressions and gestures employed by the preacher attempts to remind the </w:t>
      </w:r>
      <w:r w:rsidR="00E53FD3" w:rsidRPr="003730B5">
        <w:rPr>
          <w:rFonts w:cstheme="minorHAnsi"/>
        </w:rPr>
        <w:t>populace</w:t>
      </w:r>
      <w:r w:rsidRPr="003730B5">
        <w:rPr>
          <w:rFonts w:cstheme="minorHAnsi"/>
        </w:rPr>
        <w:t xml:space="preserve"> of their own mor</w:t>
      </w:r>
      <w:r w:rsidR="00E53FD3">
        <w:rPr>
          <w:rFonts w:cstheme="minorHAnsi"/>
        </w:rPr>
        <w:t>tality as they are juxtaposed</w:t>
      </w:r>
      <w:r w:rsidRPr="003730B5">
        <w:rPr>
          <w:rFonts w:cstheme="minorHAnsi"/>
        </w:rPr>
        <w:t xml:space="preserve"> with the frenzied jeering of the corpse figures.</w:t>
      </w:r>
      <w:r w:rsidRPr="003730B5">
        <w:rPr>
          <w:rStyle w:val="FootnoteReference"/>
          <w:rFonts w:cstheme="minorHAnsi"/>
        </w:rPr>
        <w:footnoteReference w:id="13"/>
      </w:r>
      <w:r w:rsidRPr="003730B5">
        <w:rPr>
          <w:rFonts w:cstheme="minorHAnsi"/>
        </w:rPr>
        <w:t xml:space="preserve"> </w:t>
      </w:r>
    </w:p>
    <w:p w:rsidR="00BF4B41" w:rsidRDefault="00BF4B41" w:rsidP="00BF4B41">
      <w:pPr>
        <w:spacing w:line="480" w:lineRule="auto"/>
        <w:jc w:val="both"/>
        <w:rPr>
          <w:rFonts w:cstheme="minorHAnsi"/>
        </w:rPr>
      </w:pPr>
    </w:p>
    <w:p w:rsidR="003B2068" w:rsidRDefault="003B2068" w:rsidP="003730B5">
      <w:pPr>
        <w:spacing w:line="480" w:lineRule="auto"/>
        <w:jc w:val="both"/>
        <w:rPr>
          <w:rFonts w:cstheme="minorHAnsi"/>
        </w:rPr>
      </w:pPr>
    </w:p>
    <w:p w:rsidR="00AB72EC" w:rsidRDefault="00AB72EC" w:rsidP="003730B5">
      <w:pPr>
        <w:spacing w:line="480" w:lineRule="auto"/>
        <w:jc w:val="both"/>
        <w:rPr>
          <w:rFonts w:cstheme="minorHAnsi"/>
        </w:rPr>
      </w:pPr>
    </w:p>
    <w:p w:rsidR="0057770B" w:rsidRDefault="00AB72EC" w:rsidP="0057770B">
      <w:pPr>
        <w:spacing w:line="480" w:lineRule="auto"/>
        <w:jc w:val="both"/>
        <w:rPr>
          <w:rFonts w:cstheme="minorHAnsi"/>
        </w:rPr>
      </w:pPr>
      <w:r w:rsidRPr="003730B5">
        <w:rPr>
          <w:rFonts w:cstheme="minorHAnsi"/>
        </w:rPr>
        <w:lastRenderedPageBreak/>
        <w:t xml:space="preserve">A key element of the drama of the </w:t>
      </w:r>
      <w:proofErr w:type="spellStart"/>
      <w:r w:rsidRPr="00E53FD3">
        <w:rPr>
          <w:rFonts w:cstheme="minorHAnsi"/>
          <w:i/>
        </w:rPr>
        <w:t>danse</w:t>
      </w:r>
      <w:proofErr w:type="spellEnd"/>
      <w:r w:rsidRPr="00E53FD3">
        <w:rPr>
          <w:rFonts w:cstheme="minorHAnsi"/>
          <w:i/>
        </w:rPr>
        <w:t xml:space="preserve"> macabre</w:t>
      </w:r>
      <w:r w:rsidRPr="003730B5">
        <w:rPr>
          <w:rFonts w:cstheme="minorHAnsi"/>
        </w:rPr>
        <w:t xml:space="preserve">, and indeed what gives it a characteristic distinct from other depictions of </w:t>
      </w:r>
      <w:r w:rsidR="00E53FD3" w:rsidRPr="003730B5">
        <w:rPr>
          <w:rFonts w:cstheme="minorHAnsi"/>
        </w:rPr>
        <w:t>corpses</w:t>
      </w:r>
      <w:r w:rsidRPr="003730B5">
        <w:rPr>
          <w:rFonts w:cstheme="minorHAnsi"/>
        </w:rPr>
        <w:t xml:space="preserve"> in late medieval imagery, is the personification of death.</w:t>
      </w:r>
      <w:r w:rsidRPr="003730B5">
        <w:rPr>
          <w:rStyle w:val="FootnoteReference"/>
          <w:rFonts w:cstheme="minorHAnsi"/>
        </w:rPr>
        <w:footnoteReference w:id="14"/>
      </w:r>
      <w:r w:rsidRPr="003730B5">
        <w:rPr>
          <w:rFonts w:cstheme="minorHAnsi"/>
        </w:rPr>
        <w:t xml:space="preserve"> After the popularity of the dance of death</w:t>
      </w:r>
      <w:r w:rsidR="00E53FD3">
        <w:rPr>
          <w:rFonts w:cstheme="minorHAnsi"/>
        </w:rPr>
        <w:t>,</w:t>
      </w:r>
      <w:r w:rsidRPr="003730B5">
        <w:rPr>
          <w:rFonts w:cstheme="minorHAnsi"/>
        </w:rPr>
        <w:t xml:space="preserve"> the anthropomorphising of death can be seen in other works of art and literature as in the </w:t>
      </w:r>
      <w:proofErr w:type="gramStart"/>
      <w:r w:rsidRPr="003730B5">
        <w:rPr>
          <w:rFonts w:cstheme="minorHAnsi"/>
        </w:rPr>
        <w:t>pardoners</w:t>
      </w:r>
      <w:proofErr w:type="gramEnd"/>
      <w:r w:rsidRPr="003730B5">
        <w:rPr>
          <w:rFonts w:cstheme="minorHAnsi"/>
        </w:rPr>
        <w:t xml:space="preserve"> tale by Chaucer.</w:t>
      </w:r>
      <w:r w:rsidRPr="003730B5">
        <w:rPr>
          <w:rStyle w:val="FootnoteReference"/>
          <w:rFonts w:cstheme="minorHAnsi"/>
        </w:rPr>
        <w:footnoteReference w:id="15"/>
      </w:r>
      <w:r w:rsidRPr="003730B5">
        <w:rPr>
          <w:rFonts w:cstheme="minorHAnsi"/>
        </w:rPr>
        <w:t xml:space="preserve"> </w:t>
      </w:r>
      <w:r w:rsidR="0057770B" w:rsidRPr="003730B5">
        <w:rPr>
          <w:rFonts w:cstheme="minorHAnsi"/>
        </w:rPr>
        <w:t xml:space="preserve">It has been suggested that the </w:t>
      </w:r>
      <w:r w:rsidR="00E53FD3" w:rsidRPr="003730B5">
        <w:rPr>
          <w:rFonts w:cstheme="minorHAnsi"/>
        </w:rPr>
        <w:t>anthropomorphising</w:t>
      </w:r>
      <w:r w:rsidR="0057770B" w:rsidRPr="003730B5">
        <w:rPr>
          <w:rFonts w:cstheme="minorHAnsi"/>
        </w:rPr>
        <w:t xml:space="preserve"> of death is indicative of the integrated physical and spiritual duality  that themes of death held in the late medieval imagination.</w:t>
      </w:r>
      <w:r w:rsidR="0057770B" w:rsidRPr="003730B5">
        <w:rPr>
          <w:rStyle w:val="FootnoteReference"/>
          <w:rFonts w:cstheme="minorHAnsi"/>
        </w:rPr>
        <w:footnoteReference w:id="16"/>
      </w:r>
      <w:r w:rsidR="0057770B" w:rsidRPr="003730B5">
        <w:rPr>
          <w:rFonts w:cstheme="minorHAnsi"/>
        </w:rPr>
        <w:t xml:space="preserve"> It is further suggested that this is, to a certain degree, reflexive in terms of the humanising of death</w:t>
      </w:r>
      <w:r w:rsidR="00E53FD3">
        <w:rPr>
          <w:rFonts w:cstheme="minorHAnsi"/>
        </w:rPr>
        <w:t xml:space="preserve"> and the mortalising of humans. </w:t>
      </w:r>
    </w:p>
    <w:p w:rsidR="0057770B" w:rsidRPr="003730B5" w:rsidRDefault="0057770B" w:rsidP="003730B5">
      <w:pPr>
        <w:spacing w:line="480" w:lineRule="auto"/>
        <w:jc w:val="both"/>
        <w:rPr>
          <w:rFonts w:cstheme="minorHAnsi"/>
        </w:rPr>
      </w:pPr>
    </w:p>
    <w:p w:rsidR="00EC3299" w:rsidRPr="003730B5" w:rsidRDefault="00AB72EC" w:rsidP="00EC3299">
      <w:pPr>
        <w:spacing w:line="480" w:lineRule="auto"/>
        <w:jc w:val="both"/>
        <w:rPr>
          <w:rFonts w:cstheme="minorHAnsi"/>
        </w:rPr>
      </w:pPr>
      <w:r w:rsidRPr="003730B5">
        <w:rPr>
          <w:rFonts w:cstheme="minorHAnsi"/>
        </w:rPr>
        <w:t>It could be suggested that the elements of perfor</w:t>
      </w:r>
      <w:r w:rsidR="00E53FD3">
        <w:rPr>
          <w:rFonts w:cstheme="minorHAnsi"/>
        </w:rPr>
        <w:t>mance and social satire confuse</w:t>
      </w:r>
      <w:r w:rsidRPr="003730B5">
        <w:rPr>
          <w:rFonts w:cstheme="minorHAnsi"/>
        </w:rPr>
        <w:t xml:space="preserve"> the foundational </w:t>
      </w:r>
      <w:r w:rsidRPr="00E53FD3">
        <w:rPr>
          <w:rFonts w:cstheme="minorHAnsi"/>
          <w:i/>
        </w:rPr>
        <w:t>memento mori</w:t>
      </w:r>
      <w:r w:rsidRPr="003730B5">
        <w:rPr>
          <w:rFonts w:cstheme="minorHAnsi"/>
        </w:rPr>
        <w:t xml:space="preserve"> mess</w:t>
      </w:r>
      <w:r>
        <w:rPr>
          <w:rFonts w:cstheme="minorHAnsi"/>
        </w:rPr>
        <w:t>age o</w:t>
      </w:r>
      <w:r w:rsidRPr="003730B5">
        <w:rPr>
          <w:rFonts w:cstheme="minorHAnsi"/>
        </w:rPr>
        <w:t xml:space="preserve">f the </w:t>
      </w:r>
      <w:proofErr w:type="spellStart"/>
      <w:r w:rsidRPr="00574B90">
        <w:rPr>
          <w:rFonts w:cstheme="minorHAnsi"/>
          <w:i/>
        </w:rPr>
        <w:t>danse</w:t>
      </w:r>
      <w:proofErr w:type="spellEnd"/>
      <w:r w:rsidRPr="00574B90">
        <w:rPr>
          <w:rFonts w:cstheme="minorHAnsi"/>
          <w:i/>
        </w:rPr>
        <w:t xml:space="preserve"> macabre</w:t>
      </w:r>
      <w:r w:rsidRPr="003730B5">
        <w:rPr>
          <w:rFonts w:cstheme="minorHAnsi"/>
        </w:rPr>
        <w:t xml:space="preserve"> however it could equally be countered that the multifaceted nature of the image only </w:t>
      </w:r>
      <w:r>
        <w:rPr>
          <w:rFonts w:cstheme="minorHAnsi"/>
        </w:rPr>
        <w:t>broadened its scope in terms of conveying the many values of the period.</w:t>
      </w:r>
      <w:r w:rsidR="00E53FD3">
        <w:rPr>
          <w:rFonts w:cstheme="minorHAnsi"/>
        </w:rPr>
        <w:t xml:space="preserve"> </w:t>
      </w:r>
      <w:r w:rsidR="00EC3299" w:rsidRPr="003730B5">
        <w:rPr>
          <w:rFonts w:cstheme="minorHAnsi"/>
        </w:rPr>
        <w:t xml:space="preserve">While the previously highlighted differences in the intentions of various uses of macabre imagery in the period may not necessarily be </w:t>
      </w:r>
      <w:r w:rsidRPr="003730B5">
        <w:rPr>
          <w:rFonts w:cstheme="minorHAnsi"/>
        </w:rPr>
        <w:t>indicative</w:t>
      </w:r>
      <w:r w:rsidR="00EC3299" w:rsidRPr="003730B5">
        <w:rPr>
          <w:rFonts w:cstheme="minorHAnsi"/>
        </w:rPr>
        <w:t xml:space="preserve"> of a distinct theology per </w:t>
      </w:r>
      <w:r w:rsidR="00E53FD3" w:rsidRPr="003730B5">
        <w:rPr>
          <w:rFonts w:cstheme="minorHAnsi"/>
        </w:rPr>
        <w:t>se,</w:t>
      </w:r>
      <w:r w:rsidR="00EC3299" w:rsidRPr="003730B5">
        <w:rPr>
          <w:rFonts w:cstheme="minorHAnsi"/>
        </w:rPr>
        <w:t xml:space="preserve"> the use of such images may have been used to convey a variety of messages. The intent of the image appears to </w:t>
      </w:r>
      <w:r w:rsidR="00E53FD3" w:rsidRPr="003730B5">
        <w:rPr>
          <w:rFonts w:cstheme="minorHAnsi"/>
        </w:rPr>
        <w:t>hinge</w:t>
      </w:r>
      <w:r w:rsidR="00EC3299" w:rsidRPr="003730B5">
        <w:rPr>
          <w:rFonts w:cstheme="minorHAnsi"/>
        </w:rPr>
        <w:t xml:space="preserve"> </w:t>
      </w:r>
      <w:r w:rsidR="00E53FD3" w:rsidRPr="003730B5">
        <w:rPr>
          <w:rFonts w:cstheme="minorHAnsi"/>
        </w:rPr>
        <w:t>upon</w:t>
      </w:r>
      <w:r w:rsidR="00EC3299" w:rsidRPr="003730B5">
        <w:rPr>
          <w:rFonts w:cstheme="minorHAnsi"/>
        </w:rPr>
        <w:t xml:space="preserve"> whether the dead a</w:t>
      </w:r>
      <w:r w:rsidR="00E53FD3">
        <w:rPr>
          <w:rFonts w:cstheme="minorHAnsi"/>
        </w:rPr>
        <w:t>s</w:t>
      </w:r>
      <w:r w:rsidR="00EC3299" w:rsidRPr="003730B5">
        <w:rPr>
          <w:rFonts w:cstheme="minorHAnsi"/>
        </w:rPr>
        <w:t xml:space="preserve"> presented as compassionate humans or mocking devils depicted as wearing a corpse </w:t>
      </w:r>
      <w:r w:rsidR="00E53FD3" w:rsidRPr="003730B5">
        <w:rPr>
          <w:rFonts w:cstheme="minorHAnsi"/>
        </w:rPr>
        <w:t>to</w:t>
      </w:r>
      <w:r w:rsidR="00EC3299" w:rsidRPr="003730B5">
        <w:rPr>
          <w:rFonts w:cstheme="minorHAnsi"/>
        </w:rPr>
        <w:t xml:space="preserve"> </w:t>
      </w:r>
      <w:r w:rsidRPr="003730B5">
        <w:rPr>
          <w:rFonts w:cstheme="minorHAnsi"/>
        </w:rPr>
        <w:t>deceive</w:t>
      </w:r>
      <w:r w:rsidR="00EC3299" w:rsidRPr="003730B5">
        <w:rPr>
          <w:rFonts w:cstheme="minorHAnsi"/>
        </w:rPr>
        <w:t xml:space="preserve"> the living.</w:t>
      </w:r>
      <w:r w:rsidR="00EC3299">
        <w:rPr>
          <w:rStyle w:val="FootnoteReference"/>
          <w:rFonts w:cstheme="minorHAnsi"/>
        </w:rPr>
        <w:footnoteReference w:id="17"/>
      </w:r>
      <w:r w:rsidR="00EC3299" w:rsidRPr="003730B5">
        <w:rPr>
          <w:rFonts w:cstheme="minorHAnsi"/>
        </w:rPr>
        <w:t xml:space="preserve"> </w:t>
      </w:r>
      <w:r w:rsidR="00EC3299">
        <w:rPr>
          <w:rFonts w:cstheme="minorHAnsi"/>
        </w:rPr>
        <w:t>Death</w:t>
      </w:r>
      <w:r w:rsidR="00EC3299" w:rsidRPr="003730B5">
        <w:rPr>
          <w:rFonts w:cstheme="minorHAnsi"/>
        </w:rPr>
        <w:t xml:space="preserve"> has become an enemy, not just an </w:t>
      </w:r>
      <w:r w:rsidR="00E53FD3" w:rsidRPr="003730B5">
        <w:rPr>
          <w:rFonts w:cstheme="minorHAnsi"/>
        </w:rPr>
        <w:t>inevitability</w:t>
      </w:r>
      <w:r w:rsidR="00EC3299" w:rsidRPr="003730B5">
        <w:rPr>
          <w:rFonts w:cstheme="minorHAnsi"/>
        </w:rPr>
        <w:t>.</w:t>
      </w:r>
      <w:r w:rsidR="00EC3299">
        <w:rPr>
          <w:rFonts w:cstheme="minorHAnsi"/>
        </w:rPr>
        <w:t xml:space="preserve"> The </w:t>
      </w:r>
      <w:r w:rsidR="00E53FD3">
        <w:rPr>
          <w:rFonts w:cstheme="minorHAnsi"/>
        </w:rPr>
        <w:t>distinct</w:t>
      </w:r>
      <w:r w:rsidR="00EC3299">
        <w:rPr>
          <w:rFonts w:cstheme="minorHAnsi"/>
        </w:rPr>
        <w:t xml:space="preserve"> characters in the dance make it an intentional narrative that was potentially meant to be taken literally by the audience. It is therefore the </w:t>
      </w:r>
      <w:r w:rsidR="00E53FD3">
        <w:rPr>
          <w:rFonts w:cstheme="minorHAnsi"/>
        </w:rPr>
        <w:t>characters</w:t>
      </w:r>
      <w:r w:rsidR="00EC3299">
        <w:rPr>
          <w:rFonts w:cstheme="minorHAnsi"/>
        </w:rPr>
        <w:t xml:space="preserve"> in the play that made the dance of death more than an entertaining allegory.</w:t>
      </w:r>
    </w:p>
    <w:p w:rsidR="00EC3299" w:rsidRPr="003730B5" w:rsidRDefault="00EC3299" w:rsidP="003730B5">
      <w:pPr>
        <w:spacing w:line="480" w:lineRule="auto"/>
        <w:jc w:val="both"/>
        <w:rPr>
          <w:rFonts w:cstheme="minorHAnsi"/>
        </w:rPr>
      </w:pPr>
    </w:p>
    <w:bookmarkEnd w:id="0"/>
    <w:p w:rsidR="00E53FD3" w:rsidRDefault="00E53FD3">
      <w:pPr>
        <w:rPr>
          <w:rFonts w:cstheme="minorHAnsi"/>
        </w:rPr>
      </w:pPr>
    </w:p>
    <w:p w:rsidR="00CB1124" w:rsidRDefault="00CB1124">
      <w:pPr>
        <w:rPr>
          <w:b/>
          <w:u w:val="single"/>
        </w:rPr>
      </w:pPr>
      <w:r>
        <w:rPr>
          <w:b/>
          <w:u w:val="single"/>
        </w:rPr>
        <w:lastRenderedPageBreak/>
        <w:t>Bibliography</w:t>
      </w:r>
    </w:p>
    <w:p w:rsidR="00CB1124" w:rsidRPr="00E870BC" w:rsidRDefault="00D005D9">
      <w:pPr>
        <w:rPr>
          <w:sz w:val="18"/>
          <w:szCs w:val="18"/>
        </w:rPr>
      </w:pPr>
      <w:bookmarkStart w:id="2" w:name="_Hlk499912516"/>
      <w:proofErr w:type="spellStart"/>
      <w:r w:rsidRPr="00E870BC">
        <w:rPr>
          <w:sz w:val="18"/>
          <w:szCs w:val="18"/>
        </w:rPr>
        <w:t>Caciola</w:t>
      </w:r>
      <w:proofErr w:type="spellEnd"/>
      <w:r w:rsidRPr="00E870BC">
        <w:rPr>
          <w:sz w:val="18"/>
          <w:szCs w:val="18"/>
        </w:rPr>
        <w:t xml:space="preserve">, N., ‘Wraiths, Revenants and Ritual in Medieval Culture’, </w:t>
      </w:r>
      <w:r w:rsidRPr="00E870BC">
        <w:rPr>
          <w:i/>
          <w:sz w:val="18"/>
          <w:szCs w:val="18"/>
        </w:rPr>
        <w:t xml:space="preserve">Past &amp; Present, </w:t>
      </w:r>
      <w:r w:rsidRPr="00E870BC">
        <w:rPr>
          <w:sz w:val="18"/>
          <w:szCs w:val="18"/>
        </w:rPr>
        <w:t>No. 152 (1996)</w:t>
      </w:r>
      <w:bookmarkEnd w:id="2"/>
      <w:r w:rsidRPr="00E870BC">
        <w:rPr>
          <w:sz w:val="18"/>
          <w:szCs w:val="18"/>
        </w:rPr>
        <w:t xml:space="preserve"> 3-45</w:t>
      </w:r>
    </w:p>
    <w:p w:rsidR="00CB1124" w:rsidRPr="00E870BC" w:rsidRDefault="00CB1124">
      <w:pPr>
        <w:rPr>
          <w:sz w:val="18"/>
          <w:szCs w:val="18"/>
        </w:rPr>
      </w:pPr>
      <w:bookmarkStart w:id="3" w:name="_Hlk499911224"/>
      <w:proofErr w:type="spellStart"/>
      <w:r w:rsidRPr="00E870BC">
        <w:rPr>
          <w:sz w:val="18"/>
          <w:szCs w:val="18"/>
        </w:rPr>
        <w:t>Daniell</w:t>
      </w:r>
      <w:proofErr w:type="spellEnd"/>
      <w:r w:rsidRPr="00E870BC">
        <w:rPr>
          <w:sz w:val="18"/>
          <w:szCs w:val="18"/>
        </w:rPr>
        <w:t xml:space="preserve">, C., </w:t>
      </w:r>
      <w:r w:rsidRPr="00E870BC">
        <w:rPr>
          <w:i/>
          <w:sz w:val="18"/>
          <w:szCs w:val="18"/>
        </w:rPr>
        <w:t xml:space="preserve">Death and Burial in Medieval England 1066 – 1550 </w:t>
      </w:r>
      <w:r w:rsidRPr="00E870BC">
        <w:rPr>
          <w:sz w:val="18"/>
          <w:szCs w:val="18"/>
        </w:rPr>
        <w:t xml:space="preserve">(London: </w:t>
      </w:r>
      <w:proofErr w:type="spellStart"/>
      <w:r w:rsidRPr="00E870BC">
        <w:rPr>
          <w:sz w:val="18"/>
          <w:szCs w:val="18"/>
        </w:rPr>
        <w:t>Routeledge</w:t>
      </w:r>
      <w:proofErr w:type="spellEnd"/>
      <w:r w:rsidRPr="00E870BC">
        <w:rPr>
          <w:sz w:val="18"/>
          <w:szCs w:val="18"/>
        </w:rPr>
        <w:t>, 1997)</w:t>
      </w:r>
    </w:p>
    <w:p w:rsidR="00CB1124" w:rsidRPr="00E870BC" w:rsidRDefault="00CB1124">
      <w:pPr>
        <w:rPr>
          <w:sz w:val="18"/>
          <w:szCs w:val="18"/>
        </w:rPr>
      </w:pPr>
      <w:bookmarkStart w:id="4" w:name="_Hlk499911727"/>
      <w:bookmarkEnd w:id="3"/>
      <w:proofErr w:type="spellStart"/>
      <w:r w:rsidRPr="00E870BC">
        <w:rPr>
          <w:sz w:val="18"/>
          <w:szCs w:val="18"/>
        </w:rPr>
        <w:t>Gertsman</w:t>
      </w:r>
      <w:proofErr w:type="spellEnd"/>
      <w:r w:rsidRPr="00E870BC">
        <w:rPr>
          <w:sz w:val="18"/>
          <w:szCs w:val="18"/>
        </w:rPr>
        <w:t>, E., ‘</w:t>
      </w:r>
      <w:proofErr w:type="spellStart"/>
      <w:r w:rsidRPr="00E870BC">
        <w:rPr>
          <w:sz w:val="18"/>
          <w:szCs w:val="18"/>
        </w:rPr>
        <w:t>Pleyinge</w:t>
      </w:r>
      <w:proofErr w:type="spellEnd"/>
      <w:r w:rsidRPr="00E870BC">
        <w:rPr>
          <w:sz w:val="18"/>
          <w:szCs w:val="18"/>
        </w:rPr>
        <w:t xml:space="preserve"> and </w:t>
      </w:r>
      <w:proofErr w:type="spellStart"/>
      <w:r w:rsidRPr="00E870BC">
        <w:rPr>
          <w:sz w:val="18"/>
          <w:szCs w:val="18"/>
        </w:rPr>
        <w:t>Peyntynge</w:t>
      </w:r>
      <w:proofErr w:type="spellEnd"/>
      <w:r w:rsidRPr="00E870BC">
        <w:rPr>
          <w:sz w:val="18"/>
          <w:szCs w:val="18"/>
        </w:rPr>
        <w:t xml:space="preserve">: Performing the Dance of Death’, </w:t>
      </w:r>
      <w:r w:rsidR="0031454E" w:rsidRPr="00E870BC">
        <w:rPr>
          <w:i/>
          <w:sz w:val="18"/>
          <w:szCs w:val="18"/>
        </w:rPr>
        <w:t xml:space="preserve">Studies in Iconography, </w:t>
      </w:r>
      <w:r w:rsidR="0031454E" w:rsidRPr="00E870BC">
        <w:rPr>
          <w:sz w:val="18"/>
          <w:szCs w:val="18"/>
        </w:rPr>
        <w:t>vol. 27 (2006) 1-45</w:t>
      </w:r>
    </w:p>
    <w:p w:rsidR="00565610" w:rsidRPr="00E870BC" w:rsidRDefault="003C5B29">
      <w:pPr>
        <w:rPr>
          <w:sz w:val="18"/>
          <w:szCs w:val="18"/>
        </w:rPr>
      </w:pPr>
      <w:bookmarkStart w:id="5" w:name="_Hlk499911600"/>
      <w:bookmarkEnd w:id="4"/>
      <w:proofErr w:type="spellStart"/>
      <w:r w:rsidRPr="00E870BC">
        <w:rPr>
          <w:sz w:val="18"/>
          <w:szCs w:val="18"/>
        </w:rPr>
        <w:t>Gertsman</w:t>
      </w:r>
      <w:proofErr w:type="spellEnd"/>
      <w:r w:rsidRPr="00E870BC">
        <w:rPr>
          <w:sz w:val="18"/>
          <w:szCs w:val="18"/>
        </w:rPr>
        <w:t xml:space="preserve">, E., ‘The Gap of Death: Passive Violence in the Encounter Between the Three Living and the Three Dead’, </w:t>
      </w:r>
      <w:r w:rsidR="00565610" w:rsidRPr="00E870BC">
        <w:rPr>
          <w:i/>
          <w:sz w:val="18"/>
          <w:szCs w:val="18"/>
        </w:rPr>
        <w:t xml:space="preserve">Beholding Violence in Medieval and Early Modern </w:t>
      </w:r>
      <w:proofErr w:type="gramStart"/>
      <w:r w:rsidR="00565610" w:rsidRPr="00E870BC">
        <w:rPr>
          <w:i/>
          <w:sz w:val="18"/>
          <w:szCs w:val="18"/>
        </w:rPr>
        <w:t xml:space="preserve">Europe </w:t>
      </w:r>
      <w:r w:rsidR="00565610" w:rsidRPr="00E870BC">
        <w:rPr>
          <w:sz w:val="18"/>
          <w:szCs w:val="18"/>
        </w:rPr>
        <w:t xml:space="preserve"> (</w:t>
      </w:r>
      <w:proofErr w:type="gramEnd"/>
      <w:r w:rsidR="00565610" w:rsidRPr="00E870BC">
        <w:rPr>
          <w:sz w:val="18"/>
          <w:szCs w:val="18"/>
        </w:rPr>
        <w:t>Farnham: Ashgate Publishing, 2012)</w:t>
      </w:r>
    </w:p>
    <w:bookmarkEnd w:id="5"/>
    <w:p w:rsidR="00D005D9" w:rsidRPr="00E870BC" w:rsidRDefault="00D005D9">
      <w:pPr>
        <w:rPr>
          <w:sz w:val="18"/>
          <w:szCs w:val="18"/>
        </w:rPr>
      </w:pPr>
      <w:proofErr w:type="spellStart"/>
      <w:r w:rsidRPr="00E870BC">
        <w:rPr>
          <w:sz w:val="18"/>
          <w:szCs w:val="18"/>
        </w:rPr>
        <w:t>Kralik</w:t>
      </w:r>
      <w:proofErr w:type="spellEnd"/>
      <w:r w:rsidRPr="00E870BC">
        <w:rPr>
          <w:sz w:val="18"/>
          <w:szCs w:val="18"/>
        </w:rPr>
        <w:t xml:space="preserve">, C., ‘Dialogue and Violence </w:t>
      </w:r>
      <w:r w:rsidR="003C5B29" w:rsidRPr="00E870BC">
        <w:rPr>
          <w:sz w:val="18"/>
          <w:szCs w:val="18"/>
        </w:rPr>
        <w:t xml:space="preserve">in Medieval Illumination of The Three Living and The Three Dead’, </w:t>
      </w:r>
      <w:r w:rsidR="003C5B29" w:rsidRPr="00E870BC">
        <w:rPr>
          <w:i/>
          <w:sz w:val="18"/>
          <w:szCs w:val="18"/>
        </w:rPr>
        <w:t xml:space="preserve">The </w:t>
      </w:r>
      <w:proofErr w:type="spellStart"/>
      <w:r w:rsidR="003C5B29" w:rsidRPr="00E870BC">
        <w:rPr>
          <w:i/>
          <w:sz w:val="18"/>
          <w:szCs w:val="18"/>
        </w:rPr>
        <w:t>Danse</w:t>
      </w:r>
      <w:proofErr w:type="spellEnd"/>
      <w:r w:rsidR="003C5B29" w:rsidRPr="00E870BC">
        <w:rPr>
          <w:i/>
          <w:sz w:val="18"/>
          <w:szCs w:val="18"/>
        </w:rPr>
        <w:t xml:space="preserve"> Macabre in Medieval and Early Modern Europe, </w:t>
      </w:r>
      <w:r w:rsidR="003C5B29" w:rsidRPr="00E870BC">
        <w:rPr>
          <w:sz w:val="18"/>
          <w:szCs w:val="18"/>
        </w:rPr>
        <w:t>(Newcastle on Tyne: Cambridge Scholars Publishing, 2011)</w:t>
      </w:r>
    </w:p>
    <w:p w:rsidR="00565610" w:rsidRPr="00E870BC" w:rsidRDefault="00565610">
      <w:pPr>
        <w:rPr>
          <w:sz w:val="18"/>
          <w:szCs w:val="18"/>
        </w:rPr>
      </w:pPr>
      <w:bookmarkStart w:id="6" w:name="_Hlk499910940"/>
      <w:proofErr w:type="spellStart"/>
      <w:r w:rsidRPr="00E870BC">
        <w:rPr>
          <w:sz w:val="18"/>
          <w:szCs w:val="18"/>
        </w:rPr>
        <w:t>Oosterwejk</w:t>
      </w:r>
      <w:proofErr w:type="spellEnd"/>
      <w:r w:rsidRPr="00E870BC">
        <w:rPr>
          <w:sz w:val="18"/>
          <w:szCs w:val="18"/>
        </w:rPr>
        <w:t xml:space="preserve">, S., ‘Of Corpses, Constables and Kings: The </w:t>
      </w:r>
      <w:proofErr w:type="spellStart"/>
      <w:r w:rsidRPr="00E870BC">
        <w:rPr>
          <w:sz w:val="18"/>
          <w:szCs w:val="18"/>
        </w:rPr>
        <w:t>Danse</w:t>
      </w:r>
      <w:proofErr w:type="spellEnd"/>
      <w:r w:rsidRPr="00E870BC">
        <w:rPr>
          <w:sz w:val="18"/>
          <w:szCs w:val="18"/>
        </w:rPr>
        <w:t xml:space="preserve"> Macabre in Late Medieval and Renaissance Culture’,</w:t>
      </w:r>
      <w:r w:rsidRPr="00E870BC">
        <w:rPr>
          <w:i/>
          <w:sz w:val="18"/>
          <w:szCs w:val="18"/>
        </w:rPr>
        <w:t xml:space="preserve"> The Journal of the British Archaeological Association, </w:t>
      </w:r>
      <w:r w:rsidRPr="00E870BC">
        <w:rPr>
          <w:sz w:val="18"/>
          <w:szCs w:val="18"/>
        </w:rPr>
        <w:t>157 (2004) 61-90</w:t>
      </w:r>
    </w:p>
    <w:bookmarkEnd w:id="6"/>
    <w:p w:rsidR="00565610" w:rsidRDefault="00565610"/>
    <w:p w:rsidR="00565610" w:rsidRPr="00565610" w:rsidRDefault="00565610"/>
    <w:p w:rsidR="003B2068" w:rsidRDefault="003B2068"/>
    <w:p w:rsidR="003B2068" w:rsidRDefault="003B2068"/>
    <w:p w:rsidR="008C77A3" w:rsidRDefault="008C77A3"/>
    <w:p w:rsidR="00D71F1B" w:rsidRDefault="00D71F1B"/>
    <w:p w:rsidR="00D71F1B" w:rsidRDefault="00D71F1B"/>
    <w:p w:rsidR="00AE522A" w:rsidRDefault="00AE522A"/>
    <w:p w:rsidR="00AE522A" w:rsidRDefault="00656415">
      <w:r>
        <w:t xml:space="preserve"> </w:t>
      </w:r>
    </w:p>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p w:rsidR="00D71F1B" w:rsidRDefault="00D71F1B"/>
    <w:sectPr w:rsidR="00D71F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0D5F" w:rsidRDefault="00D80D5F" w:rsidP="00B34D93">
      <w:pPr>
        <w:spacing w:after="0" w:line="240" w:lineRule="auto"/>
      </w:pPr>
      <w:r>
        <w:separator/>
      </w:r>
    </w:p>
  </w:endnote>
  <w:endnote w:type="continuationSeparator" w:id="0">
    <w:p w:rsidR="00D80D5F" w:rsidRDefault="00D80D5F" w:rsidP="00B34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0D5F" w:rsidRDefault="00D80D5F" w:rsidP="00B34D93">
      <w:pPr>
        <w:spacing w:after="0" w:line="240" w:lineRule="auto"/>
      </w:pPr>
      <w:r>
        <w:separator/>
      </w:r>
    </w:p>
  </w:footnote>
  <w:footnote w:type="continuationSeparator" w:id="0">
    <w:p w:rsidR="00D80D5F" w:rsidRDefault="00D80D5F" w:rsidP="00B34D93">
      <w:pPr>
        <w:spacing w:after="0" w:line="240" w:lineRule="auto"/>
      </w:pPr>
      <w:r>
        <w:continuationSeparator/>
      </w:r>
    </w:p>
  </w:footnote>
  <w:footnote w:id="1">
    <w:p w:rsidR="00BF4B41" w:rsidRPr="0081529F" w:rsidRDefault="00BF4B41" w:rsidP="00886D09">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Kralik</w:t>
      </w:r>
      <w:proofErr w:type="spellEnd"/>
      <w:r w:rsidRPr="0081529F">
        <w:rPr>
          <w:sz w:val="18"/>
          <w:szCs w:val="18"/>
        </w:rPr>
        <w:t xml:space="preserve">, C., ‘Dialogue and Violence in Medieval Illumination of The Three Living and The Three Dead’, </w:t>
      </w:r>
      <w:r w:rsidRPr="0081529F">
        <w:rPr>
          <w:i/>
          <w:sz w:val="18"/>
          <w:szCs w:val="18"/>
        </w:rPr>
        <w:t xml:space="preserve">The </w:t>
      </w:r>
      <w:proofErr w:type="spellStart"/>
      <w:r w:rsidRPr="0081529F">
        <w:rPr>
          <w:i/>
          <w:sz w:val="18"/>
          <w:szCs w:val="18"/>
        </w:rPr>
        <w:t>Danse</w:t>
      </w:r>
      <w:proofErr w:type="spellEnd"/>
      <w:r w:rsidRPr="0081529F">
        <w:rPr>
          <w:i/>
          <w:sz w:val="18"/>
          <w:szCs w:val="18"/>
        </w:rPr>
        <w:t xml:space="preserve"> Macabre in Medieval and Early Modern Europe, </w:t>
      </w:r>
      <w:r w:rsidRPr="0081529F">
        <w:rPr>
          <w:sz w:val="18"/>
          <w:szCs w:val="18"/>
        </w:rPr>
        <w:t>(Newcastle on Tyne: Cambridge Scholars Publishing, 2011) 148</w:t>
      </w:r>
    </w:p>
  </w:footnote>
  <w:footnote w:id="2">
    <w:p w:rsidR="00BF4B41" w:rsidRPr="0081529F" w:rsidRDefault="00BF4B41" w:rsidP="003730B5">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Daniell</w:t>
      </w:r>
      <w:proofErr w:type="spellEnd"/>
      <w:r w:rsidRPr="0081529F">
        <w:rPr>
          <w:sz w:val="18"/>
          <w:szCs w:val="18"/>
        </w:rPr>
        <w:t xml:space="preserve">, C., </w:t>
      </w:r>
      <w:r w:rsidRPr="0081529F">
        <w:rPr>
          <w:i/>
          <w:sz w:val="18"/>
          <w:szCs w:val="18"/>
        </w:rPr>
        <w:t xml:space="preserve">Death and Burial in Medieval England 1066 – 1550 </w:t>
      </w:r>
      <w:r w:rsidRPr="0081529F">
        <w:rPr>
          <w:sz w:val="18"/>
          <w:szCs w:val="18"/>
        </w:rPr>
        <w:t xml:space="preserve">(London: </w:t>
      </w:r>
      <w:proofErr w:type="spellStart"/>
      <w:r w:rsidRPr="0081529F">
        <w:rPr>
          <w:sz w:val="18"/>
          <w:szCs w:val="18"/>
        </w:rPr>
        <w:t>Routeledge</w:t>
      </w:r>
      <w:proofErr w:type="spellEnd"/>
      <w:r w:rsidRPr="0081529F">
        <w:rPr>
          <w:sz w:val="18"/>
          <w:szCs w:val="18"/>
        </w:rPr>
        <w:t>, 1997) 71</w:t>
      </w:r>
    </w:p>
  </w:footnote>
  <w:footnote w:id="3">
    <w:p w:rsidR="00BF4B41" w:rsidRPr="0081529F" w:rsidRDefault="00BF4B41" w:rsidP="003730B5">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Daniell</w:t>
      </w:r>
      <w:proofErr w:type="spellEnd"/>
      <w:r w:rsidRPr="0081529F">
        <w:rPr>
          <w:sz w:val="18"/>
          <w:szCs w:val="18"/>
        </w:rPr>
        <w:t xml:space="preserve">, C., </w:t>
      </w:r>
      <w:r w:rsidRPr="0081529F">
        <w:rPr>
          <w:i/>
          <w:sz w:val="18"/>
          <w:szCs w:val="18"/>
        </w:rPr>
        <w:t xml:space="preserve">Death and Burial in Medieval England 1066 – 1550 </w:t>
      </w:r>
      <w:r w:rsidRPr="0081529F">
        <w:rPr>
          <w:sz w:val="18"/>
          <w:szCs w:val="18"/>
        </w:rPr>
        <w:t xml:space="preserve">(London: </w:t>
      </w:r>
      <w:proofErr w:type="spellStart"/>
      <w:r w:rsidRPr="0081529F">
        <w:rPr>
          <w:sz w:val="18"/>
          <w:szCs w:val="18"/>
        </w:rPr>
        <w:t>Routeledge</w:t>
      </w:r>
      <w:proofErr w:type="spellEnd"/>
      <w:r w:rsidRPr="0081529F">
        <w:rPr>
          <w:sz w:val="18"/>
          <w:szCs w:val="18"/>
        </w:rPr>
        <w:t>, 1997) 71</w:t>
      </w:r>
    </w:p>
  </w:footnote>
  <w:footnote w:id="4">
    <w:p w:rsidR="00BF4B41" w:rsidRPr="0081529F" w:rsidRDefault="00BF4B41" w:rsidP="003730B5">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Daniell</w:t>
      </w:r>
      <w:proofErr w:type="spellEnd"/>
      <w:r w:rsidRPr="0081529F">
        <w:rPr>
          <w:sz w:val="18"/>
          <w:szCs w:val="18"/>
        </w:rPr>
        <w:t xml:space="preserve">, C., </w:t>
      </w:r>
      <w:r w:rsidRPr="0081529F">
        <w:rPr>
          <w:i/>
          <w:sz w:val="18"/>
          <w:szCs w:val="18"/>
        </w:rPr>
        <w:t xml:space="preserve">Death and Burial in Medieval England 1066 – 1550 </w:t>
      </w:r>
      <w:r w:rsidRPr="0081529F">
        <w:rPr>
          <w:sz w:val="18"/>
          <w:szCs w:val="18"/>
        </w:rPr>
        <w:t xml:space="preserve">(London: </w:t>
      </w:r>
      <w:proofErr w:type="spellStart"/>
      <w:r w:rsidRPr="0081529F">
        <w:rPr>
          <w:sz w:val="18"/>
          <w:szCs w:val="18"/>
        </w:rPr>
        <w:t>Routeledge</w:t>
      </w:r>
      <w:proofErr w:type="spellEnd"/>
      <w:r w:rsidRPr="0081529F">
        <w:rPr>
          <w:sz w:val="18"/>
          <w:szCs w:val="18"/>
        </w:rPr>
        <w:t>, 1997) 69</w:t>
      </w:r>
    </w:p>
  </w:footnote>
  <w:footnote w:id="5">
    <w:p w:rsidR="00BF4B41" w:rsidRPr="0081529F" w:rsidRDefault="00BF4B41" w:rsidP="00176D39">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Gertsman</w:t>
      </w:r>
      <w:proofErr w:type="spellEnd"/>
      <w:r w:rsidRPr="0081529F">
        <w:rPr>
          <w:sz w:val="18"/>
          <w:szCs w:val="18"/>
        </w:rPr>
        <w:t xml:space="preserve">, E., ‘The Gap of Death: Passive Violence in the Encounter Between the Three Living and the Three Dead’, </w:t>
      </w:r>
      <w:r w:rsidRPr="0081529F">
        <w:rPr>
          <w:i/>
          <w:sz w:val="18"/>
          <w:szCs w:val="18"/>
        </w:rPr>
        <w:t xml:space="preserve">Beholding Violence in Medieval and Early Modern </w:t>
      </w:r>
      <w:proofErr w:type="gramStart"/>
      <w:r w:rsidRPr="0081529F">
        <w:rPr>
          <w:i/>
          <w:sz w:val="18"/>
          <w:szCs w:val="18"/>
        </w:rPr>
        <w:t xml:space="preserve">Europe </w:t>
      </w:r>
      <w:r w:rsidRPr="0081529F">
        <w:rPr>
          <w:sz w:val="18"/>
          <w:szCs w:val="18"/>
        </w:rPr>
        <w:t xml:space="preserve"> (</w:t>
      </w:r>
      <w:proofErr w:type="gramEnd"/>
      <w:r w:rsidRPr="0081529F">
        <w:rPr>
          <w:sz w:val="18"/>
          <w:szCs w:val="18"/>
        </w:rPr>
        <w:t>Farnham: Ashgate Publishing, 2012) 87</w:t>
      </w:r>
    </w:p>
  </w:footnote>
  <w:footnote w:id="6">
    <w:p w:rsidR="00BF4B41" w:rsidRPr="0081529F" w:rsidRDefault="00BF4B41" w:rsidP="00176D39">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Oosterwejk</w:t>
      </w:r>
      <w:proofErr w:type="spellEnd"/>
      <w:r w:rsidRPr="0081529F">
        <w:rPr>
          <w:sz w:val="18"/>
          <w:szCs w:val="18"/>
        </w:rPr>
        <w:t xml:space="preserve">, S., ‘Of Corpses, Constables and Kings: The </w:t>
      </w:r>
      <w:proofErr w:type="spellStart"/>
      <w:r w:rsidRPr="0081529F">
        <w:rPr>
          <w:sz w:val="18"/>
          <w:szCs w:val="18"/>
        </w:rPr>
        <w:t>Danse</w:t>
      </w:r>
      <w:proofErr w:type="spellEnd"/>
      <w:r w:rsidRPr="0081529F">
        <w:rPr>
          <w:sz w:val="18"/>
          <w:szCs w:val="18"/>
        </w:rPr>
        <w:t xml:space="preserve"> Macabre in Late Medieval and Renaissance Culture’,</w:t>
      </w:r>
      <w:r w:rsidRPr="0081529F">
        <w:rPr>
          <w:i/>
          <w:sz w:val="18"/>
          <w:szCs w:val="18"/>
        </w:rPr>
        <w:t xml:space="preserve"> The Journal of the British Archaeological Association, </w:t>
      </w:r>
      <w:r w:rsidRPr="0081529F">
        <w:rPr>
          <w:sz w:val="18"/>
          <w:szCs w:val="18"/>
        </w:rPr>
        <w:t>157 (2004) 67</w:t>
      </w:r>
    </w:p>
  </w:footnote>
  <w:footnote w:id="7">
    <w:p w:rsidR="00BF4B41" w:rsidRDefault="00BF4B41" w:rsidP="00574B90">
      <w:r w:rsidRPr="0081529F">
        <w:rPr>
          <w:rStyle w:val="FootnoteReference"/>
          <w:sz w:val="18"/>
          <w:szCs w:val="18"/>
        </w:rPr>
        <w:footnoteRef/>
      </w:r>
      <w:r w:rsidRPr="0081529F">
        <w:rPr>
          <w:sz w:val="18"/>
          <w:szCs w:val="18"/>
        </w:rPr>
        <w:t xml:space="preserve"> </w:t>
      </w:r>
      <w:proofErr w:type="spellStart"/>
      <w:r w:rsidRPr="0081529F">
        <w:rPr>
          <w:sz w:val="18"/>
          <w:szCs w:val="18"/>
        </w:rPr>
        <w:t>Daniell</w:t>
      </w:r>
      <w:proofErr w:type="spellEnd"/>
      <w:r w:rsidRPr="0081529F">
        <w:rPr>
          <w:sz w:val="18"/>
          <w:szCs w:val="18"/>
        </w:rPr>
        <w:t xml:space="preserve">, C., </w:t>
      </w:r>
      <w:r w:rsidRPr="0081529F">
        <w:rPr>
          <w:i/>
          <w:sz w:val="18"/>
          <w:szCs w:val="18"/>
        </w:rPr>
        <w:t>Death and Burial in Medieval England 10</w:t>
      </w:r>
      <w:r>
        <w:rPr>
          <w:i/>
        </w:rPr>
        <w:t xml:space="preserve">66 – 1550 </w:t>
      </w:r>
      <w:r>
        <w:t xml:space="preserve">(London: </w:t>
      </w:r>
      <w:proofErr w:type="spellStart"/>
      <w:r>
        <w:t>Routeledge</w:t>
      </w:r>
      <w:proofErr w:type="spellEnd"/>
      <w:r>
        <w:t>, 1997) 69</w:t>
      </w:r>
    </w:p>
  </w:footnote>
  <w:footnote w:id="8">
    <w:p w:rsidR="009C7308" w:rsidRPr="0081529F" w:rsidRDefault="009C7308" w:rsidP="009C7308">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Daniell</w:t>
      </w:r>
      <w:proofErr w:type="spellEnd"/>
      <w:r w:rsidRPr="0081529F">
        <w:rPr>
          <w:sz w:val="18"/>
          <w:szCs w:val="18"/>
        </w:rPr>
        <w:t xml:space="preserve">, C., </w:t>
      </w:r>
      <w:r w:rsidRPr="0081529F">
        <w:rPr>
          <w:i/>
          <w:sz w:val="18"/>
          <w:szCs w:val="18"/>
        </w:rPr>
        <w:t xml:space="preserve">Death and Burial in Medieval England 1066 – 1550 </w:t>
      </w:r>
      <w:r w:rsidRPr="0081529F">
        <w:rPr>
          <w:sz w:val="18"/>
          <w:szCs w:val="18"/>
        </w:rPr>
        <w:t xml:space="preserve">(London: </w:t>
      </w:r>
      <w:proofErr w:type="spellStart"/>
      <w:r w:rsidRPr="0081529F">
        <w:rPr>
          <w:sz w:val="18"/>
          <w:szCs w:val="18"/>
        </w:rPr>
        <w:t>Routeledge</w:t>
      </w:r>
      <w:proofErr w:type="spellEnd"/>
      <w:r w:rsidRPr="0081529F">
        <w:rPr>
          <w:sz w:val="18"/>
          <w:szCs w:val="18"/>
        </w:rPr>
        <w:t>, 1997)</w:t>
      </w:r>
    </w:p>
  </w:footnote>
  <w:footnote w:id="9">
    <w:p w:rsidR="009C7308" w:rsidRPr="0081529F" w:rsidRDefault="009C7308" w:rsidP="009C7308">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Daniell</w:t>
      </w:r>
      <w:proofErr w:type="spellEnd"/>
      <w:r w:rsidRPr="0081529F">
        <w:rPr>
          <w:sz w:val="18"/>
          <w:szCs w:val="18"/>
        </w:rPr>
        <w:t xml:space="preserve">, C., </w:t>
      </w:r>
      <w:r w:rsidRPr="0081529F">
        <w:rPr>
          <w:i/>
          <w:sz w:val="18"/>
          <w:szCs w:val="18"/>
        </w:rPr>
        <w:t xml:space="preserve">Death and Burial in Medieval England 1066 – 1550 </w:t>
      </w:r>
      <w:r w:rsidRPr="0081529F">
        <w:rPr>
          <w:sz w:val="18"/>
          <w:szCs w:val="18"/>
        </w:rPr>
        <w:t xml:space="preserve">(London: </w:t>
      </w:r>
      <w:proofErr w:type="spellStart"/>
      <w:r w:rsidRPr="0081529F">
        <w:rPr>
          <w:sz w:val="18"/>
          <w:szCs w:val="18"/>
        </w:rPr>
        <w:t>Routeledge</w:t>
      </w:r>
      <w:proofErr w:type="spellEnd"/>
      <w:r w:rsidRPr="0081529F">
        <w:rPr>
          <w:sz w:val="18"/>
          <w:szCs w:val="18"/>
        </w:rPr>
        <w:t>, 1997) 66</w:t>
      </w:r>
    </w:p>
  </w:footnote>
  <w:footnote w:id="10">
    <w:p w:rsidR="00BF4B41" w:rsidRPr="0081529F" w:rsidRDefault="00BF4B41" w:rsidP="00574B90">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Gertsman</w:t>
      </w:r>
      <w:proofErr w:type="spellEnd"/>
      <w:r w:rsidRPr="0081529F">
        <w:rPr>
          <w:sz w:val="18"/>
          <w:szCs w:val="18"/>
        </w:rPr>
        <w:t>, E., ‘</w:t>
      </w:r>
      <w:proofErr w:type="spellStart"/>
      <w:r w:rsidRPr="0081529F">
        <w:rPr>
          <w:sz w:val="18"/>
          <w:szCs w:val="18"/>
        </w:rPr>
        <w:t>Pleyinge</w:t>
      </w:r>
      <w:proofErr w:type="spellEnd"/>
      <w:r w:rsidRPr="0081529F">
        <w:rPr>
          <w:sz w:val="18"/>
          <w:szCs w:val="18"/>
        </w:rPr>
        <w:t xml:space="preserve"> and </w:t>
      </w:r>
      <w:proofErr w:type="spellStart"/>
      <w:r w:rsidRPr="0081529F">
        <w:rPr>
          <w:sz w:val="18"/>
          <w:szCs w:val="18"/>
        </w:rPr>
        <w:t>Peyntynge</w:t>
      </w:r>
      <w:proofErr w:type="spellEnd"/>
      <w:r w:rsidRPr="0081529F">
        <w:rPr>
          <w:sz w:val="18"/>
          <w:szCs w:val="18"/>
        </w:rPr>
        <w:t xml:space="preserve">: Performing the Dance of Death’, </w:t>
      </w:r>
      <w:r w:rsidRPr="0081529F">
        <w:rPr>
          <w:i/>
          <w:sz w:val="18"/>
          <w:szCs w:val="18"/>
        </w:rPr>
        <w:t xml:space="preserve">Studies in Iconography, </w:t>
      </w:r>
      <w:r w:rsidRPr="0081529F">
        <w:rPr>
          <w:sz w:val="18"/>
          <w:szCs w:val="18"/>
        </w:rPr>
        <w:t xml:space="preserve">vol. 27 (2006) </w:t>
      </w:r>
    </w:p>
  </w:footnote>
  <w:footnote w:id="11">
    <w:p w:rsidR="0057770B" w:rsidRPr="0081529F" w:rsidRDefault="0057770B" w:rsidP="0057770B">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Oosterwejk</w:t>
      </w:r>
      <w:proofErr w:type="spellEnd"/>
      <w:r w:rsidRPr="0081529F">
        <w:rPr>
          <w:sz w:val="18"/>
          <w:szCs w:val="18"/>
        </w:rPr>
        <w:t xml:space="preserve">, S., ‘Of Corpses, Constables and Kings: The </w:t>
      </w:r>
      <w:proofErr w:type="spellStart"/>
      <w:r w:rsidRPr="0081529F">
        <w:rPr>
          <w:sz w:val="18"/>
          <w:szCs w:val="18"/>
        </w:rPr>
        <w:t>Danse</w:t>
      </w:r>
      <w:proofErr w:type="spellEnd"/>
      <w:r w:rsidRPr="0081529F">
        <w:rPr>
          <w:sz w:val="18"/>
          <w:szCs w:val="18"/>
        </w:rPr>
        <w:t xml:space="preserve"> Macabre in Late Medieval and Renaissance Culture’,</w:t>
      </w:r>
      <w:r w:rsidRPr="0081529F">
        <w:rPr>
          <w:i/>
          <w:sz w:val="18"/>
          <w:szCs w:val="18"/>
        </w:rPr>
        <w:t xml:space="preserve"> The Journal of the British Archaeological Association, </w:t>
      </w:r>
      <w:r w:rsidRPr="0081529F">
        <w:rPr>
          <w:sz w:val="18"/>
          <w:szCs w:val="18"/>
        </w:rPr>
        <w:t>157 (2004) 78</w:t>
      </w:r>
    </w:p>
  </w:footnote>
  <w:footnote w:id="12">
    <w:p w:rsidR="0057770B" w:rsidRPr="0081529F" w:rsidRDefault="0057770B" w:rsidP="0057770B">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Oosterwejk</w:t>
      </w:r>
      <w:proofErr w:type="spellEnd"/>
      <w:r w:rsidRPr="0081529F">
        <w:rPr>
          <w:sz w:val="18"/>
          <w:szCs w:val="18"/>
        </w:rPr>
        <w:t xml:space="preserve">, S., ‘Of Corpses, Constables and Kings: The </w:t>
      </w:r>
      <w:proofErr w:type="spellStart"/>
      <w:r w:rsidRPr="0081529F">
        <w:rPr>
          <w:sz w:val="18"/>
          <w:szCs w:val="18"/>
        </w:rPr>
        <w:t>Danse</w:t>
      </w:r>
      <w:proofErr w:type="spellEnd"/>
      <w:r w:rsidRPr="0081529F">
        <w:rPr>
          <w:sz w:val="18"/>
          <w:szCs w:val="18"/>
        </w:rPr>
        <w:t xml:space="preserve"> Macabre in Late Medieval and Renaissance Culture’,</w:t>
      </w:r>
      <w:r w:rsidRPr="0081529F">
        <w:rPr>
          <w:i/>
          <w:sz w:val="18"/>
          <w:szCs w:val="18"/>
        </w:rPr>
        <w:t xml:space="preserve"> The Journal of the British Archaeological Association, </w:t>
      </w:r>
      <w:r w:rsidRPr="0081529F">
        <w:rPr>
          <w:sz w:val="18"/>
          <w:szCs w:val="18"/>
        </w:rPr>
        <w:t>157 (2004) 78</w:t>
      </w:r>
    </w:p>
  </w:footnote>
  <w:footnote w:id="13">
    <w:p w:rsidR="0057770B" w:rsidRPr="0081529F" w:rsidRDefault="0057770B" w:rsidP="0057770B">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Gertsman</w:t>
      </w:r>
      <w:proofErr w:type="spellEnd"/>
      <w:r w:rsidRPr="0081529F">
        <w:rPr>
          <w:sz w:val="18"/>
          <w:szCs w:val="18"/>
        </w:rPr>
        <w:t>, E., ‘</w:t>
      </w:r>
      <w:proofErr w:type="spellStart"/>
      <w:r w:rsidRPr="0081529F">
        <w:rPr>
          <w:sz w:val="18"/>
          <w:szCs w:val="18"/>
        </w:rPr>
        <w:t>Pleyinge</w:t>
      </w:r>
      <w:proofErr w:type="spellEnd"/>
      <w:r w:rsidRPr="0081529F">
        <w:rPr>
          <w:sz w:val="18"/>
          <w:szCs w:val="18"/>
        </w:rPr>
        <w:t xml:space="preserve"> and </w:t>
      </w:r>
      <w:proofErr w:type="spellStart"/>
      <w:r w:rsidRPr="0081529F">
        <w:rPr>
          <w:sz w:val="18"/>
          <w:szCs w:val="18"/>
        </w:rPr>
        <w:t>Peyntynge</w:t>
      </w:r>
      <w:proofErr w:type="spellEnd"/>
      <w:r w:rsidRPr="0081529F">
        <w:rPr>
          <w:sz w:val="18"/>
          <w:szCs w:val="18"/>
        </w:rPr>
        <w:t xml:space="preserve">: Performing the Dance of Death’, </w:t>
      </w:r>
      <w:r w:rsidRPr="0081529F">
        <w:rPr>
          <w:i/>
          <w:sz w:val="18"/>
          <w:szCs w:val="18"/>
        </w:rPr>
        <w:t xml:space="preserve">Studies in Iconography, </w:t>
      </w:r>
      <w:r w:rsidRPr="0081529F">
        <w:rPr>
          <w:sz w:val="18"/>
          <w:szCs w:val="18"/>
        </w:rPr>
        <w:t>vol. 27 (2006) 17</w:t>
      </w:r>
    </w:p>
  </w:footnote>
  <w:footnote w:id="14">
    <w:p w:rsidR="00AB72EC" w:rsidRPr="00E53FD3" w:rsidRDefault="00AB72EC" w:rsidP="00AB72EC">
      <w:pPr>
        <w:rPr>
          <w:sz w:val="18"/>
          <w:szCs w:val="18"/>
        </w:rPr>
      </w:pPr>
      <w:r w:rsidRPr="00E53FD3">
        <w:rPr>
          <w:rStyle w:val="FootnoteReference"/>
          <w:sz w:val="18"/>
          <w:szCs w:val="18"/>
        </w:rPr>
        <w:footnoteRef/>
      </w:r>
      <w:r w:rsidRPr="00E53FD3">
        <w:rPr>
          <w:sz w:val="18"/>
          <w:szCs w:val="18"/>
        </w:rPr>
        <w:t xml:space="preserve"> </w:t>
      </w:r>
      <w:proofErr w:type="spellStart"/>
      <w:r w:rsidRPr="00E53FD3">
        <w:rPr>
          <w:sz w:val="18"/>
          <w:szCs w:val="18"/>
        </w:rPr>
        <w:t>Daniell</w:t>
      </w:r>
      <w:proofErr w:type="spellEnd"/>
      <w:r w:rsidRPr="00E53FD3">
        <w:rPr>
          <w:sz w:val="18"/>
          <w:szCs w:val="18"/>
        </w:rPr>
        <w:t xml:space="preserve">, C., </w:t>
      </w:r>
      <w:r w:rsidRPr="00E53FD3">
        <w:rPr>
          <w:i/>
          <w:sz w:val="18"/>
          <w:szCs w:val="18"/>
        </w:rPr>
        <w:t xml:space="preserve">Death and Burial in Medieval England 1066 – 1550 </w:t>
      </w:r>
      <w:r w:rsidRPr="00E53FD3">
        <w:rPr>
          <w:sz w:val="18"/>
          <w:szCs w:val="18"/>
        </w:rPr>
        <w:t xml:space="preserve">(London: </w:t>
      </w:r>
      <w:proofErr w:type="spellStart"/>
      <w:r w:rsidRPr="00E53FD3">
        <w:rPr>
          <w:sz w:val="18"/>
          <w:szCs w:val="18"/>
        </w:rPr>
        <w:t>Routeledge</w:t>
      </w:r>
      <w:proofErr w:type="spellEnd"/>
      <w:r w:rsidRPr="00E53FD3">
        <w:rPr>
          <w:sz w:val="18"/>
          <w:szCs w:val="18"/>
        </w:rPr>
        <w:t>, 1997) 70</w:t>
      </w:r>
    </w:p>
  </w:footnote>
  <w:footnote w:id="15">
    <w:p w:rsidR="00AB72EC" w:rsidRPr="00E53FD3" w:rsidRDefault="00AB72EC" w:rsidP="00E53FD3">
      <w:pPr>
        <w:rPr>
          <w:sz w:val="18"/>
          <w:szCs w:val="18"/>
        </w:rPr>
      </w:pPr>
      <w:r w:rsidRPr="00E53FD3">
        <w:rPr>
          <w:rStyle w:val="FootnoteReference"/>
          <w:sz w:val="18"/>
          <w:szCs w:val="18"/>
        </w:rPr>
        <w:footnoteRef/>
      </w:r>
      <w:r w:rsidRPr="00E53FD3">
        <w:rPr>
          <w:sz w:val="18"/>
          <w:szCs w:val="18"/>
        </w:rPr>
        <w:t xml:space="preserve"> </w:t>
      </w:r>
      <w:proofErr w:type="spellStart"/>
      <w:r w:rsidRPr="00E53FD3">
        <w:rPr>
          <w:sz w:val="18"/>
          <w:szCs w:val="18"/>
        </w:rPr>
        <w:t>Daniell</w:t>
      </w:r>
      <w:proofErr w:type="spellEnd"/>
      <w:r w:rsidRPr="00E53FD3">
        <w:rPr>
          <w:sz w:val="18"/>
          <w:szCs w:val="18"/>
        </w:rPr>
        <w:t>, C.</w:t>
      </w:r>
      <w:r w:rsidRPr="00E53FD3">
        <w:rPr>
          <w:sz w:val="18"/>
          <w:szCs w:val="18"/>
        </w:rPr>
        <w:t xml:space="preserve">, </w:t>
      </w:r>
      <w:r w:rsidRPr="00E53FD3">
        <w:rPr>
          <w:i/>
          <w:sz w:val="18"/>
          <w:szCs w:val="18"/>
        </w:rPr>
        <w:t xml:space="preserve">Death and Burial in Medieval England 1066 – 1550 </w:t>
      </w:r>
      <w:r w:rsidRPr="00E53FD3">
        <w:rPr>
          <w:sz w:val="18"/>
          <w:szCs w:val="18"/>
        </w:rPr>
        <w:t>(L</w:t>
      </w:r>
      <w:r w:rsidR="00E53FD3">
        <w:rPr>
          <w:sz w:val="18"/>
          <w:szCs w:val="18"/>
        </w:rPr>
        <w:t xml:space="preserve">ondon: </w:t>
      </w:r>
      <w:proofErr w:type="spellStart"/>
      <w:r w:rsidR="00E53FD3">
        <w:rPr>
          <w:sz w:val="18"/>
          <w:szCs w:val="18"/>
        </w:rPr>
        <w:t>Routeledge</w:t>
      </w:r>
      <w:proofErr w:type="spellEnd"/>
      <w:r w:rsidR="00E53FD3">
        <w:rPr>
          <w:sz w:val="18"/>
          <w:szCs w:val="18"/>
        </w:rPr>
        <w:t>, 1997) 84</w:t>
      </w:r>
      <w:bookmarkStart w:id="1" w:name="_GoBack"/>
      <w:bookmarkEnd w:id="1"/>
    </w:p>
  </w:footnote>
  <w:footnote w:id="16">
    <w:p w:rsidR="0057770B" w:rsidRPr="0081529F" w:rsidRDefault="0057770B" w:rsidP="0057770B">
      <w:pPr>
        <w:rPr>
          <w:sz w:val="18"/>
          <w:szCs w:val="18"/>
        </w:rPr>
      </w:pPr>
      <w:r w:rsidRPr="0081529F">
        <w:rPr>
          <w:rStyle w:val="FootnoteReference"/>
          <w:sz w:val="18"/>
          <w:szCs w:val="18"/>
        </w:rPr>
        <w:footnoteRef/>
      </w:r>
      <w:r w:rsidRPr="0081529F">
        <w:rPr>
          <w:sz w:val="18"/>
          <w:szCs w:val="18"/>
        </w:rPr>
        <w:t xml:space="preserve"> </w:t>
      </w:r>
      <w:proofErr w:type="spellStart"/>
      <w:r w:rsidRPr="0081529F">
        <w:rPr>
          <w:sz w:val="18"/>
          <w:szCs w:val="18"/>
        </w:rPr>
        <w:t>Gertsman</w:t>
      </w:r>
      <w:proofErr w:type="spellEnd"/>
      <w:r w:rsidRPr="0081529F">
        <w:rPr>
          <w:sz w:val="18"/>
          <w:szCs w:val="18"/>
        </w:rPr>
        <w:t>, E., ‘</w:t>
      </w:r>
      <w:proofErr w:type="spellStart"/>
      <w:r w:rsidRPr="0081529F">
        <w:rPr>
          <w:sz w:val="18"/>
          <w:szCs w:val="18"/>
        </w:rPr>
        <w:t>Pleyinge</w:t>
      </w:r>
      <w:proofErr w:type="spellEnd"/>
      <w:r w:rsidRPr="0081529F">
        <w:rPr>
          <w:sz w:val="18"/>
          <w:szCs w:val="18"/>
        </w:rPr>
        <w:t xml:space="preserve"> and </w:t>
      </w:r>
      <w:proofErr w:type="spellStart"/>
      <w:r w:rsidRPr="0081529F">
        <w:rPr>
          <w:sz w:val="18"/>
          <w:szCs w:val="18"/>
        </w:rPr>
        <w:t>Peyntynge</w:t>
      </w:r>
      <w:proofErr w:type="spellEnd"/>
      <w:r w:rsidRPr="0081529F">
        <w:rPr>
          <w:sz w:val="18"/>
          <w:szCs w:val="18"/>
        </w:rPr>
        <w:t xml:space="preserve">: Performing the Dance of Death’, </w:t>
      </w:r>
      <w:r w:rsidRPr="0081529F">
        <w:rPr>
          <w:i/>
          <w:sz w:val="18"/>
          <w:szCs w:val="18"/>
        </w:rPr>
        <w:t xml:space="preserve">Studies in Iconography, </w:t>
      </w:r>
      <w:r w:rsidRPr="0081529F">
        <w:rPr>
          <w:sz w:val="18"/>
          <w:szCs w:val="18"/>
        </w:rPr>
        <w:t>vol. 27 (2006) 28</w:t>
      </w:r>
    </w:p>
  </w:footnote>
  <w:footnote w:id="17">
    <w:p w:rsidR="00BF4B41" w:rsidRDefault="00BF4B41" w:rsidP="00EC3299">
      <w:pPr>
        <w:pStyle w:val="FootnoteText"/>
      </w:pPr>
      <w:r>
        <w:rPr>
          <w:rStyle w:val="FootnoteReference"/>
        </w:rPr>
        <w:footnoteRef/>
      </w:r>
      <w:r>
        <w:t xml:space="preserve"> </w:t>
      </w:r>
      <w:proofErr w:type="spellStart"/>
      <w:r w:rsidRPr="00E870BC">
        <w:rPr>
          <w:sz w:val="18"/>
          <w:szCs w:val="18"/>
        </w:rPr>
        <w:t>Caciola</w:t>
      </w:r>
      <w:proofErr w:type="spellEnd"/>
      <w:r w:rsidRPr="00E870BC">
        <w:rPr>
          <w:sz w:val="18"/>
          <w:szCs w:val="18"/>
        </w:rPr>
        <w:t xml:space="preserve">, N., ‘Wraiths, Revenants and Ritual in Medieval Culture’, </w:t>
      </w:r>
      <w:r w:rsidRPr="00E870BC">
        <w:rPr>
          <w:i/>
          <w:sz w:val="18"/>
          <w:szCs w:val="18"/>
        </w:rPr>
        <w:t xml:space="preserve">Past &amp; Present, </w:t>
      </w:r>
      <w:r w:rsidRPr="00E870BC">
        <w:rPr>
          <w:sz w:val="18"/>
          <w:szCs w:val="18"/>
        </w:rPr>
        <w:t>No. 152 (1996)</w:t>
      </w:r>
      <w:r>
        <w:rPr>
          <w:sz w:val="18"/>
          <w:szCs w:val="18"/>
        </w:rPr>
        <w:t xml:space="preserve"> 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A16"/>
    <w:rsid w:val="00176D39"/>
    <w:rsid w:val="001D5C97"/>
    <w:rsid w:val="0031454E"/>
    <w:rsid w:val="003730B5"/>
    <w:rsid w:val="003B2068"/>
    <w:rsid w:val="003C5B29"/>
    <w:rsid w:val="003E5315"/>
    <w:rsid w:val="004304AE"/>
    <w:rsid w:val="004C68A3"/>
    <w:rsid w:val="004F3138"/>
    <w:rsid w:val="00565610"/>
    <w:rsid w:val="00574B90"/>
    <w:rsid w:val="0057770B"/>
    <w:rsid w:val="006165D4"/>
    <w:rsid w:val="00656415"/>
    <w:rsid w:val="006A4212"/>
    <w:rsid w:val="006F0FFF"/>
    <w:rsid w:val="00712443"/>
    <w:rsid w:val="0081529F"/>
    <w:rsid w:val="00822082"/>
    <w:rsid w:val="00867A16"/>
    <w:rsid w:val="00886D09"/>
    <w:rsid w:val="008C5995"/>
    <w:rsid w:val="008C77A3"/>
    <w:rsid w:val="00973F0C"/>
    <w:rsid w:val="00984505"/>
    <w:rsid w:val="009C7308"/>
    <w:rsid w:val="00AB72EC"/>
    <w:rsid w:val="00AE522A"/>
    <w:rsid w:val="00AF5AEA"/>
    <w:rsid w:val="00B12CC0"/>
    <w:rsid w:val="00B159C5"/>
    <w:rsid w:val="00B34D93"/>
    <w:rsid w:val="00B46911"/>
    <w:rsid w:val="00B663EA"/>
    <w:rsid w:val="00BF4B41"/>
    <w:rsid w:val="00C411DE"/>
    <w:rsid w:val="00C63E68"/>
    <w:rsid w:val="00CB1124"/>
    <w:rsid w:val="00D005D9"/>
    <w:rsid w:val="00D42D7F"/>
    <w:rsid w:val="00D71F1B"/>
    <w:rsid w:val="00D80D5F"/>
    <w:rsid w:val="00DD16DF"/>
    <w:rsid w:val="00E05F2A"/>
    <w:rsid w:val="00E53FD3"/>
    <w:rsid w:val="00E870BC"/>
    <w:rsid w:val="00EC3299"/>
    <w:rsid w:val="00F21F97"/>
    <w:rsid w:val="00F54F9F"/>
    <w:rsid w:val="00F7096E"/>
    <w:rsid w:val="00FA3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2C1B3A"/>
  <w15:chartTrackingRefBased/>
  <w15:docId w15:val="{E6D5831D-DCDD-4179-93E5-CB4B22640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34D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4D93"/>
    <w:rPr>
      <w:sz w:val="20"/>
      <w:szCs w:val="20"/>
    </w:rPr>
  </w:style>
  <w:style w:type="character" w:styleId="FootnoteReference">
    <w:name w:val="footnote reference"/>
    <w:basedOn w:val="DefaultParagraphFont"/>
    <w:uiPriority w:val="99"/>
    <w:semiHidden/>
    <w:unhideWhenUsed/>
    <w:rsid w:val="00B34D9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91A22-4E46-49B1-B4E6-05DF6C79C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2491</TotalTime>
  <Pages>6</Pages>
  <Words>1145</Words>
  <Characters>5787</Characters>
  <Application>Microsoft Office Word</Application>
  <DocSecurity>0</DocSecurity>
  <Lines>144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Hoffman (1501219)</dc:creator>
  <cp:keywords/>
  <dc:description/>
  <cp:lastModifiedBy>Mary Hoffman (1501219)</cp:lastModifiedBy>
  <cp:revision>6</cp:revision>
  <dcterms:created xsi:type="dcterms:W3CDTF">2017-11-30T01:28:00Z</dcterms:created>
  <dcterms:modified xsi:type="dcterms:W3CDTF">2017-12-01T19:02:00Z</dcterms:modified>
</cp:coreProperties>
</file>