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68550" w14:textId="19DFAD8F" w:rsidR="000264A1" w:rsidRDefault="000264A1" w:rsidP="000264A1">
      <w:r>
        <w:fldChar w:fldCharType="begin"/>
      </w:r>
      <w:r>
        <w:instrText xml:space="preserve"> INCLUDEPICTURE "/Users/biancasanfilippo/Library/Group Containers/UBF8T346G9.ms/WebArchiveCopyPasteTempFiles/com.microsoft.Word/UWTSD-Logo.jpg" \* MERGEFORMATINET </w:instrText>
      </w:r>
      <w:r>
        <w:fldChar w:fldCharType="separate"/>
      </w:r>
      <w:r>
        <w:rPr>
          <w:noProof/>
        </w:rPr>
        <w:drawing>
          <wp:inline distT="0" distB="0" distL="0" distR="0" wp14:anchorId="351214E0" wp14:editId="7163A632">
            <wp:extent cx="3347049" cy="1339785"/>
            <wp:effectExtent l="0" t="0" r="0" b="0"/>
            <wp:docPr id="64412498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29590" cy="1412854"/>
                    </a:xfrm>
                    <a:prstGeom prst="rect">
                      <a:avLst/>
                    </a:prstGeom>
                    <a:noFill/>
                    <a:ln>
                      <a:noFill/>
                    </a:ln>
                  </pic:spPr>
                </pic:pic>
              </a:graphicData>
            </a:graphic>
          </wp:inline>
        </w:drawing>
      </w:r>
      <w:r>
        <w:fldChar w:fldCharType="end"/>
      </w:r>
    </w:p>
    <w:p w14:paraId="26F548A6" w14:textId="77777777" w:rsidR="000264A1" w:rsidRDefault="000264A1" w:rsidP="000264A1">
      <w:pPr>
        <w:rPr>
          <w:rStyle w:val="Strong"/>
          <w:rFonts w:ascii="Segoe UI" w:hAnsi="Segoe UI" w:cs="Segoe UI"/>
          <w:color w:val="1D2125"/>
        </w:rPr>
      </w:pPr>
    </w:p>
    <w:p w14:paraId="5CD81D6D" w14:textId="77777777" w:rsidR="000264A1" w:rsidRPr="000264A1" w:rsidRDefault="000264A1" w:rsidP="000264A1">
      <w:pPr>
        <w:rPr>
          <w:rStyle w:val="Strong"/>
          <w:rFonts w:ascii="Arial" w:hAnsi="Arial" w:cs="Arial"/>
          <w:color w:val="1D2125"/>
          <w:sz w:val="36"/>
          <w:szCs w:val="36"/>
        </w:rPr>
      </w:pPr>
    </w:p>
    <w:p w14:paraId="63EE22A3" w14:textId="77777777" w:rsidR="000264A1" w:rsidRPr="000264A1" w:rsidRDefault="000264A1" w:rsidP="000264A1">
      <w:pPr>
        <w:jc w:val="center"/>
        <w:rPr>
          <w:rStyle w:val="Strong"/>
          <w:rFonts w:ascii="Arial" w:hAnsi="Arial" w:cs="Arial"/>
          <w:color w:val="1D2125"/>
          <w:sz w:val="36"/>
          <w:szCs w:val="36"/>
        </w:rPr>
      </w:pPr>
    </w:p>
    <w:p w14:paraId="195602A5" w14:textId="1473614C" w:rsidR="00722ABC" w:rsidRPr="000264A1" w:rsidRDefault="000264A1" w:rsidP="000264A1">
      <w:pPr>
        <w:jc w:val="center"/>
        <w:rPr>
          <w:rStyle w:val="Strong"/>
          <w:rFonts w:ascii="Arial" w:hAnsi="Arial" w:cs="Arial"/>
          <w:color w:val="1D2125"/>
          <w:sz w:val="36"/>
          <w:szCs w:val="36"/>
        </w:rPr>
      </w:pPr>
      <w:r w:rsidRPr="000264A1">
        <w:rPr>
          <w:rStyle w:val="Strong"/>
          <w:rFonts w:ascii="Arial" w:hAnsi="Arial" w:cs="Arial"/>
          <w:color w:val="1D2125"/>
          <w:sz w:val="36"/>
          <w:szCs w:val="36"/>
        </w:rPr>
        <w:t>BMHP6029-Psychopathological Classifications and Provisions</w:t>
      </w:r>
    </w:p>
    <w:p w14:paraId="2A88E453" w14:textId="77777777" w:rsidR="000264A1" w:rsidRDefault="000264A1" w:rsidP="000264A1">
      <w:pPr>
        <w:jc w:val="center"/>
        <w:rPr>
          <w:rStyle w:val="Strong"/>
          <w:rFonts w:ascii="Arial" w:hAnsi="Arial" w:cs="Arial"/>
          <w:color w:val="1D2125"/>
          <w:sz w:val="36"/>
          <w:szCs w:val="36"/>
        </w:rPr>
      </w:pPr>
    </w:p>
    <w:p w14:paraId="34AAAB14" w14:textId="77777777" w:rsidR="000264A1" w:rsidRDefault="000264A1" w:rsidP="000264A1">
      <w:pPr>
        <w:jc w:val="center"/>
        <w:rPr>
          <w:rStyle w:val="Strong"/>
          <w:rFonts w:ascii="Arial" w:hAnsi="Arial" w:cs="Arial"/>
          <w:color w:val="1D2125"/>
          <w:sz w:val="36"/>
          <w:szCs w:val="36"/>
        </w:rPr>
      </w:pPr>
    </w:p>
    <w:p w14:paraId="723DF23E" w14:textId="77777777" w:rsidR="000264A1" w:rsidRPr="000264A1" w:rsidRDefault="000264A1" w:rsidP="000264A1">
      <w:pPr>
        <w:jc w:val="center"/>
        <w:rPr>
          <w:rStyle w:val="Strong"/>
          <w:rFonts w:ascii="Arial" w:hAnsi="Arial" w:cs="Arial"/>
          <w:color w:val="1D2125"/>
          <w:sz w:val="36"/>
          <w:szCs w:val="36"/>
        </w:rPr>
      </w:pPr>
    </w:p>
    <w:p w14:paraId="3DB89340" w14:textId="55DA3173" w:rsidR="000264A1" w:rsidRPr="000264A1" w:rsidRDefault="000264A1" w:rsidP="000264A1">
      <w:pPr>
        <w:rPr>
          <w:rStyle w:val="Strong"/>
          <w:rFonts w:ascii="Arial" w:hAnsi="Arial" w:cs="Arial"/>
          <w:color w:val="1D2125"/>
          <w:sz w:val="32"/>
          <w:szCs w:val="32"/>
        </w:rPr>
      </w:pPr>
      <w:r w:rsidRPr="000264A1">
        <w:rPr>
          <w:rStyle w:val="Strong"/>
          <w:rFonts w:ascii="Arial" w:hAnsi="Arial" w:cs="Arial"/>
          <w:color w:val="1D2125"/>
          <w:sz w:val="32"/>
          <w:szCs w:val="32"/>
        </w:rPr>
        <w:t>Student name</w:t>
      </w:r>
      <w:r w:rsidR="00143E0D">
        <w:rPr>
          <w:rStyle w:val="Strong"/>
          <w:rFonts w:ascii="Arial" w:hAnsi="Arial" w:cs="Arial"/>
          <w:color w:val="1D2125"/>
          <w:sz w:val="32"/>
          <w:szCs w:val="32"/>
        </w:rPr>
        <w:t>: Chibuzor Nnadi</w:t>
      </w:r>
    </w:p>
    <w:p w14:paraId="6A68DD5C" w14:textId="4C8A6347" w:rsidR="000A0447" w:rsidRDefault="000264A1" w:rsidP="000264A1">
      <w:pPr>
        <w:rPr>
          <w:rFonts w:ascii="Arial" w:hAnsi="Arial" w:cs="Arial"/>
          <w:b/>
          <w:bCs/>
          <w:color w:val="1D2125"/>
          <w:sz w:val="32"/>
          <w:szCs w:val="32"/>
        </w:rPr>
      </w:pPr>
      <w:r w:rsidRPr="000264A1">
        <w:rPr>
          <w:rStyle w:val="Strong"/>
          <w:rFonts w:ascii="Arial" w:hAnsi="Arial" w:cs="Arial"/>
          <w:color w:val="1D2125"/>
          <w:sz w:val="32"/>
          <w:szCs w:val="32"/>
        </w:rPr>
        <w:t>Student number</w:t>
      </w:r>
      <w:r w:rsidR="00143E0D">
        <w:rPr>
          <w:rStyle w:val="Strong"/>
          <w:rFonts w:ascii="Arial" w:hAnsi="Arial" w:cs="Arial"/>
          <w:color w:val="1D2125"/>
          <w:sz w:val="32"/>
          <w:szCs w:val="32"/>
        </w:rPr>
        <w:t>:</w:t>
      </w:r>
      <w:r w:rsidRPr="000264A1">
        <w:rPr>
          <w:rStyle w:val="Strong"/>
          <w:rFonts w:ascii="Arial" w:hAnsi="Arial" w:cs="Arial"/>
          <w:color w:val="1D2125"/>
          <w:sz w:val="32"/>
          <w:szCs w:val="32"/>
        </w:rPr>
        <w:t xml:space="preserve"> </w:t>
      </w:r>
      <w:r w:rsidR="00143E0D">
        <w:rPr>
          <w:rStyle w:val="Strong"/>
          <w:rFonts w:ascii="Arial" w:hAnsi="Arial" w:cs="Arial"/>
          <w:color w:val="1D2125"/>
          <w:sz w:val="32"/>
          <w:szCs w:val="32"/>
        </w:rPr>
        <w:t>2331428</w:t>
      </w:r>
    </w:p>
    <w:p w14:paraId="44FE3AC9" w14:textId="7F540534" w:rsidR="000A0447" w:rsidRDefault="000A0447" w:rsidP="000264A1">
      <w:pPr>
        <w:rPr>
          <w:rFonts w:ascii="Arial" w:hAnsi="Arial" w:cs="Arial"/>
          <w:b/>
          <w:bCs/>
          <w:color w:val="1D2125"/>
          <w:sz w:val="32"/>
          <w:szCs w:val="32"/>
        </w:rPr>
      </w:pPr>
      <w:r w:rsidRPr="000A0447">
        <w:rPr>
          <w:rFonts w:ascii="Arial" w:hAnsi="Arial" w:cs="Arial"/>
          <w:b/>
          <w:bCs/>
          <w:color w:val="1D2125"/>
          <w:sz w:val="32"/>
          <w:szCs w:val="32"/>
        </w:rPr>
        <w:t xml:space="preserve"> Module Code and Title:</w:t>
      </w:r>
      <w:r w:rsidR="00143E0D">
        <w:rPr>
          <w:rFonts w:ascii="Arial" w:hAnsi="Arial" w:cs="Arial"/>
          <w:b/>
          <w:bCs/>
          <w:color w:val="1D2125"/>
          <w:sz w:val="32"/>
          <w:szCs w:val="32"/>
        </w:rPr>
        <w:t xml:space="preserve"> </w:t>
      </w:r>
      <w:r w:rsidR="00143E0D" w:rsidRPr="000264A1">
        <w:rPr>
          <w:rStyle w:val="Strong"/>
          <w:rFonts w:ascii="Arial" w:hAnsi="Arial" w:cs="Arial"/>
          <w:color w:val="1D2125"/>
          <w:sz w:val="36"/>
          <w:szCs w:val="36"/>
        </w:rPr>
        <w:t>BMHP</w:t>
      </w:r>
      <w:r w:rsidR="00E33058">
        <w:rPr>
          <w:rStyle w:val="Strong"/>
          <w:rFonts w:ascii="Arial" w:hAnsi="Arial" w:cs="Arial"/>
          <w:color w:val="1D2125"/>
          <w:sz w:val="36"/>
          <w:szCs w:val="36"/>
        </w:rPr>
        <w:t xml:space="preserve"> </w:t>
      </w:r>
      <w:r w:rsidR="00143E0D" w:rsidRPr="000264A1">
        <w:rPr>
          <w:rStyle w:val="Strong"/>
          <w:rFonts w:ascii="Arial" w:hAnsi="Arial" w:cs="Arial"/>
          <w:color w:val="1D2125"/>
          <w:sz w:val="36"/>
          <w:szCs w:val="36"/>
        </w:rPr>
        <w:t>6029</w:t>
      </w:r>
    </w:p>
    <w:p w14:paraId="4CF43E7B" w14:textId="4B46A11D" w:rsidR="000A0447" w:rsidRDefault="000A0447" w:rsidP="000264A1">
      <w:pPr>
        <w:rPr>
          <w:rFonts w:ascii="Arial" w:hAnsi="Arial" w:cs="Arial"/>
          <w:b/>
          <w:bCs/>
          <w:color w:val="1D2125"/>
          <w:sz w:val="32"/>
          <w:szCs w:val="32"/>
        </w:rPr>
      </w:pPr>
      <w:r w:rsidRPr="000A0447">
        <w:rPr>
          <w:rFonts w:ascii="Arial" w:hAnsi="Arial" w:cs="Arial"/>
          <w:b/>
          <w:bCs/>
          <w:color w:val="1D2125"/>
          <w:sz w:val="32"/>
          <w:szCs w:val="32"/>
        </w:rPr>
        <w:t xml:space="preserve"> Lecturer: </w:t>
      </w:r>
      <w:r w:rsidR="001B33A0" w:rsidRPr="001B33A0">
        <w:rPr>
          <w:rFonts w:ascii="Arial" w:hAnsi="Arial" w:cs="Arial"/>
          <w:b/>
          <w:bCs/>
          <w:color w:val="1D2125"/>
          <w:sz w:val="32"/>
          <w:szCs w:val="32"/>
        </w:rPr>
        <w:t xml:space="preserve">Oluwadamilola </w:t>
      </w:r>
      <w:r w:rsidR="001B33A0">
        <w:rPr>
          <w:rFonts w:ascii="Arial" w:hAnsi="Arial" w:cs="Arial"/>
          <w:b/>
          <w:bCs/>
          <w:color w:val="1D2125"/>
          <w:sz w:val="32"/>
          <w:szCs w:val="32"/>
        </w:rPr>
        <w:t>Tayo</w:t>
      </w:r>
    </w:p>
    <w:p w14:paraId="6BCEAB3F" w14:textId="7376940F" w:rsidR="000A0447" w:rsidRDefault="000A0447" w:rsidP="000264A1">
      <w:pPr>
        <w:rPr>
          <w:rFonts w:ascii="Arial" w:hAnsi="Arial" w:cs="Arial"/>
          <w:b/>
          <w:bCs/>
          <w:color w:val="1D2125"/>
          <w:sz w:val="32"/>
          <w:szCs w:val="32"/>
        </w:rPr>
      </w:pPr>
      <w:r w:rsidRPr="000A0447">
        <w:rPr>
          <w:rFonts w:ascii="Arial" w:hAnsi="Arial" w:cs="Arial"/>
          <w:b/>
          <w:bCs/>
          <w:color w:val="1D2125"/>
          <w:sz w:val="32"/>
          <w:szCs w:val="32"/>
        </w:rPr>
        <w:t xml:space="preserve"> Assignment: Component 2 – Written Report</w:t>
      </w:r>
      <w:r w:rsidR="00C602ED">
        <w:rPr>
          <w:rFonts w:ascii="Arial" w:hAnsi="Arial" w:cs="Arial"/>
          <w:b/>
          <w:bCs/>
          <w:color w:val="1D2125"/>
          <w:sz w:val="32"/>
          <w:szCs w:val="32"/>
        </w:rPr>
        <w:t xml:space="preserve"> (last)</w:t>
      </w:r>
    </w:p>
    <w:p w14:paraId="4D5F5933" w14:textId="77777777" w:rsidR="00143E0D" w:rsidRDefault="000A0447" w:rsidP="000264A1">
      <w:pPr>
        <w:rPr>
          <w:rFonts w:ascii="Arial" w:hAnsi="Arial" w:cs="Arial"/>
          <w:b/>
          <w:bCs/>
          <w:color w:val="1D2125"/>
          <w:sz w:val="32"/>
          <w:szCs w:val="32"/>
        </w:rPr>
      </w:pPr>
      <w:r w:rsidRPr="000A0447">
        <w:rPr>
          <w:rFonts w:ascii="Arial" w:hAnsi="Arial" w:cs="Arial"/>
          <w:b/>
          <w:bCs/>
          <w:color w:val="1D2125"/>
          <w:sz w:val="32"/>
          <w:szCs w:val="32"/>
        </w:rPr>
        <w:t xml:space="preserve"> Word Count: 2,000 words</w:t>
      </w:r>
      <w:r>
        <w:rPr>
          <w:rFonts w:ascii="Arial" w:hAnsi="Arial" w:cs="Arial"/>
          <w:b/>
          <w:bCs/>
          <w:color w:val="1D2125"/>
          <w:sz w:val="32"/>
          <w:szCs w:val="32"/>
        </w:rPr>
        <w:t>.</w:t>
      </w:r>
    </w:p>
    <w:p w14:paraId="35C5AD22" w14:textId="48E9D363" w:rsidR="000A0447" w:rsidRPr="000264A1" w:rsidRDefault="000A0447" w:rsidP="000264A1">
      <w:pPr>
        <w:rPr>
          <w:rStyle w:val="Strong"/>
          <w:rFonts w:ascii="Arial" w:hAnsi="Arial" w:cs="Arial"/>
          <w:color w:val="1D2125"/>
          <w:sz w:val="32"/>
          <w:szCs w:val="32"/>
        </w:rPr>
      </w:pPr>
      <w:r w:rsidRPr="000A0447">
        <w:rPr>
          <w:rFonts w:ascii="Arial" w:hAnsi="Arial" w:cs="Arial"/>
          <w:b/>
          <w:bCs/>
          <w:color w:val="1D2125"/>
          <w:sz w:val="32"/>
          <w:szCs w:val="32"/>
        </w:rPr>
        <w:t xml:space="preserve"> Chosen Disorder: Schizophrenia (ICD</w:t>
      </w:r>
      <w:r w:rsidRPr="000A0447">
        <w:rPr>
          <w:rFonts w:ascii="Arial" w:hAnsi="Arial" w:cs="Arial"/>
          <w:b/>
          <w:bCs/>
          <w:color w:val="1D2125"/>
          <w:sz w:val="32"/>
          <w:szCs w:val="32"/>
        </w:rPr>
        <w:noBreakHyphen/>
        <w:t>11: 6A20)</w:t>
      </w:r>
    </w:p>
    <w:p w14:paraId="7DD82387" w14:textId="77777777" w:rsidR="000264A1" w:rsidRDefault="000264A1" w:rsidP="000264A1">
      <w:pPr>
        <w:rPr>
          <w:rFonts w:ascii="Arial" w:hAnsi="Arial" w:cs="Arial"/>
          <w:sz w:val="36"/>
          <w:szCs w:val="36"/>
        </w:rPr>
      </w:pPr>
    </w:p>
    <w:p w14:paraId="563A7395" w14:textId="77777777" w:rsidR="000264A1" w:rsidRDefault="000264A1" w:rsidP="000264A1">
      <w:pPr>
        <w:rPr>
          <w:rFonts w:ascii="Arial" w:hAnsi="Arial" w:cs="Arial"/>
          <w:sz w:val="36"/>
          <w:szCs w:val="36"/>
        </w:rPr>
      </w:pPr>
    </w:p>
    <w:p w14:paraId="5805392B" w14:textId="77777777" w:rsidR="000264A1" w:rsidRDefault="000264A1" w:rsidP="000264A1">
      <w:pPr>
        <w:rPr>
          <w:rFonts w:ascii="Arial" w:hAnsi="Arial" w:cs="Arial"/>
          <w:sz w:val="36"/>
          <w:szCs w:val="36"/>
        </w:rPr>
      </w:pPr>
    </w:p>
    <w:p w14:paraId="4F5FBEC9" w14:textId="77777777" w:rsidR="000264A1" w:rsidRDefault="000264A1" w:rsidP="000264A1">
      <w:pPr>
        <w:rPr>
          <w:rFonts w:ascii="Arial" w:hAnsi="Arial" w:cs="Arial"/>
          <w:sz w:val="36"/>
          <w:szCs w:val="36"/>
        </w:rPr>
      </w:pPr>
    </w:p>
    <w:p w14:paraId="1DC432D4" w14:textId="77777777" w:rsidR="000264A1" w:rsidRDefault="000264A1" w:rsidP="000264A1">
      <w:pPr>
        <w:rPr>
          <w:rFonts w:ascii="Arial" w:hAnsi="Arial" w:cs="Arial"/>
          <w:sz w:val="36"/>
          <w:szCs w:val="36"/>
        </w:rPr>
      </w:pPr>
    </w:p>
    <w:sdt>
      <w:sdtPr>
        <w:rPr>
          <w:rFonts w:asciiTheme="minorHAnsi" w:eastAsiaTheme="minorHAnsi" w:hAnsiTheme="minorHAnsi" w:cstheme="minorBidi"/>
          <w:color w:val="auto"/>
          <w:kern w:val="2"/>
          <w:sz w:val="24"/>
          <w:szCs w:val="24"/>
          <w:lang w:eastAsia="en-US"/>
          <w14:ligatures w14:val="standardContextual"/>
        </w:rPr>
        <w:id w:val="1204988352"/>
        <w:docPartObj>
          <w:docPartGallery w:val="Table of Contents"/>
          <w:docPartUnique/>
        </w:docPartObj>
      </w:sdtPr>
      <w:sdtEndPr>
        <w:rPr>
          <w:b/>
          <w:bCs/>
        </w:rPr>
      </w:sdtEndPr>
      <w:sdtContent>
        <w:p w14:paraId="526687B1" w14:textId="0C9D91A4" w:rsidR="00E33058" w:rsidRDefault="00E33058">
          <w:pPr>
            <w:pStyle w:val="TOCHeading"/>
          </w:pPr>
          <w:r>
            <w:t>Table of Contents</w:t>
          </w:r>
        </w:p>
        <w:p w14:paraId="49CAA64C" w14:textId="0637C0BC" w:rsidR="00E33058" w:rsidRDefault="00E3305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7263103" w:history="1">
            <w:r w:rsidRPr="00890EC6">
              <w:rPr>
                <w:rStyle w:val="Hyperlink"/>
                <w:noProof/>
              </w:rPr>
              <w:t>Classification and Diagnosis</w:t>
            </w:r>
            <w:r>
              <w:rPr>
                <w:noProof/>
                <w:webHidden/>
              </w:rPr>
              <w:tab/>
            </w:r>
            <w:r>
              <w:rPr>
                <w:noProof/>
                <w:webHidden/>
              </w:rPr>
              <w:fldChar w:fldCharType="begin"/>
            </w:r>
            <w:r>
              <w:rPr>
                <w:noProof/>
                <w:webHidden/>
              </w:rPr>
              <w:instrText xml:space="preserve"> PAGEREF _Toc237263103 \h </w:instrText>
            </w:r>
            <w:r>
              <w:rPr>
                <w:noProof/>
                <w:webHidden/>
              </w:rPr>
            </w:r>
            <w:r>
              <w:rPr>
                <w:noProof/>
                <w:webHidden/>
              </w:rPr>
              <w:fldChar w:fldCharType="separate"/>
            </w:r>
            <w:r>
              <w:rPr>
                <w:noProof/>
                <w:webHidden/>
              </w:rPr>
              <w:t>3</w:t>
            </w:r>
            <w:r>
              <w:rPr>
                <w:noProof/>
                <w:webHidden/>
              </w:rPr>
              <w:fldChar w:fldCharType="end"/>
            </w:r>
          </w:hyperlink>
        </w:p>
        <w:p w14:paraId="7E5A7BDC" w14:textId="51E30049" w:rsidR="00E33058" w:rsidRDefault="00E33058">
          <w:pPr>
            <w:pStyle w:val="TOC1"/>
            <w:tabs>
              <w:tab w:val="right" w:leader="dot" w:pos="9016"/>
            </w:tabs>
            <w:rPr>
              <w:rFonts w:eastAsiaTheme="minorEastAsia"/>
              <w:noProof/>
              <w:lang w:eastAsia="en-GB"/>
            </w:rPr>
          </w:pPr>
          <w:hyperlink w:anchor="_Toc237263104" w:history="1">
            <w:r w:rsidRPr="00890EC6">
              <w:rPr>
                <w:rStyle w:val="Hyperlink"/>
                <w:noProof/>
              </w:rPr>
              <w:t>Treatment and Rehabilitation</w:t>
            </w:r>
            <w:r>
              <w:rPr>
                <w:noProof/>
                <w:webHidden/>
              </w:rPr>
              <w:tab/>
            </w:r>
            <w:r>
              <w:rPr>
                <w:noProof/>
                <w:webHidden/>
              </w:rPr>
              <w:fldChar w:fldCharType="begin"/>
            </w:r>
            <w:r>
              <w:rPr>
                <w:noProof/>
                <w:webHidden/>
              </w:rPr>
              <w:instrText xml:space="preserve"> PAGEREF _Toc237263104 \h </w:instrText>
            </w:r>
            <w:r>
              <w:rPr>
                <w:noProof/>
                <w:webHidden/>
              </w:rPr>
            </w:r>
            <w:r>
              <w:rPr>
                <w:noProof/>
                <w:webHidden/>
              </w:rPr>
              <w:fldChar w:fldCharType="separate"/>
            </w:r>
            <w:r>
              <w:rPr>
                <w:noProof/>
                <w:webHidden/>
              </w:rPr>
              <w:t>4</w:t>
            </w:r>
            <w:r>
              <w:rPr>
                <w:noProof/>
                <w:webHidden/>
              </w:rPr>
              <w:fldChar w:fldCharType="end"/>
            </w:r>
          </w:hyperlink>
        </w:p>
        <w:p w14:paraId="704EA759" w14:textId="5EB948CA" w:rsidR="00E33058" w:rsidRDefault="00E33058">
          <w:pPr>
            <w:pStyle w:val="TOC1"/>
            <w:tabs>
              <w:tab w:val="right" w:leader="dot" w:pos="9016"/>
            </w:tabs>
            <w:rPr>
              <w:rFonts w:eastAsiaTheme="minorEastAsia"/>
              <w:noProof/>
              <w:lang w:eastAsia="en-GB"/>
            </w:rPr>
          </w:pPr>
          <w:hyperlink w:anchor="_Toc237263105" w:history="1">
            <w:r w:rsidRPr="00890EC6">
              <w:rPr>
                <w:rStyle w:val="Hyperlink"/>
                <w:noProof/>
              </w:rPr>
              <w:t>Current Classification</w:t>
            </w:r>
            <w:r>
              <w:rPr>
                <w:noProof/>
                <w:webHidden/>
              </w:rPr>
              <w:tab/>
            </w:r>
            <w:r>
              <w:rPr>
                <w:noProof/>
                <w:webHidden/>
              </w:rPr>
              <w:fldChar w:fldCharType="begin"/>
            </w:r>
            <w:r>
              <w:rPr>
                <w:noProof/>
                <w:webHidden/>
              </w:rPr>
              <w:instrText xml:space="preserve"> PAGEREF _Toc237263105 \h </w:instrText>
            </w:r>
            <w:r>
              <w:rPr>
                <w:noProof/>
                <w:webHidden/>
              </w:rPr>
            </w:r>
            <w:r>
              <w:rPr>
                <w:noProof/>
                <w:webHidden/>
              </w:rPr>
              <w:fldChar w:fldCharType="separate"/>
            </w:r>
            <w:r>
              <w:rPr>
                <w:noProof/>
                <w:webHidden/>
              </w:rPr>
              <w:t>6</w:t>
            </w:r>
            <w:r>
              <w:rPr>
                <w:noProof/>
                <w:webHidden/>
              </w:rPr>
              <w:fldChar w:fldCharType="end"/>
            </w:r>
          </w:hyperlink>
        </w:p>
        <w:p w14:paraId="1476E810" w14:textId="42B03F3B" w:rsidR="00E33058" w:rsidRDefault="00E33058">
          <w:pPr>
            <w:pStyle w:val="TOC1"/>
            <w:tabs>
              <w:tab w:val="right" w:leader="dot" w:pos="9016"/>
            </w:tabs>
            <w:rPr>
              <w:rFonts w:eastAsiaTheme="minorEastAsia"/>
              <w:noProof/>
              <w:lang w:eastAsia="en-GB"/>
            </w:rPr>
          </w:pPr>
          <w:hyperlink w:anchor="_Toc237263106" w:history="1">
            <w:r w:rsidRPr="00890EC6">
              <w:rPr>
                <w:rStyle w:val="Hyperlink"/>
                <w:noProof/>
              </w:rPr>
              <w:t>Recommendations</w:t>
            </w:r>
            <w:r>
              <w:rPr>
                <w:noProof/>
                <w:webHidden/>
              </w:rPr>
              <w:tab/>
            </w:r>
            <w:r>
              <w:rPr>
                <w:noProof/>
                <w:webHidden/>
              </w:rPr>
              <w:fldChar w:fldCharType="begin"/>
            </w:r>
            <w:r>
              <w:rPr>
                <w:noProof/>
                <w:webHidden/>
              </w:rPr>
              <w:instrText xml:space="preserve"> PAGEREF _Toc237263106 \h </w:instrText>
            </w:r>
            <w:r>
              <w:rPr>
                <w:noProof/>
                <w:webHidden/>
              </w:rPr>
            </w:r>
            <w:r>
              <w:rPr>
                <w:noProof/>
                <w:webHidden/>
              </w:rPr>
              <w:fldChar w:fldCharType="separate"/>
            </w:r>
            <w:r>
              <w:rPr>
                <w:noProof/>
                <w:webHidden/>
              </w:rPr>
              <w:t>7</w:t>
            </w:r>
            <w:r>
              <w:rPr>
                <w:noProof/>
                <w:webHidden/>
              </w:rPr>
              <w:fldChar w:fldCharType="end"/>
            </w:r>
          </w:hyperlink>
        </w:p>
        <w:p w14:paraId="30B1627D" w14:textId="2767E47D" w:rsidR="00E33058" w:rsidRDefault="00E33058">
          <w:pPr>
            <w:pStyle w:val="TOC1"/>
            <w:tabs>
              <w:tab w:val="right" w:leader="dot" w:pos="9016"/>
            </w:tabs>
            <w:rPr>
              <w:rFonts w:eastAsiaTheme="minorEastAsia"/>
              <w:noProof/>
              <w:lang w:eastAsia="en-GB"/>
            </w:rPr>
          </w:pPr>
          <w:hyperlink w:anchor="_Toc237263107" w:history="1">
            <w:r w:rsidRPr="00890EC6">
              <w:rPr>
                <w:rStyle w:val="Hyperlink"/>
                <w:noProof/>
              </w:rPr>
              <w:t>Conclusion</w:t>
            </w:r>
            <w:r>
              <w:rPr>
                <w:noProof/>
                <w:webHidden/>
              </w:rPr>
              <w:tab/>
            </w:r>
            <w:r>
              <w:rPr>
                <w:noProof/>
                <w:webHidden/>
              </w:rPr>
              <w:fldChar w:fldCharType="begin"/>
            </w:r>
            <w:r>
              <w:rPr>
                <w:noProof/>
                <w:webHidden/>
              </w:rPr>
              <w:instrText xml:space="preserve"> PAGEREF _Toc237263107 \h </w:instrText>
            </w:r>
            <w:r>
              <w:rPr>
                <w:noProof/>
                <w:webHidden/>
              </w:rPr>
            </w:r>
            <w:r>
              <w:rPr>
                <w:noProof/>
                <w:webHidden/>
              </w:rPr>
              <w:fldChar w:fldCharType="separate"/>
            </w:r>
            <w:r>
              <w:rPr>
                <w:noProof/>
                <w:webHidden/>
              </w:rPr>
              <w:t>8</w:t>
            </w:r>
            <w:r>
              <w:rPr>
                <w:noProof/>
                <w:webHidden/>
              </w:rPr>
              <w:fldChar w:fldCharType="end"/>
            </w:r>
          </w:hyperlink>
        </w:p>
        <w:p w14:paraId="201C237D" w14:textId="64B917C0" w:rsidR="00E33058" w:rsidRDefault="00E33058">
          <w:pPr>
            <w:pStyle w:val="TOC1"/>
            <w:tabs>
              <w:tab w:val="right" w:leader="dot" w:pos="9016"/>
            </w:tabs>
            <w:rPr>
              <w:rFonts w:eastAsiaTheme="minorEastAsia"/>
              <w:noProof/>
              <w:lang w:eastAsia="en-GB"/>
            </w:rPr>
          </w:pPr>
          <w:hyperlink w:anchor="_Toc237263108" w:history="1">
            <w:r w:rsidRPr="00890EC6">
              <w:rPr>
                <w:rStyle w:val="Hyperlink"/>
                <w:noProof/>
                <w:kern w:val="0"/>
                <w:lang w:eastAsia="en-GB"/>
                <w14:ligatures w14:val="none"/>
              </w:rPr>
              <w:t>References</w:t>
            </w:r>
            <w:r>
              <w:rPr>
                <w:noProof/>
                <w:webHidden/>
              </w:rPr>
              <w:tab/>
            </w:r>
            <w:r>
              <w:rPr>
                <w:noProof/>
                <w:webHidden/>
              </w:rPr>
              <w:fldChar w:fldCharType="begin"/>
            </w:r>
            <w:r>
              <w:rPr>
                <w:noProof/>
                <w:webHidden/>
              </w:rPr>
              <w:instrText xml:space="preserve"> PAGEREF _Toc237263108 \h </w:instrText>
            </w:r>
            <w:r>
              <w:rPr>
                <w:noProof/>
                <w:webHidden/>
              </w:rPr>
            </w:r>
            <w:r>
              <w:rPr>
                <w:noProof/>
                <w:webHidden/>
              </w:rPr>
              <w:fldChar w:fldCharType="separate"/>
            </w:r>
            <w:r>
              <w:rPr>
                <w:noProof/>
                <w:webHidden/>
              </w:rPr>
              <w:t>8</w:t>
            </w:r>
            <w:r>
              <w:rPr>
                <w:noProof/>
                <w:webHidden/>
              </w:rPr>
              <w:fldChar w:fldCharType="end"/>
            </w:r>
          </w:hyperlink>
        </w:p>
        <w:p w14:paraId="427065F8" w14:textId="728A3039" w:rsidR="00E33058" w:rsidRDefault="00E33058">
          <w:r>
            <w:rPr>
              <w:b/>
              <w:bCs/>
            </w:rPr>
            <w:fldChar w:fldCharType="end"/>
          </w:r>
        </w:p>
      </w:sdtContent>
    </w:sdt>
    <w:p w14:paraId="566AE445" w14:textId="77777777" w:rsidR="00E33058" w:rsidRDefault="00E33058" w:rsidP="000264A1">
      <w:pPr>
        <w:rPr>
          <w:rFonts w:ascii="Arial" w:hAnsi="Arial" w:cs="Arial"/>
          <w:sz w:val="36"/>
          <w:szCs w:val="36"/>
        </w:rPr>
      </w:pPr>
    </w:p>
    <w:p w14:paraId="6B65CDD9" w14:textId="77777777" w:rsidR="008A6D32" w:rsidRDefault="008A6D32" w:rsidP="000264A1">
      <w:pPr>
        <w:rPr>
          <w:rFonts w:ascii="Arial" w:hAnsi="Arial" w:cs="Arial"/>
          <w:sz w:val="36"/>
          <w:szCs w:val="36"/>
        </w:rPr>
      </w:pPr>
    </w:p>
    <w:p w14:paraId="24BAB5A5" w14:textId="77777777" w:rsidR="00E33058" w:rsidRDefault="00E33058" w:rsidP="000264A1">
      <w:pPr>
        <w:rPr>
          <w:rFonts w:ascii="Arial" w:hAnsi="Arial" w:cs="Arial"/>
          <w:sz w:val="36"/>
          <w:szCs w:val="36"/>
        </w:rPr>
      </w:pPr>
    </w:p>
    <w:p w14:paraId="44103783" w14:textId="77777777" w:rsidR="00E33058" w:rsidRDefault="00E33058" w:rsidP="000264A1">
      <w:pPr>
        <w:rPr>
          <w:rFonts w:ascii="Arial" w:hAnsi="Arial" w:cs="Arial"/>
          <w:sz w:val="36"/>
          <w:szCs w:val="36"/>
        </w:rPr>
      </w:pPr>
    </w:p>
    <w:p w14:paraId="384BE51C" w14:textId="77777777" w:rsidR="00E33058" w:rsidRDefault="00E33058" w:rsidP="000264A1">
      <w:pPr>
        <w:rPr>
          <w:rFonts w:ascii="Arial" w:hAnsi="Arial" w:cs="Arial"/>
          <w:sz w:val="36"/>
          <w:szCs w:val="36"/>
        </w:rPr>
      </w:pPr>
    </w:p>
    <w:p w14:paraId="0F8BC3CF" w14:textId="77777777" w:rsidR="00E33058" w:rsidRDefault="00E33058" w:rsidP="000264A1">
      <w:pPr>
        <w:rPr>
          <w:rFonts w:ascii="Arial" w:hAnsi="Arial" w:cs="Arial"/>
          <w:sz w:val="36"/>
          <w:szCs w:val="36"/>
        </w:rPr>
      </w:pPr>
    </w:p>
    <w:p w14:paraId="4AD87782" w14:textId="77777777" w:rsidR="00E33058" w:rsidRDefault="00E33058" w:rsidP="000264A1">
      <w:pPr>
        <w:rPr>
          <w:rFonts w:ascii="Arial" w:hAnsi="Arial" w:cs="Arial"/>
          <w:sz w:val="36"/>
          <w:szCs w:val="36"/>
        </w:rPr>
      </w:pPr>
    </w:p>
    <w:p w14:paraId="208289EA" w14:textId="77777777" w:rsidR="00E33058" w:rsidRDefault="00E33058" w:rsidP="000264A1">
      <w:pPr>
        <w:rPr>
          <w:rFonts w:ascii="Arial" w:hAnsi="Arial" w:cs="Arial"/>
          <w:sz w:val="36"/>
          <w:szCs w:val="36"/>
        </w:rPr>
      </w:pPr>
    </w:p>
    <w:p w14:paraId="340DF3DA" w14:textId="77777777" w:rsidR="00E33058" w:rsidRDefault="00E33058" w:rsidP="000264A1">
      <w:pPr>
        <w:rPr>
          <w:rFonts w:ascii="Arial" w:hAnsi="Arial" w:cs="Arial"/>
          <w:sz w:val="36"/>
          <w:szCs w:val="36"/>
        </w:rPr>
      </w:pPr>
    </w:p>
    <w:p w14:paraId="3249229E" w14:textId="77777777" w:rsidR="00E33058" w:rsidRDefault="00E33058" w:rsidP="000264A1">
      <w:pPr>
        <w:rPr>
          <w:rFonts w:ascii="Arial" w:hAnsi="Arial" w:cs="Arial"/>
          <w:sz w:val="36"/>
          <w:szCs w:val="36"/>
        </w:rPr>
      </w:pPr>
    </w:p>
    <w:p w14:paraId="3AC83462" w14:textId="77777777" w:rsidR="00E33058" w:rsidRDefault="00E33058" w:rsidP="000264A1">
      <w:pPr>
        <w:rPr>
          <w:rFonts w:ascii="Arial" w:hAnsi="Arial" w:cs="Arial"/>
          <w:sz w:val="36"/>
          <w:szCs w:val="36"/>
        </w:rPr>
      </w:pPr>
    </w:p>
    <w:p w14:paraId="4DA1875C" w14:textId="77777777" w:rsidR="00E33058" w:rsidRDefault="00E33058" w:rsidP="000264A1">
      <w:pPr>
        <w:rPr>
          <w:rFonts w:ascii="Arial" w:hAnsi="Arial" w:cs="Arial"/>
          <w:sz w:val="36"/>
          <w:szCs w:val="36"/>
        </w:rPr>
      </w:pPr>
    </w:p>
    <w:p w14:paraId="53ED2399" w14:textId="77777777" w:rsidR="00E33058" w:rsidRDefault="00E33058" w:rsidP="000264A1">
      <w:pPr>
        <w:rPr>
          <w:rFonts w:ascii="Arial" w:hAnsi="Arial" w:cs="Arial"/>
          <w:sz w:val="36"/>
          <w:szCs w:val="36"/>
        </w:rPr>
      </w:pPr>
    </w:p>
    <w:p w14:paraId="1DEC40D5" w14:textId="77777777" w:rsidR="000264A1" w:rsidRDefault="000264A1" w:rsidP="000264A1">
      <w:pPr>
        <w:rPr>
          <w:rFonts w:ascii="Arial" w:hAnsi="Arial" w:cs="Arial"/>
          <w:sz w:val="36"/>
          <w:szCs w:val="36"/>
        </w:rPr>
      </w:pPr>
    </w:p>
    <w:p w14:paraId="432AEE04" w14:textId="77777777" w:rsidR="000264A1" w:rsidRDefault="000264A1" w:rsidP="000264A1">
      <w:pPr>
        <w:rPr>
          <w:rFonts w:ascii="Arial" w:hAnsi="Arial" w:cs="Arial"/>
          <w:sz w:val="36"/>
          <w:szCs w:val="36"/>
        </w:rPr>
      </w:pPr>
    </w:p>
    <w:p w14:paraId="6C4C59C4" w14:textId="1A099856" w:rsidR="00AC7986" w:rsidRPr="004021DA" w:rsidRDefault="008A6D32" w:rsidP="004021DA">
      <w:pPr>
        <w:pStyle w:val="Heading1"/>
        <w:spacing w:line="360" w:lineRule="auto"/>
        <w:rPr>
          <w:rFonts w:ascii="Arial" w:hAnsi="Arial" w:cs="Arial"/>
          <w:sz w:val="22"/>
          <w:szCs w:val="22"/>
        </w:rPr>
      </w:pPr>
      <w:bookmarkStart w:id="0" w:name="_Toc237263103"/>
      <w:r w:rsidRPr="001B33A0">
        <w:lastRenderedPageBreak/>
        <w:t>Clas</w:t>
      </w:r>
      <w:r w:rsidRPr="004021DA">
        <w:rPr>
          <w:rFonts w:ascii="Arial" w:hAnsi="Arial" w:cs="Arial"/>
          <w:sz w:val="22"/>
          <w:szCs w:val="22"/>
        </w:rPr>
        <w:t>sification and Diagnosis</w:t>
      </w:r>
      <w:bookmarkEnd w:id="0"/>
      <w:r w:rsidRPr="004021DA">
        <w:rPr>
          <w:rStyle w:val="apple-converted-space"/>
          <w:rFonts w:ascii="Arial" w:hAnsi="Arial" w:cs="Arial"/>
          <w:b/>
          <w:bCs/>
          <w:color w:val="000000"/>
          <w:sz w:val="22"/>
          <w:szCs w:val="22"/>
        </w:rPr>
        <w:t> </w:t>
      </w:r>
    </w:p>
    <w:p w14:paraId="12CBA632" w14:textId="4EE8FBFE" w:rsidR="008A6D32" w:rsidRPr="004021DA" w:rsidRDefault="00F70DD4" w:rsidP="004021DA">
      <w:pPr>
        <w:pStyle w:val="NormalWeb"/>
        <w:spacing w:line="360" w:lineRule="auto"/>
        <w:rPr>
          <w:rFonts w:ascii="Arial" w:hAnsi="Arial" w:cs="Arial"/>
          <w:b/>
          <w:bCs/>
          <w:color w:val="000000"/>
          <w:sz w:val="22"/>
          <w:szCs w:val="22"/>
        </w:rPr>
      </w:pPr>
      <w:r w:rsidRPr="004021DA">
        <w:rPr>
          <w:rFonts w:ascii="Arial" w:hAnsi="Arial" w:cs="Arial"/>
          <w:color w:val="000000"/>
          <w:sz w:val="22"/>
          <w:szCs w:val="22"/>
        </w:rPr>
        <w:t>Schizophrenia is categorised in the ICD</w:t>
      </w:r>
      <w:r w:rsidRPr="004021DA">
        <w:rPr>
          <w:rFonts w:ascii="Arial" w:hAnsi="Arial" w:cs="Arial"/>
          <w:color w:val="000000"/>
          <w:sz w:val="22"/>
          <w:szCs w:val="22"/>
        </w:rPr>
        <w:noBreakHyphen/>
        <w:t xml:space="preserve">11 under Chapter 06, which covers Mental, Behavioural, and Neurodevelopmental Disorders. It falls under the group of Schizophrenia or Other Primary Psychotic </w:t>
      </w:r>
      <w:r w:rsidR="00123624" w:rsidRPr="004021DA">
        <w:rPr>
          <w:rFonts w:ascii="Arial" w:hAnsi="Arial" w:cs="Arial"/>
          <w:color w:val="000000"/>
          <w:sz w:val="22"/>
          <w:szCs w:val="22"/>
        </w:rPr>
        <w:t>Disorders (</w:t>
      </w:r>
      <w:proofErr w:type="spellStart"/>
      <w:r w:rsidR="00123624" w:rsidRPr="004021DA">
        <w:rPr>
          <w:rFonts w:ascii="Arial" w:hAnsi="Arial" w:cs="Arial"/>
          <w:color w:val="000000"/>
          <w:sz w:val="22"/>
          <w:szCs w:val="22"/>
        </w:rPr>
        <w:t>Hualparuca</w:t>
      </w:r>
      <w:proofErr w:type="spellEnd"/>
      <w:r w:rsidR="00123624" w:rsidRPr="004021DA">
        <w:rPr>
          <w:rFonts w:ascii="Arial" w:hAnsi="Arial" w:cs="Arial"/>
          <w:color w:val="000000"/>
          <w:sz w:val="22"/>
          <w:szCs w:val="22"/>
        </w:rPr>
        <w:t>-Olivera et al., 2025)</w:t>
      </w:r>
      <w:r w:rsidRPr="004021DA">
        <w:rPr>
          <w:rFonts w:ascii="Arial" w:hAnsi="Arial" w:cs="Arial"/>
          <w:color w:val="000000"/>
          <w:sz w:val="22"/>
          <w:szCs w:val="22"/>
        </w:rPr>
        <w:t>. The specific diagnostic code for schizophrenia is 6A20, highlighting its role as a primary psychotic disorder marked by disruptions in perception, thought, emotion, and behaviour. Unlike the ICD</w:t>
      </w:r>
      <w:r w:rsidRPr="004021DA">
        <w:rPr>
          <w:rFonts w:ascii="Arial" w:hAnsi="Arial" w:cs="Arial"/>
          <w:color w:val="000000"/>
          <w:sz w:val="22"/>
          <w:szCs w:val="22"/>
        </w:rPr>
        <w:noBreakHyphen/>
        <w:t>10, which included various subtypes like paranoid, catatonic, or hebephrenic schizophrenia, the ICD</w:t>
      </w:r>
      <w:r w:rsidRPr="004021DA">
        <w:rPr>
          <w:rFonts w:ascii="Arial" w:hAnsi="Arial" w:cs="Arial"/>
          <w:color w:val="000000"/>
          <w:sz w:val="22"/>
          <w:szCs w:val="22"/>
        </w:rPr>
        <w:noBreakHyphen/>
        <w:t xml:space="preserve">11 takes a different approach. It moves away from these subtypes, reflecting modern evidence that they often lacked stability and clinical usefulness (Tandon et al., 2013; </w:t>
      </w:r>
      <w:r w:rsidR="005946C9" w:rsidRPr="004021DA">
        <w:rPr>
          <w:rFonts w:ascii="Arial" w:hAnsi="Arial" w:cs="Arial"/>
          <w:color w:val="000000"/>
          <w:sz w:val="22"/>
          <w:szCs w:val="22"/>
        </w:rPr>
        <w:t>Ommeren, 2019)</w:t>
      </w:r>
      <w:r w:rsidRPr="004021DA">
        <w:rPr>
          <w:rFonts w:ascii="Arial" w:hAnsi="Arial" w:cs="Arial"/>
          <w:color w:val="000000"/>
          <w:sz w:val="22"/>
          <w:szCs w:val="22"/>
        </w:rPr>
        <w:t>. Instead, the ICD</w:t>
      </w:r>
      <w:r w:rsidRPr="004021DA">
        <w:rPr>
          <w:rFonts w:ascii="Arial" w:hAnsi="Arial" w:cs="Arial"/>
          <w:color w:val="000000"/>
          <w:sz w:val="22"/>
          <w:szCs w:val="22"/>
        </w:rPr>
        <w:noBreakHyphen/>
        <w:t>11 adopts a dimensional model that emphasises symptom domains: positive symptoms, negative symptoms, cognitive impairment, and psychomotor disturbances. This shift aligns with global efforts to enhance diagnostic reliability and clinical relevance. In its classification, the term “disorder” is consistently used instead of “illness” or “condition,” underscoring its significance as a clinically relevant disturbance that necessitates intervention. The ICD</w:t>
      </w:r>
      <w:r w:rsidRPr="004021DA">
        <w:rPr>
          <w:rFonts w:ascii="Arial" w:hAnsi="Arial" w:cs="Arial"/>
          <w:color w:val="000000"/>
          <w:sz w:val="22"/>
          <w:szCs w:val="22"/>
        </w:rPr>
        <w:noBreakHyphen/>
        <w:t>11 describes schizophrenia as a “disorder characterised by disturbances in thought, perception, affect, and behaviour” (WHO, 2022). This terminology reflects a medicalised perspective, although discussions continue about whether schizophrenia should be viewed more broadly as a spectrum or a neurodevelopmental condition.</w:t>
      </w:r>
    </w:p>
    <w:p w14:paraId="4DA40EE9" w14:textId="1BFA3698" w:rsidR="00B23C16" w:rsidRPr="004021DA" w:rsidRDefault="00B23C16" w:rsidP="004021DA">
      <w:pPr>
        <w:pStyle w:val="NormalWeb"/>
        <w:spacing w:line="360" w:lineRule="auto"/>
        <w:rPr>
          <w:rFonts w:ascii="Arial" w:hAnsi="Arial" w:cs="Arial"/>
          <w:b/>
          <w:bCs/>
          <w:color w:val="000000"/>
          <w:sz w:val="22"/>
          <w:szCs w:val="22"/>
        </w:rPr>
      </w:pPr>
      <w:r w:rsidRPr="004021DA">
        <w:rPr>
          <w:rFonts w:ascii="Arial" w:hAnsi="Arial" w:cs="Arial"/>
          <w:b/>
          <w:bCs/>
          <w:color w:val="000000"/>
          <w:sz w:val="22"/>
          <w:szCs w:val="22"/>
        </w:rPr>
        <w:t>Diagnostic Criteria and Processes</w:t>
      </w:r>
    </w:p>
    <w:p w14:paraId="09080BE8" w14:textId="77777777" w:rsidR="00E33058" w:rsidRPr="004021DA" w:rsidRDefault="00F70DD4" w:rsidP="004021DA">
      <w:pPr>
        <w:pStyle w:val="NormalWeb"/>
        <w:spacing w:line="360" w:lineRule="auto"/>
        <w:rPr>
          <w:rFonts w:ascii="Arial" w:hAnsi="Arial" w:cs="Arial"/>
          <w:color w:val="000000"/>
          <w:sz w:val="22"/>
          <w:szCs w:val="22"/>
        </w:rPr>
      </w:pPr>
      <w:r w:rsidRPr="004021DA">
        <w:rPr>
          <w:rFonts w:ascii="Arial" w:hAnsi="Arial" w:cs="Arial"/>
          <w:color w:val="000000"/>
          <w:sz w:val="22"/>
          <w:szCs w:val="22"/>
        </w:rPr>
        <w:t>ICD-11 outlines that to diagnose schizophrenia, there must be core psychotic symptoms present for at least a month. These include:</w:t>
      </w:r>
    </w:p>
    <w:p w14:paraId="462543C2" w14:textId="3CD03BBC" w:rsidR="00E33058" w:rsidRPr="004021DA" w:rsidRDefault="00F70DD4" w:rsidP="004021DA">
      <w:pPr>
        <w:pStyle w:val="NormalWeb"/>
        <w:numPr>
          <w:ilvl w:val="0"/>
          <w:numId w:val="3"/>
        </w:numPr>
        <w:spacing w:line="360" w:lineRule="auto"/>
        <w:rPr>
          <w:rFonts w:ascii="Arial" w:hAnsi="Arial" w:cs="Arial"/>
          <w:color w:val="000000"/>
          <w:sz w:val="22"/>
          <w:szCs w:val="22"/>
        </w:rPr>
      </w:pPr>
      <w:r w:rsidRPr="004021DA">
        <w:rPr>
          <w:rFonts w:ascii="Arial" w:hAnsi="Arial" w:cs="Arial"/>
          <w:color w:val="000000"/>
          <w:sz w:val="22"/>
          <w:szCs w:val="22"/>
        </w:rPr>
        <w:t xml:space="preserve">Positive symptoms such as hallucinations, delusions, or disordered thinking </w:t>
      </w:r>
    </w:p>
    <w:p w14:paraId="439BBD0A" w14:textId="558C88D1" w:rsidR="00E33058" w:rsidRPr="004021DA" w:rsidRDefault="00F70DD4" w:rsidP="004021DA">
      <w:pPr>
        <w:pStyle w:val="NormalWeb"/>
        <w:numPr>
          <w:ilvl w:val="0"/>
          <w:numId w:val="3"/>
        </w:numPr>
        <w:spacing w:line="360" w:lineRule="auto"/>
        <w:rPr>
          <w:rFonts w:ascii="Arial" w:hAnsi="Arial" w:cs="Arial"/>
          <w:color w:val="000000"/>
          <w:sz w:val="22"/>
          <w:szCs w:val="22"/>
        </w:rPr>
      </w:pPr>
      <w:r w:rsidRPr="004021DA">
        <w:rPr>
          <w:rFonts w:ascii="Arial" w:hAnsi="Arial" w:cs="Arial"/>
          <w:color w:val="000000"/>
          <w:sz w:val="22"/>
          <w:szCs w:val="22"/>
        </w:rPr>
        <w:t xml:space="preserve">Negative symptoms such as avolition, anhedonia, a flat affect, or social withdrawal </w:t>
      </w:r>
    </w:p>
    <w:p w14:paraId="23B4C99F" w14:textId="6F6474B2" w:rsidR="00E33058" w:rsidRPr="004021DA" w:rsidRDefault="00F70DD4" w:rsidP="004021DA">
      <w:pPr>
        <w:pStyle w:val="NormalWeb"/>
        <w:numPr>
          <w:ilvl w:val="0"/>
          <w:numId w:val="3"/>
        </w:numPr>
        <w:spacing w:line="360" w:lineRule="auto"/>
        <w:rPr>
          <w:rFonts w:ascii="Arial" w:hAnsi="Arial" w:cs="Arial"/>
          <w:color w:val="000000"/>
          <w:sz w:val="22"/>
          <w:szCs w:val="22"/>
        </w:rPr>
      </w:pPr>
      <w:r w:rsidRPr="004021DA">
        <w:rPr>
          <w:rFonts w:ascii="Arial" w:hAnsi="Arial" w:cs="Arial"/>
          <w:color w:val="000000"/>
          <w:sz w:val="22"/>
          <w:szCs w:val="22"/>
        </w:rPr>
        <w:t xml:space="preserve">Disorganised behaviour or speech </w:t>
      </w:r>
    </w:p>
    <w:p w14:paraId="5F84863F" w14:textId="064F75A9" w:rsidR="00E33058" w:rsidRPr="004021DA" w:rsidRDefault="00F70DD4" w:rsidP="004021DA">
      <w:pPr>
        <w:pStyle w:val="NormalWeb"/>
        <w:numPr>
          <w:ilvl w:val="0"/>
          <w:numId w:val="3"/>
        </w:numPr>
        <w:spacing w:line="360" w:lineRule="auto"/>
        <w:rPr>
          <w:rFonts w:ascii="Arial" w:hAnsi="Arial" w:cs="Arial"/>
          <w:color w:val="000000"/>
          <w:sz w:val="22"/>
          <w:szCs w:val="22"/>
        </w:rPr>
      </w:pPr>
      <w:r w:rsidRPr="004021DA">
        <w:rPr>
          <w:rFonts w:ascii="Arial" w:hAnsi="Arial" w:cs="Arial"/>
          <w:color w:val="000000"/>
          <w:sz w:val="22"/>
          <w:szCs w:val="22"/>
        </w:rPr>
        <w:t xml:space="preserve">Cognitive issues, especially in areas such as attention, memory, and executive functioning (World Health Organisation, 2022). </w:t>
      </w:r>
    </w:p>
    <w:p w14:paraId="6086A71B" w14:textId="77777777" w:rsidR="00E33058" w:rsidRPr="004021DA" w:rsidRDefault="00F70DD4" w:rsidP="004021DA">
      <w:pPr>
        <w:pStyle w:val="NormalWeb"/>
        <w:spacing w:line="360" w:lineRule="auto"/>
        <w:rPr>
          <w:rFonts w:ascii="Arial" w:hAnsi="Arial" w:cs="Arial"/>
          <w:color w:val="000000"/>
          <w:sz w:val="22"/>
          <w:szCs w:val="22"/>
        </w:rPr>
      </w:pPr>
      <w:r w:rsidRPr="004021DA">
        <w:rPr>
          <w:rFonts w:ascii="Arial" w:hAnsi="Arial" w:cs="Arial"/>
          <w:color w:val="000000"/>
          <w:sz w:val="22"/>
          <w:szCs w:val="22"/>
        </w:rPr>
        <w:t>A key point in ICD-11 is its focus on functional impairment and the ongoing nature of symptoms, which helps to set schizophrenia apart from brief psychotic episodes or mood disorders that have psychotic features. To make a diagnosis, it</w:t>
      </w:r>
      <w:r w:rsidR="00E33058" w:rsidRPr="004021DA">
        <w:rPr>
          <w:rFonts w:ascii="Arial" w:hAnsi="Arial" w:cs="Arial"/>
          <w:color w:val="000000"/>
          <w:sz w:val="22"/>
          <w:szCs w:val="22"/>
        </w:rPr>
        <w:t xml:space="preserve"> i</w:t>
      </w:r>
      <w:r w:rsidRPr="004021DA">
        <w:rPr>
          <w:rFonts w:ascii="Arial" w:hAnsi="Arial" w:cs="Arial"/>
          <w:color w:val="000000"/>
          <w:sz w:val="22"/>
          <w:szCs w:val="22"/>
        </w:rPr>
        <w:t xml:space="preserve">s crucial to rule out other potential causes, including substance-induced psychosis, neurological disorders, or severe mood disorders. The diagnostic process usually involves: </w:t>
      </w:r>
    </w:p>
    <w:p w14:paraId="352E821B" w14:textId="77777777" w:rsidR="00E33058" w:rsidRPr="004021DA" w:rsidRDefault="00F70DD4" w:rsidP="004021DA">
      <w:pPr>
        <w:pStyle w:val="NormalWeb"/>
        <w:numPr>
          <w:ilvl w:val="0"/>
          <w:numId w:val="4"/>
        </w:numPr>
        <w:spacing w:line="360" w:lineRule="auto"/>
        <w:rPr>
          <w:rFonts w:ascii="Arial" w:hAnsi="Arial" w:cs="Arial"/>
          <w:color w:val="000000"/>
          <w:sz w:val="22"/>
          <w:szCs w:val="22"/>
        </w:rPr>
      </w:pPr>
      <w:r w:rsidRPr="004021DA">
        <w:rPr>
          <w:rFonts w:ascii="Arial" w:hAnsi="Arial" w:cs="Arial"/>
          <w:color w:val="000000"/>
          <w:sz w:val="22"/>
          <w:szCs w:val="22"/>
        </w:rPr>
        <w:lastRenderedPageBreak/>
        <w:t xml:space="preserve">A clinical interview and mental state examination </w:t>
      </w:r>
    </w:p>
    <w:p w14:paraId="6D9970B7" w14:textId="77777777" w:rsidR="00E33058" w:rsidRPr="004021DA" w:rsidRDefault="00F70DD4" w:rsidP="004021DA">
      <w:pPr>
        <w:pStyle w:val="NormalWeb"/>
        <w:numPr>
          <w:ilvl w:val="0"/>
          <w:numId w:val="4"/>
        </w:numPr>
        <w:spacing w:line="360" w:lineRule="auto"/>
        <w:rPr>
          <w:rFonts w:ascii="Arial" w:hAnsi="Arial" w:cs="Arial"/>
          <w:color w:val="000000"/>
          <w:sz w:val="22"/>
          <w:szCs w:val="22"/>
        </w:rPr>
      </w:pPr>
      <w:r w:rsidRPr="004021DA">
        <w:rPr>
          <w:rFonts w:ascii="Arial" w:hAnsi="Arial" w:cs="Arial"/>
          <w:color w:val="000000"/>
          <w:sz w:val="22"/>
          <w:szCs w:val="22"/>
        </w:rPr>
        <w:t xml:space="preserve">Gathering collateral information from family members or caregivers </w:t>
      </w:r>
    </w:p>
    <w:p w14:paraId="3EEC6E44" w14:textId="77777777" w:rsidR="00E33058" w:rsidRPr="004021DA" w:rsidRDefault="00F70DD4" w:rsidP="004021DA">
      <w:pPr>
        <w:pStyle w:val="NormalWeb"/>
        <w:numPr>
          <w:ilvl w:val="0"/>
          <w:numId w:val="4"/>
        </w:numPr>
        <w:spacing w:line="360" w:lineRule="auto"/>
        <w:rPr>
          <w:rFonts w:ascii="Arial" w:hAnsi="Arial" w:cs="Arial"/>
          <w:color w:val="000000"/>
          <w:sz w:val="22"/>
          <w:szCs w:val="22"/>
        </w:rPr>
      </w:pPr>
      <w:r w:rsidRPr="004021DA">
        <w:rPr>
          <w:rFonts w:ascii="Arial" w:hAnsi="Arial" w:cs="Arial"/>
          <w:color w:val="000000"/>
          <w:sz w:val="22"/>
          <w:szCs w:val="22"/>
        </w:rPr>
        <w:t xml:space="preserve">A longitudinal assessment to track symptom duration and any functional decline </w:t>
      </w:r>
    </w:p>
    <w:p w14:paraId="18A432CB" w14:textId="77777777" w:rsidR="00E33058" w:rsidRPr="004021DA" w:rsidRDefault="00F70DD4" w:rsidP="004021DA">
      <w:pPr>
        <w:pStyle w:val="NormalWeb"/>
        <w:numPr>
          <w:ilvl w:val="0"/>
          <w:numId w:val="4"/>
        </w:numPr>
        <w:spacing w:line="360" w:lineRule="auto"/>
        <w:rPr>
          <w:rFonts w:ascii="Arial" w:hAnsi="Arial" w:cs="Arial"/>
          <w:color w:val="000000"/>
          <w:sz w:val="22"/>
          <w:szCs w:val="22"/>
        </w:rPr>
      </w:pPr>
      <w:r w:rsidRPr="004021DA">
        <w:rPr>
          <w:rFonts w:ascii="Arial" w:hAnsi="Arial" w:cs="Arial"/>
          <w:color w:val="000000"/>
          <w:sz w:val="22"/>
          <w:szCs w:val="22"/>
        </w:rPr>
        <w:t xml:space="preserve">Physical health screenings, including blood tests and neuroimaging, to eliminate organic causes </w:t>
      </w:r>
    </w:p>
    <w:p w14:paraId="0209113E" w14:textId="77777777" w:rsidR="00E33058" w:rsidRPr="004021DA" w:rsidRDefault="00F70DD4" w:rsidP="004021DA">
      <w:pPr>
        <w:pStyle w:val="NormalWeb"/>
        <w:numPr>
          <w:ilvl w:val="0"/>
          <w:numId w:val="4"/>
        </w:numPr>
        <w:spacing w:line="360" w:lineRule="auto"/>
        <w:rPr>
          <w:rFonts w:ascii="Arial" w:hAnsi="Arial" w:cs="Arial"/>
          <w:color w:val="000000"/>
          <w:sz w:val="22"/>
          <w:szCs w:val="22"/>
        </w:rPr>
      </w:pPr>
      <w:r w:rsidRPr="004021DA">
        <w:rPr>
          <w:rFonts w:ascii="Arial" w:hAnsi="Arial" w:cs="Arial"/>
          <w:color w:val="000000"/>
          <w:sz w:val="22"/>
          <w:szCs w:val="22"/>
        </w:rPr>
        <w:t xml:space="preserve">A risk assessment, considering the heightened risks of self-harm and neglect (NICE, 2020; Owen et al., 2016). </w:t>
      </w:r>
    </w:p>
    <w:p w14:paraId="78919F2A" w14:textId="2E336C73" w:rsidR="00F70DD4" w:rsidRPr="004021DA" w:rsidRDefault="00F70DD4" w:rsidP="004021DA">
      <w:pPr>
        <w:pStyle w:val="NormalWeb"/>
        <w:spacing w:line="360" w:lineRule="auto"/>
        <w:rPr>
          <w:rFonts w:ascii="Arial" w:hAnsi="Arial" w:cs="Arial"/>
          <w:color w:val="000000"/>
          <w:sz w:val="22"/>
          <w:szCs w:val="22"/>
        </w:rPr>
      </w:pPr>
      <w:r w:rsidRPr="004021DA">
        <w:rPr>
          <w:rFonts w:ascii="Arial" w:hAnsi="Arial" w:cs="Arial"/>
          <w:color w:val="000000"/>
          <w:sz w:val="22"/>
          <w:szCs w:val="22"/>
        </w:rPr>
        <w:t>Additionally, ICD-11 encourages clinicians to evaluate symptom severity across multiple dimensions</w:t>
      </w:r>
      <w:r w:rsidR="00AC7986" w:rsidRPr="004021DA">
        <w:rPr>
          <w:rFonts w:ascii="Arial" w:hAnsi="Arial" w:cs="Arial"/>
          <w:color w:val="000000"/>
          <w:sz w:val="22"/>
          <w:szCs w:val="22"/>
        </w:rPr>
        <w:t xml:space="preserve"> and to develop</w:t>
      </w:r>
      <w:r w:rsidRPr="004021DA">
        <w:rPr>
          <w:rFonts w:ascii="Arial" w:hAnsi="Arial" w:cs="Arial"/>
          <w:color w:val="000000"/>
          <w:sz w:val="22"/>
          <w:szCs w:val="22"/>
        </w:rPr>
        <w:t xml:space="preserve"> personalised treatment plans </w:t>
      </w:r>
      <w:r w:rsidR="00CF12B6" w:rsidRPr="004021DA">
        <w:rPr>
          <w:rFonts w:ascii="Arial" w:hAnsi="Arial" w:cs="Arial"/>
          <w:color w:val="000000"/>
          <w:sz w:val="22"/>
          <w:szCs w:val="22"/>
        </w:rPr>
        <w:t>(Mielke, 2018)</w:t>
      </w:r>
      <w:r w:rsidRPr="004021DA">
        <w:rPr>
          <w:rFonts w:ascii="Arial" w:hAnsi="Arial" w:cs="Arial"/>
          <w:color w:val="000000"/>
          <w:sz w:val="22"/>
          <w:szCs w:val="22"/>
        </w:rPr>
        <w:t>.</w:t>
      </w:r>
    </w:p>
    <w:p w14:paraId="04658E2C" w14:textId="73581923" w:rsidR="00B23C16" w:rsidRPr="004021DA" w:rsidRDefault="00B23C16" w:rsidP="004021DA">
      <w:pPr>
        <w:pStyle w:val="NormalWeb"/>
        <w:spacing w:line="360" w:lineRule="auto"/>
        <w:rPr>
          <w:rFonts w:ascii="Arial" w:hAnsi="Arial" w:cs="Arial"/>
          <w:b/>
          <w:bCs/>
          <w:color w:val="000000"/>
          <w:sz w:val="22"/>
          <w:szCs w:val="22"/>
        </w:rPr>
      </w:pPr>
      <w:r w:rsidRPr="004021DA">
        <w:rPr>
          <w:rFonts w:ascii="Arial" w:hAnsi="Arial" w:cs="Arial"/>
          <w:b/>
          <w:bCs/>
          <w:color w:val="000000"/>
          <w:sz w:val="22"/>
          <w:szCs w:val="22"/>
        </w:rPr>
        <w:t>Language Used in ICD</w:t>
      </w:r>
      <w:r w:rsidRPr="004021DA">
        <w:rPr>
          <w:rFonts w:ascii="Arial" w:hAnsi="Arial" w:cs="Arial"/>
          <w:b/>
          <w:bCs/>
          <w:color w:val="000000"/>
          <w:sz w:val="22"/>
          <w:szCs w:val="22"/>
        </w:rPr>
        <w:noBreakHyphen/>
        <w:t>11 Classification</w:t>
      </w:r>
    </w:p>
    <w:p w14:paraId="11F158E4" w14:textId="34A68282" w:rsidR="00B23C16" w:rsidRPr="004021DA" w:rsidRDefault="00B23C16" w:rsidP="004021DA">
      <w:pPr>
        <w:pStyle w:val="NormalWeb"/>
        <w:spacing w:line="360" w:lineRule="auto"/>
        <w:rPr>
          <w:rFonts w:ascii="Arial" w:hAnsi="Arial" w:cs="Arial"/>
          <w:sz w:val="22"/>
          <w:szCs w:val="22"/>
        </w:rPr>
      </w:pPr>
      <w:r w:rsidRPr="004021DA">
        <w:rPr>
          <w:rFonts w:ascii="Arial" w:hAnsi="Arial" w:cs="Arial"/>
          <w:sz w:val="22"/>
          <w:szCs w:val="22"/>
        </w:rPr>
        <w:t xml:space="preserve">In the ICD-11 classification, the term “disorder” is consistently used, showcasing a clear biomedical perspective. </w:t>
      </w:r>
      <w:r w:rsidR="00983849" w:rsidRPr="004021DA">
        <w:rPr>
          <w:rFonts w:ascii="Arial" w:hAnsi="Arial" w:cs="Arial"/>
          <w:sz w:val="22"/>
          <w:szCs w:val="22"/>
        </w:rPr>
        <w:t xml:space="preserve">There will be </w:t>
      </w:r>
      <w:r w:rsidRPr="004021DA">
        <w:rPr>
          <w:rFonts w:ascii="Arial" w:hAnsi="Arial" w:cs="Arial"/>
          <w:sz w:val="22"/>
          <w:szCs w:val="22"/>
        </w:rPr>
        <w:t xml:space="preserve">words like “condition” or “illness” </w:t>
      </w:r>
      <w:r w:rsidR="008C3757" w:rsidRPr="004021DA">
        <w:rPr>
          <w:rFonts w:ascii="Arial" w:hAnsi="Arial" w:cs="Arial"/>
          <w:sz w:val="22"/>
          <w:szCs w:val="22"/>
        </w:rPr>
        <w:t xml:space="preserve">that </w:t>
      </w:r>
      <w:r w:rsidRPr="004021DA">
        <w:rPr>
          <w:rFonts w:ascii="Arial" w:hAnsi="Arial" w:cs="Arial"/>
          <w:sz w:val="22"/>
          <w:szCs w:val="22"/>
        </w:rPr>
        <w:t>pop up less often, and when they do, it’s usually in more general explanations rather than in the diagnostic criteria. By sticking with “disorder,” schizophrenia is grouped with other psychiatric diagnoses, which helps solidify its place in the medical classification system (WHO, 2022). Yet, the</w:t>
      </w:r>
      <w:r w:rsidR="008C3757" w:rsidRPr="004021DA">
        <w:rPr>
          <w:rFonts w:ascii="Arial" w:hAnsi="Arial" w:cs="Arial"/>
          <w:sz w:val="22"/>
          <w:szCs w:val="22"/>
        </w:rPr>
        <w:t>re is</w:t>
      </w:r>
      <w:r w:rsidRPr="004021DA">
        <w:rPr>
          <w:rFonts w:ascii="Arial" w:hAnsi="Arial" w:cs="Arial"/>
          <w:sz w:val="22"/>
          <w:szCs w:val="22"/>
        </w:rPr>
        <w:t xml:space="preserve"> a growing conversation in contemporary literature about this choice of terminology. Some researchers argue that labelling it as a “disorder” could perpetuate stigma or fail to capture the diverse nature of psychotic experiences (Boyle, 2019; Johnstone, 2017). Meanwhile, others suggest we think of schizophrenia as a neurodevelopmental syndrome or part of a psychosis spectrum, which aligns with new findings in neuroscience (Insel, 2010; Murray et al., 2017).</w:t>
      </w:r>
    </w:p>
    <w:p w14:paraId="70CC63CC" w14:textId="780282C8" w:rsidR="00F54F90" w:rsidRPr="004021DA" w:rsidRDefault="008A6D32" w:rsidP="004021DA">
      <w:pPr>
        <w:pStyle w:val="Heading1"/>
        <w:spacing w:line="360" w:lineRule="auto"/>
        <w:rPr>
          <w:rFonts w:ascii="Arial" w:hAnsi="Arial" w:cs="Arial"/>
          <w:sz w:val="22"/>
          <w:szCs w:val="22"/>
        </w:rPr>
      </w:pPr>
      <w:bookmarkStart w:id="1" w:name="_Toc237263104"/>
      <w:r w:rsidRPr="004021DA">
        <w:rPr>
          <w:rFonts w:ascii="Arial" w:hAnsi="Arial" w:cs="Arial"/>
          <w:sz w:val="22"/>
          <w:szCs w:val="22"/>
        </w:rPr>
        <w:t>Treatment and Rehabilitation</w:t>
      </w:r>
      <w:bookmarkEnd w:id="1"/>
    </w:p>
    <w:p w14:paraId="23C4BC31" w14:textId="5342576A" w:rsidR="00F54F90" w:rsidRPr="004021DA" w:rsidRDefault="00983849" w:rsidP="004021DA">
      <w:pPr>
        <w:pStyle w:val="NormalWeb"/>
        <w:spacing w:line="360" w:lineRule="auto"/>
        <w:rPr>
          <w:rFonts w:ascii="Arial" w:eastAsiaTheme="majorEastAsia" w:hAnsi="Arial" w:cs="Arial"/>
          <w:color w:val="000000"/>
          <w:sz w:val="22"/>
          <w:szCs w:val="22"/>
        </w:rPr>
      </w:pPr>
      <w:r w:rsidRPr="004021DA">
        <w:rPr>
          <w:rFonts w:ascii="Arial" w:eastAsiaTheme="majorEastAsia" w:hAnsi="Arial" w:cs="Arial"/>
          <w:color w:val="000000"/>
          <w:sz w:val="22"/>
          <w:szCs w:val="22"/>
        </w:rPr>
        <w:t>In</w:t>
      </w:r>
      <w:r w:rsidR="00F54F90" w:rsidRPr="004021DA">
        <w:rPr>
          <w:rFonts w:ascii="Arial" w:eastAsiaTheme="majorEastAsia" w:hAnsi="Arial" w:cs="Arial"/>
          <w:color w:val="000000"/>
          <w:sz w:val="22"/>
          <w:szCs w:val="22"/>
        </w:rPr>
        <w:t xml:space="preserve"> treating schizophrenia (ICD</w:t>
      </w:r>
      <w:r w:rsidR="00F54F90" w:rsidRPr="004021DA">
        <w:rPr>
          <w:rFonts w:ascii="Arial" w:eastAsiaTheme="majorEastAsia" w:hAnsi="Arial" w:cs="Arial"/>
          <w:color w:val="000000"/>
          <w:sz w:val="22"/>
          <w:szCs w:val="22"/>
        </w:rPr>
        <w:noBreakHyphen/>
        <w:t>11: 6A20), a well-rounded approach is key</w:t>
      </w:r>
      <w:r w:rsidR="008C3757" w:rsidRPr="004021DA">
        <w:rPr>
          <w:rFonts w:ascii="Arial" w:eastAsiaTheme="majorEastAsia" w:hAnsi="Arial" w:cs="Arial"/>
          <w:color w:val="000000"/>
          <w:sz w:val="22"/>
          <w:szCs w:val="22"/>
        </w:rPr>
        <w:t>,</w:t>
      </w:r>
      <w:r w:rsidRPr="004021DA">
        <w:rPr>
          <w:rFonts w:ascii="Arial" w:eastAsiaTheme="majorEastAsia" w:hAnsi="Arial" w:cs="Arial"/>
          <w:color w:val="000000"/>
          <w:sz w:val="22"/>
          <w:szCs w:val="22"/>
        </w:rPr>
        <w:t xml:space="preserve"> which </w:t>
      </w:r>
      <w:r w:rsidR="00F54F90" w:rsidRPr="004021DA">
        <w:rPr>
          <w:rFonts w:ascii="Arial" w:eastAsiaTheme="majorEastAsia" w:hAnsi="Arial" w:cs="Arial"/>
          <w:color w:val="000000"/>
          <w:sz w:val="22"/>
          <w:szCs w:val="22"/>
        </w:rPr>
        <w:t xml:space="preserve">usually means combining medication, psychosocial support, and rehabilitation efforts. </w:t>
      </w:r>
      <w:r w:rsidRPr="004021DA">
        <w:rPr>
          <w:rFonts w:ascii="Arial" w:eastAsiaTheme="majorEastAsia" w:hAnsi="Arial" w:cs="Arial"/>
          <w:color w:val="000000"/>
          <w:sz w:val="22"/>
          <w:szCs w:val="22"/>
        </w:rPr>
        <w:t>Although</w:t>
      </w:r>
      <w:r w:rsidR="00F54F90" w:rsidRPr="004021DA">
        <w:rPr>
          <w:rFonts w:ascii="Arial" w:eastAsiaTheme="majorEastAsia" w:hAnsi="Arial" w:cs="Arial"/>
          <w:color w:val="000000"/>
          <w:sz w:val="22"/>
          <w:szCs w:val="22"/>
        </w:rPr>
        <w:t xml:space="preserve"> the ICD</w:t>
      </w:r>
      <w:r w:rsidR="00F54F90" w:rsidRPr="004021DA">
        <w:rPr>
          <w:rFonts w:ascii="Arial" w:eastAsiaTheme="majorEastAsia" w:hAnsi="Arial" w:cs="Arial"/>
          <w:color w:val="000000"/>
          <w:sz w:val="22"/>
          <w:szCs w:val="22"/>
        </w:rPr>
        <w:noBreakHyphen/>
        <w:t>11 doe</w:t>
      </w:r>
      <w:r w:rsidR="008C3757" w:rsidRPr="004021DA">
        <w:rPr>
          <w:rFonts w:ascii="Arial" w:eastAsiaTheme="majorEastAsia" w:hAnsi="Arial" w:cs="Arial"/>
          <w:color w:val="000000"/>
          <w:sz w:val="22"/>
          <w:szCs w:val="22"/>
        </w:rPr>
        <w:t>s not</w:t>
      </w:r>
      <w:r w:rsidR="00F54F90" w:rsidRPr="004021DA">
        <w:rPr>
          <w:rFonts w:ascii="Arial" w:eastAsiaTheme="majorEastAsia" w:hAnsi="Arial" w:cs="Arial"/>
          <w:color w:val="000000"/>
          <w:sz w:val="22"/>
          <w:szCs w:val="22"/>
        </w:rPr>
        <w:t xml:space="preserve"> </w:t>
      </w:r>
      <w:r w:rsidR="00AC7986" w:rsidRPr="004021DA">
        <w:rPr>
          <w:rFonts w:ascii="Arial" w:eastAsiaTheme="majorEastAsia" w:hAnsi="Arial" w:cs="Arial"/>
          <w:color w:val="000000"/>
          <w:sz w:val="22"/>
          <w:szCs w:val="22"/>
        </w:rPr>
        <w:t xml:space="preserve">specify </w:t>
      </w:r>
      <w:r w:rsidR="00F54F90" w:rsidRPr="004021DA">
        <w:rPr>
          <w:rFonts w:ascii="Arial" w:eastAsiaTheme="majorEastAsia" w:hAnsi="Arial" w:cs="Arial"/>
          <w:color w:val="000000"/>
          <w:sz w:val="22"/>
          <w:szCs w:val="22"/>
        </w:rPr>
        <w:t xml:space="preserve">treatments, it strongly advocates for a multidisciplinary, </w:t>
      </w:r>
      <w:r w:rsidR="00AC7986" w:rsidRPr="004021DA">
        <w:rPr>
          <w:rFonts w:ascii="Arial" w:eastAsiaTheme="majorEastAsia" w:hAnsi="Arial" w:cs="Arial"/>
          <w:color w:val="000000"/>
          <w:sz w:val="22"/>
          <w:szCs w:val="22"/>
        </w:rPr>
        <w:t>person-centred</w:t>
      </w:r>
      <w:r w:rsidR="00F54F90" w:rsidRPr="004021DA">
        <w:rPr>
          <w:rFonts w:ascii="Arial" w:eastAsiaTheme="majorEastAsia" w:hAnsi="Arial" w:cs="Arial"/>
          <w:color w:val="000000"/>
          <w:sz w:val="22"/>
          <w:szCs w:val="22"/>
        </w:rPr>
        <w:t xml:space="preserve"> approach that focuses on both alleviating symptoms and promoting functional recovery</w:t>
      </w:r>
      <w:r w:rsidR="00EA287D" w:rsidRPr="004021DA">
        <w:rPr>
          <w:rFonts w:ascii="Arial" w:eastAsiaTheme="majorEastAsia" w:hAnsi="Arial" w:cs="Arial"/>
          <w:color w:val="000000"/>
          <w:sz w:val="22"/>
          <w:szCs w:val="22"/>
        </w:rPr>
        <w:t xml:space="preserve"> (</w:t>
      </w:r>
      <w:r w:rsidRPr="004021DA">
        <w:rPr>
          <w:rFonts w:ascii="Arial" w:eastAsiaTheme="majorEastAsia" w:hAnsi="Arial" w:cs="Arial"/>
          <w:color w:val="000000"/>
          <w:sz w:val="22"/>
          <w:szCs w:val="22"/>
        </w:rPr>
        <w:t>WHO</w:t>
      </w:r>
      <w:r w:rsidR="00EA287D" w:rsidRPr="004021DA">
        <w:rPr>
          <w:rFonts w:ascii="Arial" w:eastAsiaTheme="majorEastAsia" w:hAnsi="Arial" w:cs="Arial"/>
          <w:color w:val="000000"/>
          <w:sz w:val="22"/>
          <w:szCs w:val="22"/>
        </w:rPr>
        <w:t>, 2022).</w:t>
      </w:r>
    </w:p>
    <w:p w14:paraId="074A222C" w14:textId="77777777" w:rsidR="00F54F90" w:rsidRPr="004021DA" w:rsidRDefault="00F54F90" w:rsidP="004021DA">
      <w:pPr>
        <w:pStyle w:val="NormalWeb"/>
        <w:spacing w:line="360" w:lineRule="auto"/>
        <w:rPr>
          <w:rFonts w:ascii="Arial" w:eastAsiaTheme="majorEastAsia" w:hAnsi="Arial" w:cs="Arial"/>
          <w:b/>
          <w:bCs/>
          <w:color w:val="000000"/>
          <w:sz w:val="22"/>
          <w:szCs w:val="22"/>
        </w:rPr>
      </w:pPr>
      <w:r w:rsidRPr="004021DA">
        <w:rPr>
          <w:rFonts w:ascii="Arial" w:eastAsiaTheme="majorEastAsia" w:hAnsi="Arial" w:cs="Arial"/>
          <w:color w:val="000000"/>
          <w:sz w:val="22"/>
          <w:szCs w:val="22"/>
        </w:rPr>
        <w:t xml:space="preserve"> </w:t>
      </w:r>
      <w:r w:rsidRPr="004021DA">
        <w:rPr>
          <w:rFonts w:ascii="Arial" w:eastAsiaTheme="majorEastAsia" w:hAnsi="Arial" w:cs="Arial"/>
          <w:b/>
          <w:bCs/>
          <w:color w:val="000000"/>
          <w:sz w:val="22"/>
          <w:szCs w:val="22"/>
        </w:rPr>
        <w:t xml:space="preserve">Pharmacological Treatment </w:t>
      </w:r>
    </w:p>
    <w:p w14:paraId="1DDF9094" w14:textId="61DE6F4E" w:rsidR="00F54F90" w:rsidRPr="004021DA" w:rsidRDefault="00F54F90" w:rsidP="004021DA">
      <w:pPr>
        <w:pStyle w:val="NormalWeb"/>
        <w:spacing w:line="360" w:lineRule="auto"/>
        <w:rPr>
          <w:rFonts w:ascii="Arial" w:eastAsiaTheme="majorEastAsia" w:hAnsi="Arial" w:cs="Arial"/>
          <w:color w:val="000000"/>
          <w:sz w:val="22"/>
          <w:szCs w:val="22"/>
        </w:rPr>
      </w:pPr>
      <w:r w:rsidRPr="004021DA">
        <w:rPr>
          <w:rFonts w:ascii="Arial" w:eastAsiaTheme="majorEastAsia" w:hAnsi="Arial" w:cs="Arial"/>
          <w:color w:val="000000"/>
          <w:sz w:val="22"/>
          <w:szCs w:val="22"/>
        </w:rPr>
        <w:t>At the heart of schizophrenia treatment is antipsychotic medication. The options are typically second-generation antipsychotics like risperidone, olanzapine, and quetiapine, which tend to have fewer movement-related side effects than their first-generation counterparts</w:t>
      </w:r>
      <w:r w:rsidR="00695C30" w:rsidRPr="004021DA">
        <w:rPr>
          <w:rFonts w:ascii="Arial" w:eastAsiaTheme="majorEastAsia" w:hAnsi="Arial" w:cs="Arial"/>
          <w:color w:val="000000"/>
          <w:sz w:val="22"/>
          <w:szCs w:val="22"/>
        </w:rPr>
        <w:t xml:space="preserve"> </w:t>
      </w:r>
      <w:r w:rsidR="00AD0473" w:rsidRPr="004021DA">
        <w:rPr>
          <w:rFonts w:ascii="Arial" w:eastAsiaTheme="majorEastAsia" w:hAnsi="Arial" w:cs="Arial"/>
          <w:color w:val="000000"/>
          <w:sz w:val="22"/>
          <w:szCs w:val="22"/>
        </w:rPr>
        <w:t xml:space="preserve">(Leucht et </w:t>
      </w:r>
      <w:r w:rsidR="00AD0473" w:rsidRPr="004021DA">
        <w:rPr>
          <w:rFonts w:ascii="Arial" w:eastAsiaTheme="majorEastAsia" w:hAnsi="Arial" w:cs="Arial"/>
          <w:color w:val="000000"/>
          <w:sz w:val="22"/>
          <w:szCs w:val="22"/>
        </w:rPr>
        <w:lastRenderedPageBreak/>
        <w:t>al., 2014)</w:t>
      </w:r>
      <w:r w:rsidRPr="004021DA">
        <w:rPr>
          <w:rFonts w:ascii="Arial" w:eastAsiaTheme="majorEastAsia" w:hAnsi="Arial" w:cs="Arial"/>
          <w:color w:val="000000"/>
          <w:sz w:val="22"/>
          <w:szCs w:val="22"/>
        </w:rPr>
        <w:t xml:space="preserve">. For those who struggle with treatment-resistant schizophrenia, clozapine is often recommended, as it </w:t>
      </w:r>
      <w:r w:rsidR="00AC7986" w:rsidRPr="004021DA">
        <w:rPr>
          <w:rFonts w:ascii="Arial" w:eastAsiaTheme="majorEastAsia" w:hAnsi="Arial" w:cs="Arial"/>
          <w:color w:val="000000"/>
          <w:sz w:val="22"/>
          <w:szCs w:val="22"/>
        </w:rPr>
        <w:t>is</w:t>
      </w:r>
      <w:r w:rsidRPr="004021DA">
        <w:rPr>
          <w:rFonts w:ascii="Arial" w:eastAsiaTheme="majorEastAsia" w:hAnsi="Arial" w:cs="Arial"/>
          <w:color w:val="000000"/>
          <w:sz w:val="22"/>
          <w:szCs w:val="22"/>
        </w:rPr>
        <w:t xml:space="preserve"> particularly effective in reducing positive symptoms and the risk of suicide.</w:t>
      </w:r>
    </w:p>
    <w:p w14:paraId="1A6C763E" w14:textId="5133A052" w:rsidR="00F54F90" w:rsidRPr="004021DA" w:rsidRDefault="00983849" w:rsidP="004021DA">
      <w:pPr>
        <w:pStyle w:val="NormalWeb"/>
        <w:spacing w:line="360" w:lineRule="auto"/>
        <w:rPr>
          <w:rFonts w:ascii="Arial" w:eastAsiaTheme="majorEastAsia" w:hAnsi="Arial" w:cs="Arial"/>
          <w:color w:val="000000"/>
          <w:sz w:val="22"/>
          <w:szCs w:val="22"/>
        </w:rPr>
      </w:pPr>
      <w:r w:rsidRPr="004021DA">
        <w:rPr>
          <w:rFonts w:ascii="Arial" w:eastAsiaTheme="majorEastAsia" w:hAnsi="Arial" w:cs="Arial"/>
          <w:color w:val="000000"/>
          <w:sz w:val="22"/>
          <w:szCs w:val="22"/>
        </w:rPr>
        <w:t>However,</w:t>
      </w:r>
      <w:r w:rsidR="00F54F90" w:rsidRPr="004021DA">
        <w:rPr>
          <w:rFonts w:ascii="Arial" w:eastAsiaTheme="majorEastAsia" w:hAnsi="Arial" w:cs="Arial"/>
          <w:color w:val="000000"/>
          <w:sz w:val="22"/>
          <w:szCs w:val="22"/>
        </w:rPr>
        <w:t xml:space="preserve"> antipsychotics come with their own set of challenges</w:t>
      </w:r>
      <w:r w:rsidR="008C3757" w:rsidRPr="004021DA">
        <w:rPr>
          <w:rFonts w:ascii="Arial" w:eastAsiaTheme="majorEastAsia" w:hAnsi="Arial" w:cs="Arial"/>
          <w:color w:val="000000"/>
          <w:sz w:val="22"/>
          <w:szCs w:val="22"/>
        </w:rPr>
        <w:t>;</w:t>
      </w:r>
      <w:r w:rsidRPr="004021DA">
        <w:rPr>
          <w:rFonts w:ascii="Arial" w:eastAsiaTheme="majorEastAsia" w:hAnsi="Arial" w:cs="Arial"/>
          <w:color w:val="000000"/>
          <w:sz w:val="22"/>
          <w:szCs w:val="22"/>
        </w:rPr>
        <w:t xml:space="preserve"> for instance, m</w:t>
      </w:r>
      <w:r w:rsidR="00F54F90" w:rsidRPr="004021DA">
        <w:rPr>
          <w:rFonts w:ascii="Arial" w:eastAsiaTheme="majorEastAsia" w:hAnsi="Arial" w:cs="Arial"/>
          <w:color w:val="000000"/>
          <w:sz w:val="22"/>
          <w:szCs w:val="22"/>
        </w:rPr>
        <w:t xml:space="preserve">any patients face metabolic side effects, such as weight gain, diabetes, and increased cardiovascular risk. </w:t>
      </w:r>
      <w:r w:rsidRPr="004021DA">
        <w:rPr>
          <w:rFonts w:ascii="Arial" w:eastAsiaTheme="majorEastAsia" w:hAnsi="Arial" w:cs="Arial"/>
          <w:color w:val="000000"/>
          <w:sz w:val="22"/>
          <w:szCs w:val="22"/>
        </w:rPr>
        <w:t>M</w:t>
      </w:r>
      <w:r w:rsidR="00F54F90" w:rsidRPr="004021DA">
        <w:rPr>
          <w:rFonts w:ascii="Arial" w:eastAsiaTheme="majorEastAsia" w:hAnsi="Arial" w:cs="Arial"/>
          <w:color w:val="000000"/>
          <w:sz w:val="22"/>
          <w:szCs w:val="22"/>
        </w:rPr>
        <w:t xml:space="preserve">edication </w:t>
      </w:r>
      <w:r w:rsidRPr="004021DA">
        <w:rPr>
          <w:rFonts w:ascii="Arial" w:eastAsiaTheme="majorEastAsia" w:hAnsi="Arial" w:cs="Arial"/>
          <w:color w:val="000000"/>
          <w:sz w:val="22"/>
          <w:szCs w:val="22"/>
        </w:rPr>
        <w:t xml:space="preserve">compliance </w:t>
      </w:r>
      <w:r w:rsidR="00F54F90" w:rsidRPr="004021DA">
        <w:rPr>
          <w:rFonts w:ascii="Arial" w:eastAsiaTheme="majorEastAsia" w:hAnsi="Arial" w:cs="Arial"/>
          <w:color w:val="000000"/>
          <w:sz w:val="22"/>
          <w:szCs w:val="22"/>
        </w:rPr>
        <w:t xml:space="preserve">can also be </w:t>
      </w:r>
      <w:r w:rsidRPr="004021DA">
        <w:rPr>
          <w:rFonts w:ascii="Arial" w:eastAsiaTheme="majorEastAsia" w:hAnsi="Arial" w:cs="Arial"/>
          <w:color w:val="000000"/>
          <w:sz w:val="22"/>
          <w:szCs w:val="22"/>
        </w:rPr>
        <w:t>c</w:t>
      </w:r>
      <w:r w:rsidR="00F54F90" w:rsidRPr="004021DA">
        <w:rPr>
          <w:rFonts w:ascii="Arial" w:eastAsiaTheme="majorEastAsia" w:hAnsi="Arial" w:cs="Arial"/>
          <w:color w:val="000000"/>
          <w:sz w:val="22"/>
          <w:szCs w:val="22"/>
        </w:rPr>
        <w:t>h</w:t>
      </w:r>
      <w:r w:rsidRPr="004021DA">
        <w:rPr>
          <w:rFonts w:ascii="Arial" w:eastAsiaTheme="majorEastAsia" w:hAnsi="Arial" w:cs="Arial"/>
          <w:color w:val="000000"/>
          <w:sz w:val="22"/>
          <w:szCs w:val="22"/>
        </w:rPr>
        <w:t>allenging</w:t>
      </w:r>
      <w:r w:rsidR="00F54F90" w:rsidRPr="004021DA">
        <w:rPr>
          <w:rFonts w:ascii="Arial" w:eastAsiaTheme="majorEastAsia" w:hAnsi="Arial" w:cs="Arial"/>
          <w:color w:val="000000"/>
          <w:sz w:val="22"/>
          <w:szCs w:val="22"/>
        </w:rPr>
        <w:t xml:space="preserve">, influenced by side effects, personal insight, and social circumstances </w:t>
      </w:r>
      <w:r w:rsidR="006024C4" w:rsidRPr="004021DA">
        <w:rPr>
          <w:rFonts w:ascii="Arial" w:eastAsiaTheme="majorEastAsia" w:hAnsi="Arial" w:cs="Arial"/>
          <w:color w:val="000000"/>
          <w:sz w:val="22"/>
          <w:szCs w:val="22"/>
        </w:rPr>
        <w:t>(</w:t>
      </w:r>
      <w:proofErr w:type="spellStart"/>
      <w:r w:rsidR="006024C4" w:rsidRPr="004021DA">
        <w:rPr>
          <w:rFonts w:ascii="Arial" w:eastAsiaTheme="majorEastAsia" w:hAnsi="Arial" w:cs="Arial"/>
          <w:color w:val="000000"/>
          <w:sz w:val="22"/>
          <w:szCs w:val="22"/>
        </w:rPr>
        <w:t>Pomarol-Clotet</w:t>
      </w:r>
      <w:proofErr w:type="spellEnd"/>
      <w:r w:rsidR="006024C4" w:rsidRPr="004021DA">
        <w:rPr>
          <w:rFonts w:ascii="Arial" w:eastAsiaTheme="majorEastAsia" w:hAnsi="Arial" w:cs="Arial"/>
          <w:color w:val="000000"/>
          <w:sz w:val="22"/>
          <w:szCs w:val="22"/>
        </w:rPr>
        <w:t xml:space="preserve"> et al., 2010)</w:t>
      </w:r>
      <w:r w:rsidR="00F54F90" w:rsidRPr="004021DA">
        <w:rPr>
          <w:rFonts w:ascii="Arial" w:eastAsiaTheme="majorEastAsia" w:hAnsi="Arial" w:cs="Arial"/>
          <w:color w:val="000000"/>
          <w:sz w:val="22"/>
          <w:szCs w:val="22"/>
        </w:rPr>
        <w:t xml:space="preserve">. These challenges underscore the importance of integrated physical health monitoring, a focus that is highlighted in UK policy for severe mental illness </w:t>
      </w:r>
      <w:r w:rsidR="00F82016" w:rsidRPr="004021DA">
        <w:rPr>
          <w:rFonts w:ascii="Arial" w:eastAsiaTheme="majorEastAsia" w:hAnsi="Arial" w:cs="Arial"/>
          <w:color w:val="000000"/>
          <w:sz w:val="22"/>
          <w:szCs w:val="22"/>
        </w:rPr>
        <w:t>(NICE, 2014)</w:t>
      </w:r>
      <w:r w:rsidR="00F54F90" w:rsidRPr="004021DA">
        <w:rPr>
          <w:rFonts w:ascii="Arial" w:eastAsiaTheme="majorEastAsia" w:hAnsi="Arial" w:cs="Arial"/>
          <w:color w:val="000000"/>
          <w:sz w:val="22"/>
          <w:szCs w:val="22"/>
        </w:rPr>
        <w:t>.</w:t>
      </w:r>
    </w:p>
    <w:p w14:paraId="23CCEF70" w14:textId="24BA4EC4" w:rsidR="008A6D32" w:rsidRPr="004021DA" w:rsidRDefault="00F54F90" w:rsidP="004021DA">
      <w:pPr>
        <w:pStyle w:val="NormalWeb"/>
        <w:spacing w:line="360" w:lineRule="auto"/>
        <w:rPr>
          <w:rStyle w:val="apple-converted-space"/>
          <w:rFonts w:ascii="Arial" w:eastAsiaTheme="majorEastAsia" w:hAnsi="Arial" w:cs="Arial"/>
          <w:b/>
          <w:bCs/>
          <w:color w:val="000000"/>
          <w:sz w:val="22"/>
          <w:szCs w:val="22"/>
        </w:rPr>
      </w:pPr>
      <w:r w:rsidRPr="004021DA">
        <w:rPr>
          <w:rFonts w:ascii="Arial" w:eastAsiaTheme="majorEastAsia" w:hAnsi="Arial" w:cs="Arial"/>
          <w:b/>
          <w:bCs/>
          <w:color w:val="000000"/>
          <w:sz w:val="22"/>
          <w:szCs w:val="22"/>
        </w:rPr>
        <w:t xml:space="preserve"> Psychosocial Interventions</w:t>
      </w:r>
      <w:r w:rsidR="008A6D32" w:rsidRPr="004021DA">
        <w:rPr>
          <w:rStyle w:val="apple-converted-space"/>
          <w:rFonts w:ascii="Arial" w:eastAsiaTheme="majorEastAsia" w:hAnsi="Arial" w:cs="Arial"/>
          <w:b/>
          <w:bCs/>
          <w:color w:val="000000"/>
          <w:sz w:val="22"/>
          <w:szCs w:val="22"/>
        </w:rPr>
        <w:t> </w:t>
      </w:r>
    </w:p>
    <w:p w14:paraId="13A2F662" w14:textId="65DAD9CB" w:rsidR="00A0316D" w:rsidRPr="004021DA" w:rsidRDefault="00983849" w:rsidP="004021DA">
      <w:pPr>
        <w:pStyle w:val="NormalWeb"/>
        <w:spacing w:line="360" w:lineRule="auto"/>
        <w:rPr>
          <w:rFonts w:ascii="Arial" w:hAnsi="Arial" w:cs="Arial"/>
          <w:color w:val="000000"/>
          <w:sz w:val="22"/>
          <w:szCs w:val="22"/>
        </w:rPr>
      </w:pPr>
      <w:r w:rsidRPr="004021DA">
        <w:rPr>
          <w:rFonts w:ascii="Arial" w:hAnsi="Arial" w:cs="Arial"/>
          <w:color w:val="000000"/>
          <w:sz w:val="22"/>
          <w:szCs w:val="22"/>
        </w:rPr>
        <w:t xml:space="preserve">This </w:t>
      </w:r>
      <w:r w:rsidR="00A0316D" w:rsidRPr="004021DA">
        <w:rPr>
          <w:rFonts w:ascii="Arial" w:hAnsi="Arial" w:cs="Arial"/>
          <w:color w:val="000000"/>
          <w:sz w:val="22"/>
          <w:szCs w:val="22"/>
        </w:rPr>
        <w:t>play</w:t>
      </w:r>
      <w:r w:rsidRPr="004021DA">
        <w:rPr>
          <w:rFonts w:ascii="Arial" w:hAnsi="Arial" w:cs="Arial"/>
          <w:color w:val="000000"/>
          <w:sz w:val="22"/>
          <w:szCs w:val="22"/>
        </w:rPr>
        <w:t>s</w:t>
      </w:r>
      <w:r w:rsidR="00A0316D" w:rsidRPr="004021DA">
        <w:rPr>
          <w:rFonts w:ascii="Arial" w:hAnsi="Arial" w:cs="Arial"/>
          <w:color w:val="000000"/>
          <w:sz w:val="22"/>
          <w:szCs w:val="22"/>
        </w:rPr>
        <w:t xml:space="preserve"> a crucial role in enhancing functional outcomes for individuals. According to NICE, cognitive behavioural therapy for psychosis (</w:t>
      </w:r>
      <w:proofErr w:type="spellStart"/>
      <w:r w:rsidR="00A0316D" w:rsidRPr="004021DA">
        <w:rPr>
          <w:rFonts w:ascii="Arial" w:hAnsi="Arial" w:cs="Arial"/>
          <w:color w:val="000000"/>
          <w:sz w:val="22"/>
          <w:szCs w:val="22"/>
        </w:rPr>
        <w:t>CBTp</w:t>
      </w:r>
      <w:proofErr w:type="spellEnd"/>
      <w:r w:rsidR="00A0316D" w:rsidRPr="004021DA">
        <w:rPr>
          <w:rFonts w:ascii="Arial" w:hAnsi="Arial" w:cs="Arial"/>
          <w:color w:val="000000"/>
          <w:sz w:val="22"/>
          <w:szCs w:val="22"/>
        </w:rPr>
        <w:t xml:space="preserve">), family interventions, and supported employment are key recommendations. The goal of </w:t>
      </w:r>
      <w:proofErr w:type="spellStart"/>
      <w:r w:rsidR="00A0316D" w:rsidRPr="004021DA">
        <w:rPr>
          <w:rFonts w:ascii="Arial" w:hAnsi="Arial" w:cs="Arial"/>
          <w:color w:val="000000"/>
          <w:sz w:val="22"/>
          <w:szCs w:val="22"/>
        </w:rPr>
        <w:t>CBTp</w:t>
      </w:r>
      <w:proofErr w:type="spellEnd"/>
      <w:r w:rsidR="00A0316D" w:rsidRPr="004021DA">
        <w:rPr>
          <w:rFonts w:ascii="Arial" w:hAnsi="Arial" w:cs="Arial"/>
          <w:color w:val="000000"/>
          <w:sz w:val="22"/>
          <w:szCs w:val="22"/>
        </w:rPr>
        <w:t xml:space="preserve"> is to alleviate the distress linked to psychotic symptoms, but research indicates that its benefits are modest and it does</w:t>
      </w:r>
      <w:r w:rsidR="006F3EDB" w:rsidRPr="004021DA">
        <w:rPr>
          <w:rFonts w:ascii="Arial" w:hAnsi="Arial" w:cs="Arial"/>
          <w:color w:val="000000"/>
          <w:sz w:val="22"/>
          <w:szCs w:val="22"/>
        </w:rPr>
        <w:t xml:space="preserve"> not</w:t>
      </w:r>
      <w:r w:rsidR="00A0316D" w:rsidRPr="004021DA">
        <w:rPr>
          <w:rFonts w:ascii="Arial" w:hAnsi="Arial" w:cs="Arial"/>
          <w:color w:val="000000"/>
          <w:sz w:val="22"/>
          <w:szCs w:val="22"/>
        </w:rPr>
        <w:t xml:space="preserve"> necessarily outperform other psychosocial therapies.</w:t>
      </w:r>
      <w:r w:rsidRPr="004021DA">
        <w:rPr>
          <w:rFonts w:ascii="Arial" w:hAnsi="Arial" w:cs="Arial"/>
          <w:color w:val="000000"/>
          <w:sz w:val="22"/>
          <w:szCs w:val="22"/>
        </w:rPr>
        <w:t xml:space="preserve"> Also, f</w:t>
      </w:r>
      <w:r w:rsidR="00A0316D" w:rsidRPr="004021DA">
        <w:rPr>
          <w:rFonts w:ascii="Arial" w:hAnsi="Arial" w:cs="Arial"/>
          <w:color w:val="000000"/>
          <w:sz w:val="22"/>
          <w:szCs w:val="22"/>
        </w:rPr>
        <w:t xml:space="preserve">amily interventions </w:t>
      </w:r>
      <w:r w:rsidR="008C3757" w:rsidRPr="004021DA">
        <w:rPr>
          <w:rFonts w:ascii="Arial" w:hAnsi="Arial" w:cs="Arial"/>
          <w:color w:val="000000"/>
          <w:sz w:val="22"/>
          <w:szCs w:val="22"/>
        </w:rPr>
        <w:t xml:space="preserve">have been </w:t>
      </w:r>
      <w:r w:rsidR="00A0316D" w:rsidRPr="004021DA">
        <w:rPr>
          <w:rFonts w:ascii="Arial" w:hAnsi="Arial" w:cs="Arial"/>
          <w:color w:val="000000"/>
          <w:sz w:val="22"/>
          <w:szCs w:val="22"/>
        </w:rPr>
        <w:t xml:space="preserve">shown to </w:t>
      </w:r>
      <w:r w:rsidR="006F3EDB" w:rsidRPr="004021DA">
        <w:rPr>
          <w:rFonts w:ascii="Arial" w:hAnsi="Arial" w:cs="Arial"/>
          <w:color w:val="000000"/>
          <w:sz w:val="22"/>
          <w:szCs w:val="22"/>
        </w:rPr>
        <w:t xml:space="preserve">reduce </w:t>
      </w:r>
      <w:r w:rsidR="00A0316D" w:rsidRPr="004021DA">
        <w:rPr>
          <w:rFonts w:ascii="Arial" w:hAnsi="Arial" w:cs="Arial"/>
          <w:color w:val="000000"/>
          <w:sz w:val="22"/>
          <w:szCs w:val="22"/>
        </w:rPr>
        <w:t>relapse rates</w:t>
      </w:r>
      <w:r w:rsidR="006F3EDB" w:rsidRPr="004021DA">
        <w:rPr>
          <w:rFonts w:ascii="Arial" w:hAnsi="Arial" w:cs="Arial"/>
          <w:color w:val="000000"/>
          <w:sz w:val="22"/>
          <w:szCs w:val="22"/>
        </w:rPr>
        <w:t xml:space="preserve">, </w:t>
      </w:r>
      <w:r w:rsidR="00A0316D" w:rsidRPr="004021DA">
        <w:rPr>
          <w:rFonts w:ascii="Arial" w:hAnsi="Arial" w:cs="Arial"/>
          <w:color w:val="000000"/>
          <w:sz w:val="22"/>
          <w:szCs w:val="22"/>
        </w:rPr>
        <w:t xml:space="preserve">communication patterns and </w:t>
      </w:r>
      <w:r w:rsidR="008C3757" w:rsidRPr="004021DA">
        <w:rPr>
          <w:rFonts w:ascii="Arial" w:hAnsi="Arial" w:cs="Arial"/>
          <w:color w:val="000000"/>
          <w:sz w:val="22"/>
          <w:szCs w:val="22"/>
        </w:rPr>
        <w:t>emotion</w:t>
      </w:r>
      <w:r w:rsidRPr="004021DA">
        <w:rPr>
          <w:rFonts w:ascii="Arial" w:hAnsi="Arial" w:cs="Arial"/>
          <w:color w:val="000000"/>
          <w:sz w:val="22"/>
          <w:szCs w:val="22"/>
        </w:rPr>
        <w:t xml:space="preserve"> management</w:t>
      </w:r>
      <w:r w:rsidR="00A0316D" w:rsidRPr="004021DA">
        <w:rPr>
          <w:rFonts w:ascii="Arial" w:hAnsi="Arial" w:cs="Arial"/>
          <w:color w:val="000000"/>
          <w:sz w:val="22"/>
          <w:szCs w:val="22"/>
        </w:rPr>
        <w:t xml:space="preserve"> within families</w:t>
      </w:r>
      <w:r w:rsidR="006E75F4" w:rsidRPr="004021DA">
        <w:rPr>
          <w:rFonts w:ascii="Arial" w:hAnsi="Arial" w:cs="Arial"/>
          <w:color w:val="000000"/>
          <w:sz w:val="22"/>
          <w:szCs w:val="22"/>
        </w:rPr>
        <w:t> (Wai Tong Chien et al., 2024)</w:t>
      </w:r>
      <w:r w:rsidR="00A0316D" w:rsidRPr="004021DA">
        <w:rPr>
          <w:rFonts w:ascii="Arial" w:hAnsi="Arial" w:cs="Arial"/>
          <w:color w:val="000000"/>
          <w:sz w:val="22"/>
          <w:szCs w:val="22"/>
        </w:rPr>
        <w:t xml:space="preserve">. Additionally, social skills training and cognitive remediation have demonstrated positive </w:t>
      </w:r>
      <w:proofErr w:type="gramStart"/>
      <w:r w:rsidR="00A0316D" w:rsidRPr="004021DA">
        <w:rPr>
          <w:rFonts w:ascii="Arial" w:hAnsi="Arial" w:cs="Arial"/>
          <w:color w:val="000000"/>
          <w:sz w:val="22"/>
          <w:szCs w:val="22"/>
        </w:rPr>
        <w:t xml:space="preserve">effects </w:t>
      </w:r>
      <w:r w:rsidR="006F4C61" w:rsidRPr="004021DA">
        <w:rPr>
          <w:rFonts w:ascii="Arial" w:hAnsi="Arial" w:cs="Arial"/>
          <w:color w:val="000000"/>
          <w:sz w:val="22"/>
          <w:szCs w:val="22"/>
        </w:rPr>
        <w:t xml:space="preserve"> (</w:t>
      </w:r>
      <w:proofErr w:type="gramEnd"/>
      <w:r w:rsidR="006F4C61" w:rsidRPr="004021DA">
        <w:rPr>
          <w:rFonts w:ascii="Arial" w:hAnsi="Arial" w:cs="Arial"/>
          <w:color w:val="000000"/>
          <w:sz w:val="22"/>
          <w:szCs w:val="22"/>
        </w:rPr>
        <w:t>Merico </w:t>
      </w:r>
      <w:r w:rsidR="006F4C61" w:rsidRPr="004021DA">
        <w:rPr>
          <w:rFonts w:ascii="Arial" w:hAnsi="Arial" w:cs="Arial"/>
          <w:i/>
          <w:iCs/>
          <w:color w:val="000000"/>
          <w:sz w:val="22"/>
          <w:szCs w:val="22"/>
        </w:rPr>
        <w:t>et al.</w:t>
      </w:r>
      <w:r w:rsidR="006F4C61" w:rsidRPr="004021DA">
        <w:rPr>
          <w:rFonts w:ascii="Arial" w:hAnsi="Arial" w:cs="Arial"/>
          <w:color w:val="000000"/>
          <w:sz w:val="22"/>
          <w:szCs w:val="22"/>
        </w:rPr>
        <w:t xml:space="preserve">,2017) </w:t>
      </w:r>
    </w:p>
    <w:p w14:paraId="79FEDE86" w14:textId="48A7E880" w:rsidR="0082194A" w:rsidRPr="004021DA" w:rsidRDefault="0082194A" w:rsidP="004021DA">
      <w:pPr>
        <w:pStyle w:val="NormalWeb"/>
        <w:spacing w:line="360" w:lineRule="auto"/>
        <w:rPr>
          <w:rFonts w:ascii="Arial" w:hAnsi="Arial" w:cs="Arial"/>
          <w:b/>
          <w:bCs/>
          <w:color w:val="000000"/>
          <w:sz w:val="22"/>
          <w:szCs w:val="22"/>
        </w:rPr>
      </w:pPr>
      <w:r w:rsidRPr="004021DA">
        <w:rPr>
          <w:rFonts w:ascii="Arial" w:hAnsi="Arial" w:cs="Arial"/>
          <w:b/>
          <w:bCs/>
          <w:color w:val="000000"/>
          <w:sz w:val="22"/>
          <w:szCs w:val="22"/>
        </w:rPr>
        <w:t>Rehabilitation</w:t>
      </w:r>
    </w:p>
    <w:p w14:paraId="1432D8F4" w14:textId="139F4823" w:rsidR="00347792" w:rsidRPr="004021DA" w:rsidRDefault="00A0316D" w:rsidP="004021DA">
      <w:pPr>
        <w:pStyle w:val="NormalWeb"/>
        <w:spacing w:line="360" w:lineRule="auto"/>
        <w:rPr>
          <w:rFonts w:ascii="Arial" w:hAnsi="Arial" w:cs="Arial"/>
          <w:color w:val="000000"/>
          <w:sz w:val="22"/>
          <w:szCs w:val="22"/>
        </w:rPr>
      </w:pPr>
      <w:r w:rsidRPr="004021DA">
        <w:rPr>
          <w:rFonts w:ascii="Arial" w:hAnsi="Arial" w:cs="Arial"/>
          <w:color w:val="000000"/>
          <w:sz w:val="22"/>
          <w:szCs w:val="22"/>
        </w:rPr>
        <w:t>When it comes to rehabilitation measures in ICD</w:t>
      </w:r>
      <w:r w:rsidRPr="004021DA">
        <w:rPr>
          <w:rFonts w:ascii="Arial" w:hAnsi="Arial" w:cs="Arial"/>
          <w:color w:val="000000"/>
          <w:sz w:val="22"/>
          <w:szCs w:val="22"/>
        </w:rPr>
        <w:noBreakHyphen/>
        <w:t xml:space="preserve">11, the focus is on functional recovery, which encompasses social participation, self-care, and </w:t>
      </w:r>
      <w:r w:rsidR="008801C3" w:rsidRPr="004021DA">
        <w:rPr>
          <w:rFonts w:ascii="Arial" w:hAnsi="Arial" w:cs="Arial"/>
          <w:color w:val="000000"/>
          <w:sz w:val="22"/>
          <w:szCs w:val="22"/>
        </w:rPr>
        <w:t>employment (Almeida et al., 2020)</w:t>
      </w:r>
      <w:r w:rsidRPr="004021DA">
        <w:rPr>
          <w:rFonts w:ascii="Arial" w:hAnsi="Arial" w:cs="Arial"/>
          <w:color w:val="000000"/>
          <w:sz w:val="22"/>
          <w:szCs w:val="22"/>
        </w:rPr>
        <w:t xml:space="preserve">. In practice, rehabilitation </w:t>
      </w:r>
      <w:r w:rsidR="006F3EDB" w:rsidRPr="004021DA">
        <w:rPr>
          <w:rFonts w:ascii="Arial" w:hAnsi="Arial" w:cs="Arial"/>
          <w:color w:val="000000"/>
          <w:sz w:val="22"/>
          <w:szCs w:val="22"/>
        </w:rPr>
        <w:t>includes</w:t>
      </w:r>
      <w:r w:rsidRPr="004021DA">
        <w:rPr>
          <w:rFonts w:ascii="Arial" w:hAnsi="Arial" w:cs="Arial"/>
          <w:color w:val="000000"/>
          <w:sz w:val="22"/>
          <w:szCs w:val="22"/>
        </w:rPr>
        <w:t xml:space="preserve"> </w:t>
      </w:r>
      <w:r w:rsidR="006F3EDB" w:rsidRPr="004021DA">
        <w:rPr>
          <w:rFonts w:ascii="Arial" w:hAnsi="Arial" w:cs="Arial"/>
          <w:color w:val="000000"/>
          <w:sz w:val="22"/>
          <w:szCs w:val="22"/>
        </w:rPr>
        <w:t>supported</w:t>
      </w:r>
      <w:r w:rsidRPr="004021DA">
        <w:rPr>
          <w:rFonts w:ascii="Arial" w:hAnsi="Arial" w:cs="Arial"/>
          <w:color w:val="000000"/>
          <w:sz w:val="22"/>
          <w:szCs w:val="22"/>
        </w:rPr>
        <w:t xml:space="preserve"> housing and community mental health teams</w:t>
      </w:r>
      <w:r w:rsidR="006F3EDB" w:rsidRPr="004021DA">
        <w:rPr>
          <w:rFonts w:ascii="Arial" w:hAnsi="Arial" w:cs="Arial"/>
          <w:color w:val="000000"/>
          <w:sz w:val="22"/>
          <w:szCs w:val="22"/>
        </w:rPr>
        <w:t>, vocational</w:t>
      </w:r>
      <w:r w:rsidRPr="004021DA">
        <w:rPr>
          <w:rFonts w:ascii="Arial" w:hAnsi="Arial" w:cs="Arial"/>
          <w:color w:val="000000"/>
          <w:sz w:val="22"/>
          <w:szCs w:val="22"/>
        </w:rPr>
        <w:t xml:space="preserve"> rehabilitation</w:t>
      </w:r>
      <w:r w:rsidR="006F3EDB" w:rsidRPr="004021DA">
        <w:rPr>
          <w:rFonts w:ascii="Arial" w:hAnsi="Arial" w:cs="Arial"/>
          <w:color w:val="000000"/>
          <w:sz w:val="22"/>
          <w:szCs w:val="22"/>
        </w:rPr>
        <w:t>,</w:t>
      </w:r>
      <w:r w:rsidRPr="004021DA">
        <w:rPr>
          <w:rFonts w:ascii="Arial" w:hAnsi="Arial" w:cs="Arial"/>
          <w:color w:val="000000"/>
          <w:sz w:val="22"/>
          <w:szCs w:val="22"/>
        </w:rPr>
        <w:t xml:space="preserve"> Individual Placement and Support (IPS)</w:t>
      </w:r>
      <w:r w:rsidR="006F3EDB" w:rsidRPr="004021DA">
        <w:rPr>
          <w:rFonts w:ascii="Arial" w:hAnsi="Arial" w:cs="Arial"/>
          <w:color w:val="000000"/>
          <w:sz w:val="22"/>
          <w:szCs w:val="22"/>
        </w:rPr>
        <w:t>,</w:t>
      </w:r>
      <w:r w:rsidRPr="004021DA">
        <w:rPr>
          <w:rFonts w:ascii="Arial" w:hAnsi="Arial" w:cs="Arial"/>
          <w:color w:val="000000"/>
          <w:sz w:val="22"/>
          <w:szCs w:val="22"/>
        </w:rPr>
        <w:t xml:space="preserve"> monitoring physical health, especially metabolic syndrome</w:t>
      </w:r>
      <w:r w:rsidR="006F3EDB" w:rsidRPr="004021DA">
        <w:rPr>
          <w:rFonts w:ascii="Arial" w:hAnsi="Arial" w:cs="Arial"/>
          <w:color w:val="000000"/>
          <w:sz w:val="22"/>
          <w:szCs w:val="22"/>
        </w:rPr>
        <w:t>, and peer</w:t>
      </w:r>
      <w:r w:rsidRPr="004021DA">
        <w:rPr>
          <w:rFonts w:ascii="Arial" w:hAnsi="Arial" w:cs="Arial"/>
          <w:color w:val="000000"/>
          <w:sz w:val="22"/>
          <w:szCs w:val="22"/>
        </w:rPr>
        <w:t xml:space="preserve"> support and recovery-oriented services. IPS has robust evidence supporting its effectiveness in improving employment outcomes for individuals with </w:t>
      </w:r>
      <w:r w:rsidR="004F77B7" w:rsidRPr="004021DA">
        <w:rPr>
          <w:rFonts w:ascii="Arial" w:hAnsi="Arial" w:cs="Arial"/>
          <w:color w:val="000000"/>
          <w:sz w:val="22"/>
          <w:szCs w:val="22"/>
        </w:rPr>
        <w:t>schizophrenia (Bond, Drake and Becker, 20</w:t>
      </w:r>
      <w:r w:rsidR="002A377A" w:rsidRPr="004021DA">
        <w:rPr>
          <w:rFonts w:ascii="Arial" w:hAnsi="Arial" w:cs="Arial"/>
          <w:color w:val="000000"/>
          <w:sz w:val="22"/>
          <w:szCs w:val="22"/>
        </w:rPr>
        <w:t>19</w:t>
      </w:r>
      <w:r w:rsidR="004F77B7" w:rsidRPr="004021DA">
        <w:rPr>
          <w:rFonts w:ascii="Arial" w:hAnsi="Arial" w:cs="Arial"/>
          <w:color w:val="000000"/>
          <w:sz w:val="22"/>
          <w:szCs w:val="22"/>
        </w:rPr>
        <w:t xml:space="preserve">). </w:t>
      </w:r>
      <w:r w:rsidRPr="004021DA">
        <w:rPr>
          <w:rFonts w:ascii="Arial" w:hAnsi="Arial" w:cs="Arial"/>
          <w:color w:val="000000"/>
          <w:sz w:val="22"/>
          <w:szCs w:val="22"/>
        </w:rPr>
        <w:t xml:space="preserve">Recovery-oriented approaches prioritise autonomy, empowerment, and personal meaning, which aligns well with the current mental health policies in the UK </w:t>
      </w:r>
      <w:r w:rsidR="009F2D67" w:rsidRPr="004021DA">
        <w:rPr>
          <w:rFonts w:ascii="Arial" w:hAnsi="Arial" w:cs="Arial"/>
          <w:color w:val="000000"/>
          <w:sz w:val="22"/>
          <w:szCs w:val="22"/>
        </w:rPr>
        <w:t>(Leamy et al., 2011).</w:t>
      </w:r>
    </w:p>
    <w:p w14:paraId="4A39E79A" w14:textId="61299B2C" w:rsidR="00A0316D" w:rsidRPr="004021DA" w:rsidRDefault="00A0316D" w:rsidP="004021DA">
      <w:pPr>
        <w:pStyle w:val="NormalWeb"/>
        <w:spacing w:line="360" w:lineRule="auto"/>
        <w:rPr>
          <w:rFonts w:ascii="Arial" w:hAnsi="Arial" w:cs="Arial"/>
          <w:b/>
          <w:bCs/>
          <w:color w:val="000000"/>
          <w:sz w:val="22"/>
          <w:szCs w:val="22"/>
        </w:rPr>
      </w:pPr>
      <w:r w:rsidRPr="004021DA">
        <w:rPr>
          <w:rFonts w:ascii="Arial" w:hAnsi="Arial" w:cs="Arial"/>
          <w:b/>
          <w:bCs/>
          <w:color w:val="000000"/>
          <w:sz w:val="22"/>
          <w:szCs w:val="22"/>
        </w:rPr>
        <w:t xml:space="preserve"> Effectiveness and Limitations</w:t>
      </w:r>
    </w:p>
    <w:p w14:paraId="668504A0" w14:textId="0DD65BDE" w:rsidR="008A6D32" w:rsidRPr="004021DA" w:rsidRDefault="00347792" w:rsidP="004021DA">
      <w:pPr>
        <w:pStyle w:val="NormalWeb"/>
        <w:spacing w:line="360" w:lineRule="auto"/>
        <w:rPr>
          <w:rFonts w:ascii="Arial" w:hAnsi="Arial" w:cs="Arial"/>
          <w:color w:val="000000"/>
          <w:sz w:val="22"/>
          <w:szCs w:val="22"/>
        </w:rPr>
      </w:pPr>
      <w:r w:rsidRPr="004021DA">
        <w:rPr>
          <w:rFonts w:ascii="Arial" w:hAnsi="Arial" w:cs="Arial"/>
          <w:color w:val="000000"/>
          <w:sz w:val="22"/>
          <w:szCs w:val="22"/>
        </w:rPr>
        <w:t xml:space="preserve">While combining different treatment methods can lead to better results, there are still some challenges we </w:t>
      </w:r>
      <w:r w:rsidR="006F3EDB" w:rsidRPr="004021DA">
        <w:rPr>
          <w:rFonts w:ascii="Arial" w:hAnsi="Arial" w:cs="Arial"/>
          <w:color w:val="000000"/>
          <w:sz w:val="22"/>
          <w:szCs w:val="22"/>
        </w:rPr>
        <w:t>cannot</w:t>
      </w:r>
      <w:r w:rsidRPr="004021DA">
        <w:rPr>
          <w:rFonts w:ascii="Arial" w:hAnsi="Arial" w:cs="Arial"/>
          <w:color w:val="000000"/>
          <w:sz w:val="22"/>
          <w:szCs w:val="22"/>
        </w:rPr>
        <w:t xml:space="preserve"> ignore:</w:t>
      </w:r>
      <w:r w:rsidR="006F3EDB" w:rsidRPr="004021DA">
        <w:rPr>
          <w:rFonts w:ascii="Arial" w:hAnsi="Arial" w:cs="Arial"/>
          <w:color w:val="000000"/>
          <w:sz w:val="22"/>
          <w:szCs w:val="22"/>
        </w:rPr>
        <w:t xml:space="preserve"> </w:t>
      </w:r>
      <w:r w:rsidRPr="004021DA">
        <w:rPr>
          <w:rFonts w:ascii="Arial" w:hAnsi="Arial" w:cs="Arial"/>
          <w:color w:val="000000"/>
          <w:sz w:val="22"/>
          <w:szCs w:val="22"/>
        </w:rPr>
        <w:t xml:space="preserve">High relapse rates even when patients stick to their medication </w:t>
      </w:r>
      <w:r w:rsidR="00A2102A" w:rsidRPr="004021DA">
        <w:rPr>
          <w:rFonts w:ascii="Arial" w:hAnsi="Arial" w:cs="Arial"/>
          <w:color w:val="000000"/>
          <w:sz w:val="22"/>
          <w:szCs w:val="22"/>
        </w:rPr>
        <w:lastRenderedPageBreak/>
        <w:t>(Luby, 2014)</w:t>
      </w:r>
      <w:r w:rsidRPr="004021DA">
        <w:rPr>
          <w:rFonts w:ascii="Arial" w:hAnsi="Arial" w:cs="Arial"/>
          <w:color w:val="000000"/>
          <w:sz w:val="22"/>
          <w:szCs w:val="22"/>
        </w:rPr>
        <w:t>.  Ongoing negative symptoms that d</w:t>
      </w:r>
      <w:r w:rsidR="006F3EDB" w:rsidRPr="004021DA">
        <w:rPr>
          <w:rFonts w:ascii="Arial" w:hAnsi="Arial" w:cs="Arial"/>
          <w:color w:val="000000"/>
          <w:sz w:val="22"/>
          <w:szCs w:val="22"/>
        </w:rPr>
        <w:t>o not</w:t>
      </w:r>
      <w:r w:rsidRPr="004021DA">
        <w:rPr>
          <w:rFonts w:ascii="Arial" w:hAnsi="Arial" w:cs="Arial"/>
          <w:color w:val="000000"/>
          <w:sz w:val="22"/>
          <w:szCs w:val="22"/>
        </w:rPr>
        <w:t xml:space="preserve"> seem to improve much with </w:t>
      </w:r>
      <w:r w:rsidR="00A07DA3" w:rsidRPr="004021DA">
        <w:rPr>
          <w:rFonts w:ascii="Arial" w:hAnsi="Arial" w:cs="Arial"/>
          <w:color w:val="000000"/>
          <w:sz w:val="22"/>
          <w:szCs w:val="22"/>
        </w:rPr>
        <w:t>medication (Bell, Halligan and Ellis, 2005)</w:t>
      </w:r>
      <w:r w:rsidRPr="004021DA">
        <w:rPr>
          <w:rFonts w:ascii="Arial" w:hAnsi="Arial" w:cs="Arial"/>
          <w:color w:val="000000"/>
          <w:sz w:val="22"/>
          <w:szCs w:val="22"/>
        </w:rPr>
        <w:t>.  Health disparities, such as worse physical health and limited access to primary care (Reilly et al., 2012).  Cultural obstacles hinder participation in psychosocial treatments. These challenges really emphasise the importance of developing care models that are more personalised, culturally aware, and integrated</w:t>
      </w:r>
      <w:r w:rsidR="0008184B" w:rsidRPr="004021DA">
        <w:rPr>
          <w:rFonts w:ascii="Arial" w:hAnsi="Arial" w:cs="Arial"/>
          <w:color w:val="000000"/>
          <w:sz w:val="22"/>
          <w:szCs w:val="22"/>
        </w:rPr>
        <w:t>.</w:t>
      </w:r>
      <w:r w:rsidR="008A6D32" w:rsidRPr="004021DA">
        <w:rPr>
          <w:rStyle w:val="apple-converted-space"/>
          <w:rFonts w:ascii="Arial" w:eastAsiaTheme="majorEastAsia" w:hAnsi="Arial" w:cs="Arial"/>
          <w:color w:val="000000"/>
          <w:sz w:val="22"/>
          <w:szCs w:val="22"/>
        </w:rPr>
        <w:t> </w:t>
      </w:r>
    </w:p>
    <w:p w14:paraId="509B86C7" w14:textId="288B3310" w:rsidR="0008184B" w:rsidRPr="004021DA" w:rsidRDefault="00E33058" w:rsidP="004021DA">
      <w:pPr>
        <w:pStyle w:val="Heading1"/>
        <w:spacing w:line="360" w:lineRule="auto"/>
        <w:rPr>
          <w:rFonts w:ascii="Arial" w:hAnsi="Arial" w:cs="Arial"/>
          <w:sz w:val="22"/>
          <w:szCs w:val="22"/>
        </w:rPr>
      </w:pPr>
      <w:bookmarkStart w:id="2" w:name="_Toc237263105"/>
      <w:r w:rsidRPr="004021DA">
        <w:rPr>
          <w:rFonts w:ascii="Arial" w:hAnsi="Arial" w:cs="Arial"/>
          <w:sz w:val="22"/>
          <w:szCs w:val="22"/>
        </w:rPr>
        <w:t xml:space="preserve">Current </w:t>
      </w:r>
      <w:bookmarkEnd w:id="2"/>
      <w:r w:rsidR="0082194A" w:rsidRPr="004021DA">
        <w:rPr>
          <w:rFonts w:ascii="Arial" w:hAnsi="Arial" w:cs="Arial"/>
          <w:sz w:val="22"/>
          <w:szCs w:val="22"/>
        </w:rPr>
        <w:t>Debates</w:t>
      </w:r>
    </w:p>
    <w:p w14:paraId="78FD3210" w14:textId="6B358A2E" w:rsidR="00E33058" w:rsidRPr="004021DA" w:rsidRDefault="00E33058" w:rsidP="004021DA">
      <w:pPr>
        <w:pStyle w:val="NormalWeb"/>
        <w:spacing w:line="360" w:lineRule="auto"/>
        <w:rPr>
          <w:rFonts w:ascii="Arial" w:hAnsi="Arial" w:cs="Arial"/>
          <w:b/>
          <w:bCs/>
          <w:color w:val="000000"/>
          <w:sz w:val="22"/>
          <w:szCs w:val="22"/>
        </w:rPr>
      </w:pPr>
      <w:r w:rsidRPr="004021DA">
        <w:rPr>
          <w:rFonts w:ascii="Arial" w:hAnsi="Arial" w:cs="Arial"/>
          <w:b/>
          <w:bCs/>
          <w:color w:val="000000"/>
          <w:sz w:val="22"/>
          <w:szCs w:val="22"/>
        </w:rPr>
        <w:t>Debates on Classification</w:t>
      </w:r>
      <w:r w:rsidR="0008184B" w:rsidRPr="004021DA">
        <w:rPr>
          <w:rFonts w:ascii="Arial" w:hAnsi="Arial" w:cs="Arial"/>
          <w:b/>
          <w:bCs/>
          <w:color w:val="000000"/>
          <w:sz w:val="22"/>
          <w:szCs w:val="22"/>
        </w:rPr>
        <w:t xml:space="preserve"> </w:t>
      </w:r>
    </w:p>
    <w:p w14:paraId="2FA7DE50" w14:textId="20AEC645" w:rsidR="0008184B" w:rsidRPr="004021DA" w:rsidRDefault="0008184B" w:rsidP="004021DA">
      <w:pPr>
        <w:pStyle w:val="NormalWeb"/>
        <w:spacing w:line="360" w:lineRule="auto"/>
        <w:rPr>
          <w:rFonts w:ascii="Arial" w:hAnsi="Arial" w:cs="Arial"/>
          <w:color w:val="000000"/>
          <w:sz w:val="22"/>
          <w:szCs w:val="22"/>
        </w:rPr>
      </w:pPr>
      <w:r w:rsidRPr="004021DA">
        <w:rPr>
          <w:rFonts w:ascii="Arial" w:hAnsi="Arial" w:cs="Arial"/>
          <w:color w:val="000000"/>
          <w:sz w:val="22"/>
          <w:szCs w:val="22"/>
        </w:rPr>
        <w:t xml:space="preserve">The conversation around whether schizophrenia should continue to be viewed as a distinct diagnostic category is </w:t>
      </w:r>
      <w:r w:rsidR="0082194A" w:rsidRPr="004021DA">
        <w:rPr>
          <w:rFonts w:ascii="Arial" w:hAnsi="Arial" w:cs="Arial"/>
          <w:color w:val="000000"/>
          <w:sz w:val="22"/>
          <w:szCs w:val="22"/>
        </w:rPr>
        <w:t>ongoing</w:t>
      </w:r>
      <w:r w:rsidRPr="004021DA">
        <w:rPr>
          <w:rFonts w:ascii="Arial" w:hAnsi="Arial" w:cs="Arial"/>
          <w:color w:val="000000"/>
          <w:sz w:val="22"/>
          <w:szCs w:val="22"/>
        </w:rPr>
        <w:t xml:space="preserve">. Critics point out that schizophrenia is quite diverse, lacking definitive biological markers, and suggest it might be more accurately seen as part of a broader psychosis spectrum. The ICD-11’s move towards assessing symptoms dimensionally reflects this changing viewpoint. </w:t>
      </w:r>
    </w:p>
    <w:p w14:paraId="1D7BC94D" w14:textId="442C3140" w:rsidR="0008184B" w:rsidRPr="004021DA" w:rsidRDefault="0008184B" w:rsidP="004021DA">
      <w:pPr>
        <w:pStyle w:val="NormalWeb"/>
        <w:spacing w:line="360" w:lineRule="auto"/>
        <w:rPr>
          <w:rFonts w:ascii="Arial" w:hAnsi="Arial" w:cs="Arial"/>
          <w:b/>
          <w:bCs/>
          <w:color w:val="000000"/>
          <w:sz w:val="22"/>
          <w:szCs w:val="22"/>
        </w:rPr>
      </w:pPr>
      <w:r w:rsidRPr="004021DA">
        <w:rPr>
          <w:rFonts w:ascii="Arial" w:hAnsi="Arial" w:cs="Arial"/>
          <w:color w:val="000000"/>
          <w:sz w:val="22"/>
          <w:szCs w:val="22"/>
        </w:rPr>
        <w:t xml:space="preserve">Some researchers are pushing for a rethinking of schizophrenia as a neurodevelopmental disorder, highlighting evidence of early cognitive and structural brain differences (Murray et al., 2017). On the flip side, some believe that the label “schizophrenia” carries a stigma and should be swapped out for terminology that feels less </w:t>
      </w:r>
      <w:proofErr w:type="spellStart"/>
      <w:r w:rsidR="00C602ED" w:rsidRPr="004021DA">
        <w:rPr>
          <w:rFonts w:ascii="Arial" w:hAnsi="Arial" w:cs="Arial"/>
          <w:color w:val="000000"/>
          <w:sz w:val="22"/>
          <w:szCs w:val="22"/>
        </w:rPr>
        <w:t>pathologising</w:t>
      </w:r>
      <w:proofErr w:type="spellEnd"/>
      <w:r w:rsidRPr="004021DA">
        <w:rPr>
          <w:rFonts w:ascii="Arial" w:hAnsi="Arial" w:cs="Arial"/>
          <w:color w:val="000000"/>
          <w:sz w:val="22"/>
          <w:szCs w:val="22"/>
        </w:rPr>
        <w:t>.</w:t>
      </w:r>
    </w:p>
    <w:p w14:paraId="61AEC7E3" w14:textId="560874F5" w:rsidR="0008184B" w:rsidRPr="004021DA" w:rsidRDefault="0008184B" w:rsidP="004021DA">
      <w:pPr>
        <w:pStyle w:val="NormalWeb"/>
        <w:spacing w:line="360" w:lineRule="auto"/>
        <w:rPr>
          <w:rFonts w:ascii="Arial" w:hAnsi="Arial" w:cs="Arial"/>
          <w:b/>
          <w:bCs/>
          <w:color w:val="000000"/>
          <w:sz w:val="22"/>
          <w:szCs w:val="22"/>
        </w:rPr>
      </w:pPr>
      <w:r w:rsidRPr="004021DA">
        <w:rPr>
          <w:rFonts w:ascii="Arial" w:hAnsi="Arial" w:cs="Arial"/>
          <w:b/>
          <w:bCs/>
          <w:color w:val="000000"/>
          <w:sz w:val="22"/>
          <w:szCs w:val="22"/>
        </w:rPr>
        <w:t xml:space="preserve"> Neurodivergence and Reclassification Issues</w:t>
      </w:r>
    </w:p>
    <w:p w14:paraId="18ECD110" w14:textId="5C004947" w:rsidR="00F22FEB" w:rsidRPr="004021DA" w:rsidRDefault="00F22FEB" w:rsidP="004021DA">
      <w:pPr>
        <w:pStyle w:val="NormalWeb"/>
        <w:spacing w:line="360" w:lineRule="auto"/>
        <w:rPr>
          <w:rFonts w:ascii="Arial" w:hAnsi="Arial" w:cs="Arial"/>
          <w:color w:val="000000"/>
          <w:sz w:val="22"/>
          <w:szCs w:val="22"/>
        </w:rPr>
      </w:pPr>
      <w:r w:rsidRPr="004021DA">
        <w:rPr>
          <w:rFonts w:ascii="Arial" w:hAnsi="Arial" w:cs="Arial"/>
          <w:color w:val="000000"/>
          <w:sz w:val="22"/>
          <w:szCs w:val="22"/>
        </w:rPr>
        <w:t xml:space="preserve">The neurodiversity movement challenges traditional biomedical models by framing mental differences as natural variations rather than disorders. While neurodivergence is more commonly associated with autism and ADHD, some scholars argue that psychosis could also be understood through a neurodiversity </w:t>
      </w:r>
      <w:r w:rsidR="002406BA" w:rsidRPr="004021DA">
        <w:rPr>
          <w:rFonts w:ascii="Arial" w:hAnsi="Arial" w:cs="Arial"/>
          <w:color w:val="000000"/>
          <w:sz w:val="22"/>
          <w:szCs w:val="22"/>
        </w:rPr>
        <w:t>lens (Potter and El-</w:t>
      </w:r>
      <w:proofErr w:type="spellStart"/>
      <w:r w:rsidR="002406BA" w:rsidRPr="004021DA">
        <w:rPr>
          <w:rFonts w:ascii="Arial" w:hAnsi="Arial" w:cs="Arial"/>
          <w:color w:val="000000"/>
          <w:sz w:val="22"/>
          <w:szCs w:val="22"/>
        </w:rPr>
        <w:t>Mallakh</w:t>
      </w:r>
      <w:proofErr w:type="spellEnd"/>
      <w:r w:rsidR="002406BA" w:rsidRPr="004021DA">
        <w:rPr>
          <w:rFonts w:ascii="Arial" w:hAnsi="Arial" w:cs="Arial"/>
          <w:color w:val="000000"/>
          <w:sz w:val="22"/>
          <w:szCs w:val="22"/>
        </w:rPr>
        <w:t>, 2019)</w:t>
      </w:r>
      <w:r w:rsidRPr="004021DA">
        <w:rPr>
          <w:rFonts w:ascii="Arial" w:hAnsi="Arial" w:cs="Arial"/>
          <w:color w:val="000000"/>
          <w:sz w:val="22"/>
          <w:szCs w:val="22"/>
        </w:rPr>
        <w:t>. This perspective emphasises lived experience, trauma, and social context rather than pathology.</w:t>
      </w:r>
    </w:p>
    <w:p w14:paraId="501D1C51" w14:textId="70F068C9" w:rsidR="00F22FEB" w:rsidRPr="004021DA" w:rsidRDefault="00F22FEB" w:rsidP="004021DA">
      <w:pPr>
        <w:pStyle w:val="NormalWeb"/>
        <w:spacing w:line="360" w:lineRule="auto"/>
        <w:rPr>
          <w:rFonts w:ascii="Arial" w:hAnsi="Arial" w:cs="Arial"/>
          <w:color w:val="000000"/>
          <w:sz w:val="22"/>
          <w:szCs w:val="22"/>
        </w:rPr>
      </w:pPr>
      <w:r w:rsidRPr="004021DA">
        <w:rPr>
          <w:rFonts w:ascii="Arial" w:hAnsi="Arial" w:cs="Arial"/>
          <w:color w:val="000000"/>
          <w:sz w:val="22"/>
          <w:szCs w:val="22"/>
        </w:rPr>
        <w:t xml:space="preserve">However, applying neurodivergence to schizophrenia remains controversial. Critics argue that severe functional impairment, risk, and distress associated with schizophrenia necessitate medical classification and </w:t>
      </w:r>
      <w:r w:rsidR="00982D53" w:rsidRPr="004021DA">
        <w:rPr>
          <w:rFonts w:ascii="Arial" w:hAnsi="Arial" w:cs="Arial"/>
          <w:color w:val="000000"/>
          <w:sz w:val="22"/>
          <w:szCs w:val="22"/>
        </w:rPr>
        <w:t>treatment (Smoller et al., 2019)</w:t>
      </w:r>
      <w:r w:rsidRPr="004021DA">
        <w:rPr>
          <w:rFonts w:ascii="Arial" w:hAnsi="Arial" w:cs="Arial"/>
          <w:color w:val="000000"/>
          <w:sz w:val="22"/>
          <w:szCs w:val="22"/>
        </w:rPr>
        <w:t>. The debate raises questions about autonomy, coercion, and the ethics of compulsory treatment.</w:t>
      </w:r>
    </w:p>
    <w:p w14:paraId="469BD47D" w14:textId="77777777" w:rsidR="001C3E81" w:rsidRPr="004021DA" w:rsidRDefault="00F22FEB" w:rsidP="004021DA">
      <w:pPr>
        <w:pStyle w:val="NormalWeb"/>
        <w:spacing w:line="360" w:lineRule="auto"/>
        <w:rPr>
          <w:rFonts w:ascii="Arial" w:hAnsi="Arial" w:cs="Arial"/>
          <w:b/>
          <w:bCs/>
          <w:color w:val="000000"/>
          <w:sz w:val="22"/>
          <w:szCs w:val="22"/>
        </w:rPr>
      </w:pPr>
      <w:r w:rsidRPr="004021DA">
        <w:rPr>
          <w:rFonts w:ascii="Arial" w:hAnsi="Arial" w:cs="Arial"/>
          <w:b/>
          <w:bCs/>
          <w:color w:val="000000"/>
          <w:sz w:val="22"/>
          <w:szCs w:val="22"/>
        </w:rPr>
        <w:t>Impact on Practice and Policy</w:t>
      </w:r>
    </w:p>
    <w:p w14:paraId="4E005C19" w14:textId="57A0CFF7" w:rsidR="00A37E4B" w:rsidRPr="004021DA" w:rsidRDefault="00A37E4B" w:rsidP="004021DA">
      <w:pPr>
        <w:pStyle w:val="NormalWeb"/>
        <w:spacing w:line="360" w:lineRule="auto"/>
        <w:rPr>
          <w:rFonts w:ascii="Arial" w:hAnsi="Arial" w:cs="Arial"/>
          <w:color w:val="000000"/>
          <w:sz w:val="22"/>
          <w:szCs w:val="22"/>
        </w:rPr>
      </w:pPr>
      <w:r w:rsidRPr="004021DA">
        <w:rPr>
          <w:rFonts w:ascii="Arial" w:hAnsi="Arial" w:cs="Arial"/>
          <w:color w:val="000000"/>
          <w:sz w:val="22"/>
          <w:szCs w:val="22"/>
        </w:rPr>
        <w:t xml:space="preserve">While the evidence surrounding the impact of UK healthcare policy on schizophrenia outcomes is still somewhat sparse, the studies that do exist point to several key takeaways for practice. For instance, research on Early Intervention in Psychosis (EIP) services in </w:t>
      </w:r>
      <w:r w:rsidRPr="004021DA">
        <w:rPr>
          <w:rFonts w:ascii="Arial" w:hAnsi="Arial" w:cs="Arial"/>
          <w:color w:val="000000"/>
          <w:sz w:val="22"/>
          <w:szCs w:val="22"/>
        </w:rPr>
        <w:lastRenderedPageBreak/>
        <w:t>England reveals that long waiting times, especially those stretching beyond three months, are associated with worse clinical outcomes a year after patients enter care (Birchwood et al., 2021). This finding suggests that policies focused on cutting down waiting times, like the NHS access standards for EIP, could lead to better outcomes for those living with schizophrenia.</w:t>
      </w:r>
    </w:p>
    <w:p w14:paraId="6F3F5C23" w14:textId="08C89117" w:rsidR="00A37E4B" w:rsidRPr="004021DA" w:rsidRDefault="00A37E4B" w:rsidP="004021DA">
      <w:pPr>
        <w:pStyle w:val="NormalWeb"/>
        <w:spacing w:line="360" w:lineRule="auto"/>
        <w:rPr>
          <w:rFonts w:ascii="Arial" w:hAnsi="Arial" w:cs="Arial"/>
          <w:color w:val="000000"/>
          <w:sz w:val="22"/>
          <w:szCs w:val="22"/>
        </w:rPr>
      </w:pPr>
      <w:r w:rsidRPr="004021DA">
        <w:rPr>
          <w:rFonts w:ascii="Arial" w:hAnsi="Arial" w:cs="Arial"/>
          <w:color w:val="000000"/>
          <w:sz w:val="22"/>
          <w:szCs w:val="22"/>
        </w:rPr>
        <w:t>On the flip side, the effectiveness of implementing clinical guidelines for schizophrenia is still a bit of a grey area. A review examining how these guidelines are adopted in specialist mental health services found mixed results regarding their impact on provider performance and patient outcomes, with the overall evidence low (</w:t>
      </w:r>
      <w:proofErr w:type="spellStart"/>
      <w:r w:rsidRPr="004021DA">
        <w:rPr>
          <w:rFonts w:ascii="Arial" w:hAnsi="Arial" w:cs="Arial"/>
          <w:color w:val="000000"/>
          <w:sz w:val="22"/>
          <w:szCs w:val="22"/>
        </w:rPr>
        <w:t>Kisely</w:t>
      </w:r>
      <w:proofErr w:type="spellEnd"/>
      <w:r w:rsidRPr="004021DA">
        <w:rPr>
          <w:rFonts w:ascii="Arial" w:hAnsi="Arial" w:cs="Arial"/>
          <w:color w:val="000000"/>
          <w:sz w:val="22"/>
          <w:szCs w:val="22"/>
        </w:rPr>
        <w:t xml:space="preserve"> &amp; Looi, 2022). This points to the fact that UK policies encouraging adherence to guidelines haven't yet shown clear, measurable improvements in treatment outcomes for schizophrenia</w:t>
      </w:r>
    </w:p>
    <w:p w14:paraId="67942ACA" w14:textId="42C3B13F" w:rsidR="00A37E4B" w:rsidRPr="004021DA" w:rsidRDefault="00A37E4B" w:rsidP="004021DA">
      <w:pPr>
        <w:pStyle w:val="NormalWeb"/>
        <w:spacing w:line="360" w:lineRule="auto"/>
        <w:rPr>
          <w:rFonts w:ascii="Arial" w:hAnsi="Arial" w:cs="Arial"/>
          <w:color w:val="000000"/>
          <w:sz w:val="22"/>
          <w:szCs w:val="22"/>
        </w:rPr>
      </w:pPr>
      <w:r w:rsidRPr="004021DA">
        <w:rPr>
          <w:rFonts w:ascii="Arial" w:hAnsi="Arial" w:cs="Arial"/>
          <w:color w:val="000000"/>
          <w:sz w:val="22"/>
          <w:szCs w:val="22"/>
        </w:rPr>
        <w:t>Current legislation also plays a significant role in shaping practice. The Mental Health Act 1983 (amended 2007) is the legal framework for compulsory assessment and treatment, highlighting the importance of care, patient rights, and access to Independent Mental Health Advocates (IMHAs). These principles are crucial for ensuring timely intervention and protecting individuals facing severe psychosis (Department of Health and Social Care, 2015). In summary, UK policy on schizophrenia care is mainly standards for waiting times, rights-based legislation, and ongoing initiatives aimed at bolstering evidence-based practices...</w:t>
      </w:r>
    </w:p>
    <w:p w14:paraId="22EB9F7C" w14:textId="77777777" w:rsidR="008A6D32" w:rsidRPr="004021DA" w:rsidRDefault="008A6D32" w:rsidP="004021DA">
      <w:pPr>
        <w:pStyle w:val="NormalWeb"/>
        <w:spacing w:line="360" w:lineRule="auto"/>
        <w:rPr>
          <w:rFonts w:ascii="Arial" w:hAnsi="Arial" w:cs="Arial"/>
          <w:b/>
          <w:bCs/>
          <w:color w:val="000000"/>
          <w:sz w:val="22"/>
          <w:szCs w:val="22"/>
        </w:rPr>
      </w:pPr>
    </w:p>
    <w:p w14:paraId="2DE91F35" w14:textId="13602261" w:rsidR="00F22FEB" w:rsidRPr="004021DA" w:rsidRDefault="008A6D32" w:rsidP="004021DA">
      <w:pPr>
        <w:pStyle w:val="Heading1"/>
        <w:spacing w:line="360" w:lineRule="auto"/>
        <w:rPr>
          <w:rFonts w:ascii="Arial" w:hAnsi="Arial" w:cs="Arial"/>
          <w:sz w:val="22"/>
          <w:szCs w:val="22"/>
        </w:rPr>
      </w:pPr>
      <w:bookmarkStart w:id="3" w:name="_Toc237263106"/>
      <w:r w:rsidRPr="004021DA">
        <w:rPr>
          <w:rFonts w:ascii="Arial" w:hAnsi="Arial" w:cs="Arial"/>
          <w:sz w:val="22"/>
          <w:szCs w:val="22"/>
        </w:rPr>
        <w:t>Recommendations</w:t>
      </w:r>
      <w:bookmarkEnd w:id="3"/>
    </w:p>
    <w:p w14:paraId="7D628727" w14:textId="77777777" w:rsidR="00F22FEB" w:rsidRPr="004021DA" w:rsidRDefault="00F22FEB" w:rsidP="004021DA">
      <w:pPr>
        <w:pStyle w:val="NormalWeb"/>
        <w:spacing w:line="360" w:lineRule="auto"/>
        <w:rPr>
          <w:rFonts w:ascii="Arial" w:eastAsiaTheme="majorEastAsia" w:hAnsi="Arial" w:cs="Arial"/>
          <w:color w:val="000000"/>
          <w:sz w:val="22"/>
          <w:szCs w:val="22"/>
        </w:rPr>
      </w:pPr>
      <w:r w:rsidRPr="004021DA">
        <w:rPr>
          <w:rFonts w:ascii="Arial" w:eastAsiaTheme="majorEastAsia" w:hAnsi="Arial" w:cs="Arial"/>
          <w:color w:val="000000"/>
          <w:sz w:val="22"/>
          <w:szCs w:val="22"/>
        </w:rPr>
        <w:t xml:space="preserve">Based on the analysis, here are some recommendations that could really enhance classification, diagnosis, treatment, and rehabilitation: </w:t>
      </w:r>
    </w:p>
    <w:p w14:paraId="2FDF26CC" w14:textId="4F2E655B" w:rsidR="00AA664F" w:rsidRPr="004021DA" w:rsidRDefault="00F22FEB" w:rsidP="004021DA">
      <w:pPr>
        <w:pStyle w:val="NormalWeb"/>
        <w:spacing w:line="360" w:lineRule="auto"/>
        <w:rPr>
          <w:rFonts w:ascii="Arial" w:eastAsiaTheme="majorEastAsia" w:hAnsi="Arial" w:cs="Arial"/>
          <w:color w:val="000000"/>
          <w:sz w:val="22"/>
          <w:szCs w:val="22"/>
        </w:rPr>
      </w:pPr>
      <w:r w:rsidRPr="004021DA">
        <w:rPr>
          <w:rFonts w:ascii="Arial" w:eastAsiaTheme="majorEastAsia" w:hAnsi="Arial" w:cs="Arial"/>
          <w:color w:val="000000"/>
          <w:sz w:val="22"/>
          <w:szCs w:val="22"/>
        </w:rPr>
        <w:t xml:space="preserve"> Boost Dimensional Assessment in Clinical Practice</w:t>
      </w:r>
      <w:r w:rsidR="001B2FE5" w:rsidRPr="004021DA">
        <w:rPr>
          <w:rFonts w:ascii="Arial" w:eastAsiaTheme="majorEastAsia" w:hAnsi="Arial" w:cs="Arial"/>
          <w:color w:val="000000"/>
          <w:sz w:val="22"/>
          <w:szCs w:val="22"/>
        </w:rPr>
        <w:t>:</w:t>
      </w:r>
      <w:r w:rsidRPr="004021DA">
        <w:rPr>
          <w:rFonts w:ascii="Arial" w:eastAsiaTheme="majorEastAsia" w:hAnsi="Arial" w:cs="Arial"/>
          <w:color w:val="000000"/>
          <w:sz w:val="22"/>
          <w:szCs w:val="22"/>
        </w:rPr>
        <w:t xml:space="preserve"> We should start using ICD</w:t>
      </w:r>
      <w:r w:rsidRPr="004021DA">
        <w:rPr>
          <w:rFonts w:ascii="Arial" w:eastAsiaTheme="majorEastAsia" w:hAnsi="Arial" w:cs="Arial"/>
          <w:color w:val="000000"/>
          <w:sz w:val="22"/>
          <w:szCs w:val="22"/>
        </w:rPr>
        <w:noBreakHyphen/>
        <w:t xml:space="preserve">11’s dimensional model more widely </w:t>
      </w:r>
      <w:r w:rsidR="00AC7986" w:rsidRPr="004021DA">
        <w:rPr>
          <w:rFonts w:ascii="Arial" w:eastAsiaTheme="majorEastAsia" w:hAnsi="Arial" w:cs="Arial"/>
          <w:color w:val="000000"/>
          <w:sz w:val="22"/>
          <w:szCs w:val="22"/>
        </w:rPr>
        <w:t xml:space="preserve">in </w:t>
      </w:r>
      <w:r w:rsidRPr="004021DA">
        <w:rPr>
          <w:rFonts w:ascii="Arial" w:eastAsiaTheme="majorEastAsia" w:hAnsi="Arial" w:cs="Arial"/>
          <w:color w:val="000000"/>
          <w:sz w:val="22"/>
          <w:szCs w:val="22"/>
        </w:rPr>
        <w:t>daily</w:t>
      </w:r>
      <w:r w:rsidR="00AC7986" w:rsidRPr="004021DA">
        <w:rPr>
          <w:rFonts w:ascii="Arial" w:eastAsiaTheme="majorEastAsia" w:hAnsi="Arial" w:cs="Arial"/>
          <w:color w:val="000000"/>
          <w:sz w:val="22"/>
          <w:szCs w:val="22"/>
        </w:rPr>
        <w:t xml:space="preserve"> practice</w:t>
      </w:r>
      <w:r w:rsidRPr="004021DA">
        <w:rPr>
          <w:rFonts w:ascii="Arial" w:eastAsiaTheme="majorEastAsia" w:hAnsi="Arial" w:cs="Arial"/>
          <w:color w:val="000000"/>
          <w:sz w:val="22"/>
          <w:szCs w:val="22"/>
        </w:rPr>
        <w:t xml:space="preserve">. This approach would help tailor treatment plans to individual needs and </w:t>
      </w:r>
      <w:r w:rsidR="00AC7986" w:rsidRPr="004021DA">
        <w:rPr>
          <w:rFonts w:ascii="Arial" w:eastAsiaTheme="majorEastAsia" w:hAnsi="Arial" w:cs="Arial"/>
          <w:color w:val="000000"/>
          <w:sz w:val="22"/>
          <w:szCs w:val="22"/>
        </w:rPr>
        <w:t>avoid</w:t>
      </w:r>
      <w:r w:rsidRPr="004021DA">
        <w:rPr>
          <w:rFonts w:ascii="Arial" w:eastAsiaTheme="majorEastAsia" w:hAnsi="Arial" w:cs="Arial"/>
          <w:color w:val="000000"/>
          <w:sz w:val="22"/>
          <w:szCs w:val="22"/>
        </w:rPr>
        <w:t xml:space="preserve"> strict categorical labels.</w:t>
      </w:r>
      <w:r w:rsidR="00CF12B6" w:rsidRPr="004021DA">
        <w:rPr>
          <w:rFonts w:ascii="Arial" w:eastAsiaTheme="majorEastAsia" w:hAnsi="Arial" w:cs="Arial"/>
          <w:color w:val="000000"/>
          <w:sz w:val="22"/>
          <w:szCs w:val="22"/>
        </w:rPr>
        <w:t xml:space="preserve"> </w:t>
      </w:r>
      <w:r w:rsidRPr="004021DA">
        <w:rPr>
          <w:rFonts w:ascii="Arial" w:eastAsiaTheme="majorEastAsia" w:hAnsi="Arial" w:cs="Arial"/>
          <w:color w:val="000000"/>
          <w:sz w:val="22"/>
          <w:szCs w:val="22"/>
        </w:rPr>
        <w:t xml:space="preserve">Enhance Physical Health Monitoring: With the high prevalence of metabolic and cardiovascular diseases, it’s crucial </w:t>
      </w:r>
      <w:r w:rsidR="000D0705" w:rsidRPr="004021DA">
        <w:rPr>
          <w:rFonts w:ascii="Arial" w:eastAsiaTheme="majorEastAsia" w:hAnsi="Arial" w:cs="Arial"/>
          <w:color w:val="000000"/>
          <w:sz w:val="22"/>
          <w:szCs w:val="22"/>
        </w:rPr>
        <w:t xml:space="preserve">to </w:t>
      </w:r>
      <w:r w:rsidRPr="004021DA">
        <w:rPr>
          <w:rFonts w:ascii="Arial" w:eastAsiaTheme="majorEastAsia" w:hAnsi="Arial" w:cs="Arial"/>
          <w:color w:val="000000"/>
          <w:sz w:val="22"/>
          <w:szCs w:val="22"/>
        </w:rPr>
        <w:t xml:space="preserve">make physical health checks mandatory and culturally sensitive. This would help </w:t>
      </w:r>
      <w:r w:rsidR="000A0447" w:rsidRPr="004021DA">
        <w:rPr>
          <w:rFonts w:ascii="Arial" w:eastAsiaTheme="majorEastAsia" w:hAnsi="Arial" w:cs="Arial"/>
          <w:color w:val="000000"/>
          <w:sz w:val="22"/>
          <w:szCs w:val="22"/>
        </w:rPr>
        <w:t>minimise</w:t>
      </w:r>
      <w:r w:rsidRPr="004021DA">
        <w:rPr>
          <w:rFonts w:ascii="Arial" w:eastAsiaTheme="majorEastAsia" w:hAnsi="Arial" w:cs="Arial"/>
          <w:color w:val="000000"/>
          <w:sz w:val="22"/>
          <w:szCs w:val="22"/>
        </w:rPr>
        <w:t xml:space="preserve"> exception reporting in primary care settings</w:t>
      </w:r>
      <w:r w:rsidR="008C3A46" w:rsidRPr="004021DA">
        <w:rPr>
          <w:rFonts w:ascii="Arial" w:eastAsiaTheme="majorEastAsia" w:hAnsi="Arial" w:cs="Arial"/>
          <w:color w:val="000000"/>
          <w:sz w:val="22"/>
          <w:szCs w:val="22"/>
        </w:rPr>
        <w:t>.</w:t>
      </w:r>
      <w:r w:rsidRPr="004021DA">
        <w:rPr>
          <w:rFonts w:ascii="Arial" w:eastAsiaTheme="majorEastAsia" w:hAnsi="Arial" w:cs="Arial"/>
          <w:color w:val="000000"/>
          <w:sz w:val="22"/>
          <w:szCs w:val="22"/>
        </w:rPr>
        <w:t xml:space="preserve">  Broaden Access to Evidence</w:t>
      </w:r>
      <w:r w:rsidRPr="004021DA">
        <w:rPr>
          <w:rFonts w:ascii="Arial" w:eastAsiaTheme="majorEastAsia" w:hAnsi="Arial" w:cs="Arial"/>
          <w:color w:val="000000"/>
          <w:sz w:val="22"/>
          <w:szCs w:val="22"/>
        </w:rPr>
        <w:noBreakHyphen/>
        <w:t>Based Psychosocial Interventions</w:t>
      </w:r>
      <w:r w:rsidR="000A0447" w:rsidRPr="004021DA">
        <w:rPr>
          <w:rFonts w:ascii="Arial" w:eastAsiaTheme="majorEastAsia" w:hAnsi="Arial" w:cs="Arial"/>
          <w:color w:val="000000"/>
          <w:sz w:val="22"/>
          <w:szCs w:val="22"/>
        </w:rPr>
        <w:t>:</w:t>
      </w:r>
      <w:r w:rsidRPr="004021DA">
        <w:rPr>
          <w:rFonts w:ascii="Arial" w:eastAsiaTheme="majorEastAsia" w:hAnsi="Arial" w:cs="Arial"/>
          <w:color w:val="000000"/>
          <w:sz w:val="22"/>
          <w:szCs w:val="22"/>
        </w:rPr>
        <w:t xml:space="preserve"> We need to ensure that </w:t>
      </w:r>
      <w:proofErr w:type="spellStart"/>
      <w:r w:rsidRPr="004021DA">
        <w:rPr>
          <w:rFonts w:ascii="Arial" w:eastAsiaTheme="majorEastAsia" w:hAnsi="Arial" w:cs="Arial"/>
          <w:color w:val="000000"/>
          <w:sz w:val="22"/>
          <w:szCs w:val="22"/>
        </w:rPr>
        <w:t>CBTp</w:t>
      </w:r>
      <w:proofErr w:type="spellEnd"/>
      <w:r w:rsidRPr="004021DA">
        <w:rPr>
          <w:rFonts w:ascii="Arial" w:eastAsiaTheme="majorEastAsia" w:hAnsi="Arial" w:cs="Arial"/>
          <w:color w:val="000000"/>
          <w:sz w:val="22"/>
          <w:szCs w:val="22"/>
        </w:rPr>
        <w:t xml:space="preserve">, family interventions, and cognitive remediation </w:t>
      </w:r>
      <w:r w:rsidR="00AC7986" w:rsidRPr="004021DA">
        <w:rPr>
          <w:rFonts w:ascii="Arial" w:eastAsiaTheme="majorEastAsia" w:hAnsi="Arial" w:cs="Arial"/>
          <w:color w:val="000000"/>
          <w:sz w:val="22"/>
          <w:szCs w:val="22"/>
        </w:rPr>
        <w:t>are available</w:t>
      </w:r>
      <w:r w:rsidRPr="004021DA">
        <w:rPr>
          <w:rFonts w:ascii="Arial" w:eastAsiaTheme="majorEastAsia" w:hAnsi="Arial" w:cs="Arial"/>
          <w:color w:val="000000"/>
          <w:sz w:val="22"/>
          <w:szCs w:val="22"/>
        </w:rPr>
        <w:t xml:space="preserve">. Adapting these interventions to fit cultural contexts is key to boosting engagement </w:t>
      </w:r>
      <w:r w:rsidR="00184DEA" w:rsidRPr="004021DA">
        <w:rPr>
          <w:rFonts w:ascii="Arial" w:eastAsiaTheme="majorEastAsia" w:hAnsi="Arial" w:cs="Arial"/>
          <w:color w:val="000000"/>
          <w:sz w:val="22"/>
          <w:szCs w:val="22"/>
        </w:rPr>
        <w:t>(Mor-Ben-</w:t>
      </w:r>
      <w:proofErr w:type="spellStart"/>
      <w:r w:rsidR="00184DEA" w:rsidRPr="004021DA">
        <w:rPr>
          <w:rFonts w:ascii="Arial" w:eastAsiaTheme="majorEastAsia" w:hAnsi="Arial" w:cs="Arial"/>
          <w:color w:val="000000"/>
          <w:sz w:val="22"/>
          <w:szCs w:val="22"/>
        </w:rPr>
        <w:t>Ishai</w:t>
      </w:r>
      <w:proofErr w:type="spellEnd"/>
      <w:r w:rsidR="00184DEA" w:rsidRPr="004021DA">
        <w:rPr>
          <w:rFonts w:ascii="Arial" w:eastAsiaTheme="majorEastAsia" w:hAnsi="Arial" w:cs="Arial"/>
          <w:color w:val="000000"/>
          <w:sz w:val="22"/>
          <w:szCs w:val="22"/>
        </w:rPr>
        <w:t>, Ben-Ezra and Levin, 2026)</w:t>
      </w:r>
      <w:r w:rsidRPr="004021DA">
        <w:rPr>
          <w:rFonts w:ascii="Arial" w:eastAsiaTheme="majorEastAsia" w:hAnsi="Arial" w:cs="Arial"/>
          <w:color w:val="000000"/>
          <w:sz w:val="22"/>
          <w:szCs w:val="22"/>
        </w:rPr>
        <w:t xml:space="preserve">. Fortify </w:t>
      </w:r>
      <w:r w:rsidRPr="004021DA">
        <w:rPr>
          <w:rFonts w:ascii="Arial" w:eastAsiaTheme="majorEastAsia" w:hAnsi="Arial" w:cs="Arial"/>
          <w:color w:val="000000"/>
          <w:sz w:val="22"/>
          <w:szCs w:val="22"/>
        </w:rPr>
        <w:lastRenderedPageBreak/>
        <w:t>Recovery</w:t>
      </w:r>
      <w:r w:rsidRPr="004021DA">
        <w:rPr>
          <w:rFonts w:ascii="Arial" w:eastAsiaTheme="majorEastAsia" w:hAnsi="Arial" w:cs="Arial"/>
          <w:color w:val="000000"/>
          <w:sz w:val="22"/>
          <w:szCs w:val="22"/>
        </w:rPr>
        <w:noBreakHyphen/>
        <w:t>Oriented and Trauma</w:t>
      </w:r>
      <w:r w:rsidRPr="004021DA">
        <w:rPr>
          <w:rFonts w:ascii="Arial" w:eastAsiaTheme="majorEastAsia" w:hAnsi="Arial" w:cs="Arial"/>
          <w:color w:val="000000"/>
          <w:sz w:val="22"/>
          <w:szCs w:val="22"/>
        </w:rPr>
        <w:noBreakHyphen/>
        <w:t>Informed Care</w:t>
      </w:r>
      <w:r w:rsidR="00AC7986" w:rsidRPr="004021DA">
        <w:rPr>
          <w:rFonts w:ascii="Arial" w:eastAsiaTheme="majorEastAsia" w:hAnsi="Arial" w:cs="Arial"/>
          <w:color w:val="000000"/>
          <w:sz w:val="22"/>
          <w:szCs w:val="22"/>
        </w:rPr>
        <w:t>.</w:t>
      </w:r>
      <w:r w:rsidRPr="004021DA">
        <w:rPr>
          <w:rFonts w:ascii="Arial" w:eastAsiaTheme="majorEastAsia" w:hAnsi="Arial" w:cs="Arial"/>
          <w:color w:val="000000"/>
          <w:sz w:val="22"/>
          <w:szCs w:val="22"/>
        </w:rPr>
        <w:t xml:space="preserve"> </w:t>
      </w:r>
      <w:r w:rsidR="00AC7986" w:rsidRPr="004021DA">
        <w:rPr>
          <w:rFonts w:ascii="Arial" w:eastAsiaTheme="majorEastAsia" w:hAnsi="Arial" w:cs="Arial"/>
          <w:color w:val="000000"/>
          <w:sz w:val="22"/>
          <w:szCs w:val="22"/>
        </w:rPr>
        <w:t>Services need to incorporate</w:t>
      </w:r>
      <w:r w:rsidRPr="004021DA">
        <w:rPr>
          <w:rFonts w:ascii="Arial" w:eastAsiaTheme="majorEastAsia" w:hAnsi="Arial" w:cs="Arial"/>
          <w:color w:val="000000"/>
          <w:sz w:val="22"/>
          <w:szCs w:val="22"/>
        </w:rPr>
        <w:t xml:space="preserve"> trauma-informed practices and peer support, aligning with modern understandings of psychosis.  Promote Research into Neurodevelopmental and Network</w:t>
      </w:r>
      <w:r w:rsidRPr="004021DA">
        <w:rPr>
          <w:rFonts w:ascii="Arial" w:eastAsiaTheme="majorEastAsia" w:hAnsi="Arial" w:cs="Arial"/>
          <w:color w:val="000000"/>
          <w:sz w:val="22"/>
          <w:szCs w:val="22"/>
        </w:rPr>
        <w:noBreakHyphen/>
        <w:t>Based Models. As we gather more evidence about brain connectivity and developmental pathways, this knowledge should guide future updates to ICD</w:t>
      </w:r>
      <w:r w:rsidRPr="004021DA">
        <w:rPr>
          <w:rFonts w:ascii="Arial" w:eastAsiaTheme="majorEastAsia" w:hAnsi="Arial" w:cs="Arial"/>
          <w:color w:val="000000"/>
          <w:sz w:val="22"/>
          <w:szCs w:val="22"/>
        </w:rPr>
        <w:noBreakHyphen/>
        <w:t xml:space="preserve">11 and shape early intervention strategies </w:t>
      </w:r>
      <w:r w:rsidR="0094029F" w:rsidRPr="004021DA">
        <w:rPr>
          <w:rFonts w:ascii="Arial" w:eastAsiaTheme="majorEastAsia" w:hAnsi="Arial" w:cs="Arial"/>
          <w:color w:val="000000"/>
          <w:sz w:val="22"/>
          <w:szCs w:val="22"/>
        </w:rPr>
        <w:t>(Lesh et al., 2019)</w:t>
      </w:r>
      <w:r w:rsidRPr="004021DA">
        <w:rPr>
          <w:rFonts w:ascii="Arial" w:eastAsiaTheme="majorEastAsia" w:hAnsi="Arial" w:cs="Arial"/>
          <w:color w:val="000000"/>
          <w:sz w:val="22"/>
          <w:szCs w:val="22"/>
        </w:rPr>
        <w:t>. Rethink Terminology: Policymakers should consider alternative terms for schizophrenia to help combat stigma, taking inspiration from international examples like Japan’s rebranding of the condition</w:t>
      </w:r>
      <w:r w:rsidR="00AA664F" w:rsidRPr="004021DA">
        <w:rPr>
          <w:rFonts w:ascii="Arial" w:eastAsiaTheme="majorEastAsia" w:hAnsi="Arial" w:cs="Arial"/>
          <w:color w:val="000000"/>
          <w:sz w:val="22"/>
          <w:szCs w:val="22"/>
        </w:rPr>
        <w:t>.</w:t>
      </w:r>
    </w:p>
    <w:p w14:paraId="0E9126A1" w14:textId="5B02832F" w:rsidR="00AA664F" w:rsidRPr="004021DA" w:rsidRDefault="00AA664F" w:rsidP="004021DA">
      <w:pPr>
        <w:pStyle w:val="Heading1"/>
        <w:spacing w:line="360" w:lineRule="auto"/>
        <w:rPr>
          <w:rFonts w:ascii="Arial" w:hAnsi="Arial" w:cs="Arial"/>
          <w:sz w:val="22"/>
          <w:szCs w:val="22"/>
        </w:rPr>
      </w:pPr>
      <w:bookmarkStart w:id="4" w:name="_Toc237263107"/>
      <w:r w:rsidRPr="004021DA">
        <w:rPr>
          <w:rFonts w:ascii="Arial" w:hAnsi="Arial" w:cs="Arial"/>
          <w:sz w:val="22"/>
          <w:szCs w:val="22"/>
        </w:rPr>
        <w:t>Conclusion</w:t>
      </w:r>
      <w:bookmarkEnd w:id="4"/>
    </w:p>
    <w:p w14:paraId="6F97069D" w14:textId="445945FF" w:rsidR="001B2FE5" w:rsidRPr="004021DA" w:rsidRDefault="001B2FE5" w:rsidP="004021DA">
      <w:pPr>
        <w:pStyle w:val="NormalWeb"/>
        <w:spacing w:line="360" w:lineRule="auto"/>
        <w:rPr>
          <w:rFonts w:ascii="Arial" w:hAnsi="Arial" w:cs="Arial"/>
          <w:color w:val="000000"/>
          <w:sz w:val="22"/>
          <w:szCs w:val="22"/>
        </w:rPr>
      </w:pPr>
      <w:r w:rsidRPr="004021DA">
        <w:rPr>
          <w:rFonts w:ascii="Arial" w:hAnsi="Arial" w:cs="Arial"/>
          <w:color w:val="000000"/>
          <w:sz w:val="22"/>
          <w:szCs w:val="22"/>
        </w:rPr>
        <w:t>Schizophrenia (ICD</w:t>
      </w:r>
      <w:r w:rsidRPr="004021DA">
        <w:rPr>
          <w:rFonts w:ascii="Arial" w:hAnsi="Arial" w:cs="Arial"/>
          <w:color w:val="000000"/>
          <w:sz w:val="22"/>
          <w:szCs w:val="22"/>
        </w:rPr>
        <w:noBreakHyphen/>
        <w:t>11: 6A20) is a multifaceted and varied disorder that calls for thorough, multidisciplinary care. The ICD</w:t>
      </w:r>
      <w:r w:rsidRPr="004021DA">
        <w:rPr>
          <w:rFonts w:ascii="Arial" w:hAnsi="Arial" w:cs="Arial"/>
          <w:color w:val="000000"/>
          <w:sz w:val="22"/>
          <w:szCs w:val="22"/>
        </w:rPr>
        <w:noBreakHyphen/>
        <w:t>11 classification aligns with modern evidence by taking a dimensional approach and discarding outdated subtypes. Treatment and rehabilitation encompass a mix of pharmacological, psychosocial, and recovery-focused strategies, but there are still notable challenges, especially concerning negative symptoms, disparities in physical health, and cultural obstacles.</w:t>
      </w:r>
    </w:p>
    <w:p w14:paraId="7AD2E81E" w14:textId="6D80A48D" w:rsidR="008A6D32" w:rsidRPr="004021DA" w:rsidRDefault="001B2FE5" w:rsidP="004021DA">
      <w:pPr>
        <w:pStyle w:val="NormalWeb"/>
        <w:spacing w:line="360" w:lineRule="auto"/>
        <w:rPr>
          <w:rFonts w:ascii="Arial" w:hAnsi="Arial" w:cs="Arial"/>
          <w:color w:val="000000"/>
          <w:sz w:val="22"/>
          <w:szCs w:val="22"/>
        </w:rPr>
      </w:pPr>
      <w:r w:rsidRPr="004021DA">
        <w:rPr>
          <w:rFonts w:ascii="Arial" w:hAnsi="Arial" w:cs="Arial"/>
          <w:color w:val="000000"/>
          <w:sz w:val="22"/>
          <w:szCs w:val="22"/>
        </w:rPr>
        <w:t xml:space="preserve">Current discussions are evolving, with new research highlighting the roles of neurodevelopment, trauma, and neurodiversity. These conversations are influencing policy and practice, encouraging more person-centred and rights-based methods. By putting into </w:t>
      </w:r>
      <w:proofErr w:type="gramStart"/>
      <w:r w:rsidR="00982D53" w:rsidRPr="004021DA">
        <w:rPr>
          <w:rFonts w:ascii="Arial" w:hAnsi="Arial" w:cs="Arial"/>
          <w:color w:val="000000"/>
          <w:sz w:val="22"/>
          <w:szCs w:val="22"/>
        </w:rPr>
        <w:t>action</w:t>
      </w:r>
      <w:proofErr w:type="gramEnd"/>
      <w:r w:rsidRPr="004021DA">
        <w:rPr>
          <w:rFonts w:ascii="Arial" w:hAnsi="Arial" w:cs="Arial"/>
          <w:color w:val="000000"/>
          <w:sz w:val="22"/>
          <w:szCs w:val="22"/>
        </w:rPr>
        <w:t xml:space="preserve"> the recommendations for better dimensional assessments, enhanced physical health monitoring, broader psychosocial interventions, trauma-informed care, and updated terminology, we can improve clinical practices and foster better outcomes for those living with schizophrenia</w:t>
      </w:r>
      <w:r w:rsidR="00E33058" w:rsidRPr="004021DA">
        <w:rPr>
          <w:rFonts w:ascii="Arial" w:hAnsi="Arial" w:cs="Arial"/>
          <w:color w:val="000000"/>
          <w:sz w:val="22"/>
          <w:szCs w:val="22"/>
        </w:rPr>
        <w:t>.</w:t>
      </w:r>
    </w:p>
    <w:p w14:paraId="589A1603" w14:textId="77777777" w:rsidR="00E33058" w:rsidRPr="004021DA" w:rsidRDefault="00E33058" w:rsidP="004021DA">
      <w:pPr>
        <w:pStyle w:val="NormalWeb"/>
        <w:spacing w:line="360" w:lineRule="auto"/>
        <w:rPr>
          <w:rFonts w:ascii="Arial" w:hAnsi="Arial" w:cs="Arial"/>
          <w:color w:val="000000"/>
          <w:sz w:val="22"/>
          <w:szCs w:val="22"/>
        </w:rPr>
      </w:pPr>
    </w:p>
    <w:p w14:paraId="29EA4B91" w14:textId="77777777" w:rsidR="00E33058" w:rsidRPr="004021DA" w:rsidRDefault="00E33058" w:rsidP="004021DA">
      <w:pPr>
        <w:pStyle w:val="NormalWeb"/>
        <w:spacing w:line="360" w:lineRule="auto"/>
        <w:rPr>
          <w:rFonts w:ascii="Arial" w:hAnsi="Arial" w:cs="Arial"/>
          <w:color w:val="000000"/>
          <w:sz w:val="22"/>
          <w:szCs w:val="22"/>
        </w:rPr>
      </w:pPr>
    </w:p>
    <w:p w14:paraId="6FE82187" w14:textId="77777777" w:rsidR="00E33058" w:rsidRPr="004021DA" w:rsidRDefault="00E33058" w:rsidP="004021DA">
      <w:pPr>
        <w:pStyle w:val="NormalWeb"/>
        <w:spacing w:line="360" w:lineRule="auto"/>
        <w:rPr>
          <w:rFonts w:ascii="Arial" w:hAnsi="Arial" w:cs="Arial"/>
          <w:color w:val="000000"/>
          <w:sz w:val="22"/>
          <w:szCs w:val="22"/>
        </w:rPr>
      </w:pPr>
    </w:p>
    <w:p w14:paraId="50F35149" w14:textId="77777777" w:rsidR="0082194A" w:rsidRPr="004021DA" w:rsidRDefault="0082194A" w:rsidP="004021DA">
      <w:pPr>
        <w:pStyle w:val="NormalWeb"/>
        <w:spacing w:line="360" w:lineRule="auto"/>
        <w:rPr>
          <w:rFonts w:ascii="Arial" w:hAnsi="Arial" w:cs="Arial"/>
          <w:color w:val="000000"/>
          <w:sz w:val="22"/>
          <w:szCs w:val="22"/>
        </w:rPr>
      </w:pPr>
    </w:p>
    <w:p w14:paraId="19C3CAEB" w14:textId="77777777" w:rsidR="0082194A" w:rsidRPr="004021DA" w:rsidRDefault="0082194A" w:rsidP="004021DA">
      <w:pPr>
        <w:pStyle w:val="NormalWeb"/>
        <w:spacing w:line="360" w:lineRule="auto"/>
        <w:rPr>
          <w:rFonts w:ascii="Arial" w:hAnsi="Arial" w:cs="Arial"/>
          <w:color w:val="000000"/>
          <w:sz w:val="22"/>
          <w:szCs w:val="22"/>
        </w:rPr>
      </w:pPr>
    </w:p>
    <w:p w14:paraId="11014B97" w14:textId="6E421265" w:rsidR="00FB6E9B" w:rsidRPr="004021DA" w:rsidRDefault="00FB6E9B" w:rsidP="004021DA">
      <w:pPr>
        <w:pStyle w:val="NormalWeb"/>
        <w:spacing w:line="360" w:lineRule="auto"/>
        <w:rPr>
          <w:rFonts w:ascii="Arial" w:hAnsi="Arial" w:cs="Arial"/>
          <w:b/>
          <w:bCs/>
          <w:color w:val="000000"/>
          <w:sz w:val="22"/>
          <w:szCs w:val="22"/>
        </w:rPr>
      </w:pPr>
      <w:bookmarkStart w:id="5" w:name="_Toc237263108"/>
      <w:r w:rsidRPr="004021DA">
        <w:rPr>
          <w:rStyle w:val="Heading1Char"/>
          <w:rFonts w:ascii="Arial" w:hAnsi="Arial" w:cs="Arial"/>
          <w:sz w:val="22"/>
          <w:szCs w:val="22"/>
        </w:rPr>
        <w:t>References</w:t>
      </w:r>
      <w:bookmarkEnd w:id="5"/>
      <w:r w:rsidRPr="004021DA">
        <w:rPr>
          <w:rFonts w:ascii="Arial" w:hAnsi="Arial" w:cs="Arial"/>
          <w:b/>
          <w:bCs/>
          <w:color w:val="000000"/>
          <w:sz w:val="22"/>
          <w:szCs w:val="22"/>
        </w:rPr>
        <w:t xml:space="preserve"> </w:t>
      </w:r>
    </w:p>
    <w:p w14:paraId="1B829367" w14:textId="240A041B" w:rsidR="008801C3" w:rsidRPr="004021DA" w:rsidRDefault="008801C3" w:rsidP="004021DA">
      <w:pPr>
        <w:pStyle w:val="NormalWeb"/>
        <w:spacing w:line="360" w:lineRule="auto"/>
        <w:rPr>
          <w:rFonts w:ascii="Arial" w:hAnsi="Arial" w:cs="Arial"/>
          <w:color w:val="000000"/>
          <w:sz w:val="22"/>
          <w:szCs w:val="22"/>
        </w:rPr>
      </w:pPr>
      <w:r w:rsidRPr="004021DA">
        <w:rPr>
          <w:rFonts w:ascii="Arial" w:hAnsi="Arial" w:cs="Arial"/>
          <w:color w:val="000000"/>
          <w:sz w:val="22"/>
          <w:szCs w:val="22"/>
        </w:rPr>
        <w:lastRenderedPageBreak/>
        <w:t>Almeida, M.S.C. </w:t>
      </w:r>
      <w:r w:rsidRPr="004021DA">
        <w:rPr>
          <w:rFonts w:ascii="Arial" w:hAnsi="Arial" w:cs="Arial"/>
          <w:i/>
          <w:iCs/>
          <w:color w:val="000000"/>
          <w:sz w:val="22"/>
          <w:szCs w:val="22"/>
        </w:rPr>
        <w:t>et al.</w:t>
      </w:r>
      <w:r w:rsidRPr="004021DA">
        <w:rPr>
          <w:rFonts w:ascii="Arial" w:hAnsi="Arial" w:cs="Arial"/>
          <w:color w:val="000000"/>
          <w:sz w:val="22"/>
          <w:szCs w:val="22"/>
        </w:rPr>
        <w:t> (2020) “International Classification of Diseases - 11th revision: from design to implementation,” </w:t>
      </w:r>
      <w:r w:rsidRPr="004021DA">
        <w:rPr>
          <w:rFonts w:ascii="Arial" w:hAnsi="Arial" w:cs="Arial"/>
          <w:i/>
          <w:iCs/>
          <w:color w:val="000000"/>
          <w:sz w:val="22"/>
          <w:szCs w:val="22"/>
        </w:rPr>
        <w:t xml:space="preserve">Revista de </w:t>
      </w:r>
      <w:proofErr w:type="spellStart"/>
      <w:r w:rsidRPr="004021DA">
        <w:rPr>
          <w:rFonts w:ascii="Arial" w:hAnsi="Arial" w:cs="Arial"/>
          <w:i/>
          <w:iCs/>
          <w:color w:val="000000"/>
          <w:sz w:val="22"/>
          <w:szCs w:val="22"/>
        </w:rPr>
        <w:t>saúde</w:t>
      </w:r>
      <w:proofErr w:type="spellEnd"/>
      <w:r w:rsidRPr="004021DA">
        <w:rPr>
          <w:rFonts w:ascii="Arial" w:hAnsi="Arial" w:cs="Arial"/>
          <w:i/>
          <w:iCs/>
          <w:color w:val="000000"/>
          <w:sz w:val="22"/>
          <w:szCs w:val="22"/>
        </w:rPr>
        <w:t xml:space="preserve"> Pública</w:t>
      </w:r>
      <w:r w:rsidRPr="004021DA">
        <w:rPr>
          <w:rFonts w:ascii="Arial" w:hAnsi="Arial" w:cs="Arial"/>
          <w:color w:val="000000"/>
          <w:sz w:val="22"/>
          <w:szCs w:val="22"/>
        </w:rPr>
        <w:t xml:space="preserve">, 54, p. 104. Available at: </w:t>
      </w:r>
      <w:hyperlink r:id="rId9" w:history="1">
        <w:r w:rsidRPr="004021DA">
          <w:rPr>
            <w:rStyle w:val="Hyperlink"/>
            <w:rFonts w:ascii="Arial" w:hAnsi="Arial" w:cs="Arial"/>
            <w:sz w:val="22"/>
            <w:szCs w:val="22"/>
          </w:rPr>
          <w:t>https://doi.org/10.11606/s1518-8787.2020054002120</w:t>
        </w:r>
      </w:hyperlink>
      <w:r w:rsidRPr="004021DA">
        <w:rPr>
          <w:rFonts w:ascii="Arial" w:hAnsi="Arial" w:cs="Arial"/>
          <w:color w:val="000000"/>
          <w:sz w:val="22"/>
          <w:szCs w:val="22"/>
        </w:rPr>
        <w:t>.</w:t>
      </w:r>
    </w:p>
    <w:p w14:paraId="3D873EAA" w14:textId="77777777" w:rsidR="001375A7" w:rsidRPr="004021DA" w:rsidRDefault="00464768" w:rsidP="004021DA">
      <w:pPr>
        <w:pStyle w:val="NormalWeb"/>
        <w:spacing w:line="360" w:lineRule="auto"/>
        <w:rPr>
          <w:rFonts w:ascii="Arial" w:hAnsi="Arial" w:cs="Arial"/>
          <w:color w:val="000000"/>
          <w:sz w:val="22"/>
          <w:szCs w:val="22"/>
        </w:rPr>
      </w:pPr>
      <w:r w:rsidRPr="004021DA">
        <w:rPr>
          <w:rFonts w:ascii="Arial" w:hAnsi="Arial" w:cs="Arial"/>
          <w:color w:val="000000"/>
          <w:sz w:val="22"/>
          <w:szCs w:val="22"/>
        </w:rPr>
        <w:t>Bell, V., Halligan, P.W. and Ellis, H.D. (2006) “The Cardiff Anomalous Perceptions Scale (CAPS): A New Validated Measure of Anomalous Perceptual Experience,” </w:t>
      </w:r>
      <w:r w:rsidRPr="004021DA">
        <w:rPr>
          <w:rFonts w:ascii="Arial" w:hAnsi="Arial" w:cs="Arial"/>
          <w:i/>
          <w:iCs/>
          <w:color w:val="000000"/>
          <w:sz w:val="22"/>
          <w:szCs w:val="22"/>
        </w:rPr>
        <w:t>Schizophrenia Bulletin</w:t>
      </w:r>
      <w:r w:rsidRPr="004021DA">
        <w:rPr>
          <w:rFonts w:ascii="Arial" w:hAnsi="Arial" w:cs="Arial"/>
          <w:color w:val="000000"/>
          <w:sz w:val="22"/>
          <w:szCs w:val="22"/>
        </w:rPr>
        <w:t xml:space="preserve">, 32(2), pp. 366–377. Available at: </w:t>
      </w:r>
      <w:hyperlink r:id="rId10" w:history="1">
        <w:r w:rsidRPr="004021DA">
          <w:rPr>
            <w:rStyle w:val="Hyperlink"/>
            <w:rFonts w:ascii="Arial" w:hAnsi="Arial" w:cs="Arial"/>
            <w:sz w:val="22"/>
            <w:szCs w:val="22"/>
          </w:rPr>
          <w:t>https://doi.org/10.1093/schbul/sbj014</w:t>
        </w:r>
      </w:hyperlink>
    </w:p>
    <w:p w14:paraId="4773A374" w14:textId="333A0DEE" w:rsidR="0094029F" w:rsidRPr="004021DA" w:rsidRDefault="0094029F" w:rsidP="004021DA">
      <w:pPr>
        <w:pStyle w:val="NormalWeb"/>
        <w:spacing w:line="360" w:lineRule="auto"/>
        <w:rPr>
          <w:rFonts w:ascii="Arial" w:hAnsi="Arial" w:cs="Arial"/>
          <w:color w:val="000000"/>
          <w:sz w:val="22"/>
          <w:szCs w:val="22"/>
        </w:rPr>
      </w:pPr>
      <w:r w:rsidRPr="004021DA">
        <w:rPr>
          <w:rFonts w:ascii="Arial" w:hAnsi="Arial" w:cs="Arial"/>
          <w:color w:val="000000"/>
          <w:sz w:val="22"/>
          <w:szCs w:val="22"/>
        </w:rPr>
        <w:t>Chien, W.T. </w:t>
      </w:r>
      <w:r w:rsidRPr="004021DA">
        <w:rPr>
          <w:rFonts w:ascii="Arial" w:hAnsi="Arial" w:cs="Arial"/>
          <w:i/>
          <w:iCs/>
          <w:color w:val="000000"/>
          <w:sz w:val="22"/>
          <w:szCs w:val="22"/>
        </w:rPr>
        <w:t>et al.</w:t>
      </w:r>
      <w:r w:rsidRPr="004021DA">
        <w:rPr>
          <w:rFonts w:ascii="Arial" w:hAnsi="Arial" w:cs="Arial"/>
          <w:color w:val="000000"/>
          <w:sz w:val="22"/>
          <w:szCs w:val="22"/>
        </w:rPr>
        <w:t> (2024) “Family</w:t>
      </w:r>
      <w:r w:rsidRPr="004021DA">
        <w:rPr>
          <w:rFonts w:ascii="Cambria Math" w:hAnsi="Cambria Math" w:cs="Cambria Math"/>
          <w:color w:val="000000"/>
          <w:sz w:val="22"/>
          <w:szCs w:val="22"/>
        </w:rPr>
        <w:t>‐</w:t>
      </w:r>
      <w:r w:rsidRPr="004021DA">
        <w:rPr>
          <w:rFonts w:ascii="Arial" w:hAnsi="Arial" w:cs="Arial"/>
          <w:color w:val="000000"/>
          <w:sz w:val="22"/>
          <w:szCs w:val="22"/>
        </w:rPr>
        <w:t>based interventions versus standard care for people with schizophrenia,” </w:t>
      </w:r>
      <w:r w:rsidRPr="004021DA">
        <w:rPr>
          <w:rFonts w:ascii="Arial" w:hAnsi="Arial" w:cs="Arial"/>
          <w:i/>
          <w:iCs/>
          <w:color w:val="000000"/>
          <w:sz w:val="22"/>
          <w:szCs w:val="22"/>
        </w:rPr>
        <w:t>Cochrane Database of Systematic Reviews</w:t>
      </w:r>
      <w:r w:rsidRPr="004021DA">
        <w:rPr>
          <w:rFonts w:ascii="Arial" w:hAnsi="Arial" w:cs="Arial"/>
          <w:color w:val="000000"/>
          <w:sz w:val="22"/>
          <w:szCs w:val="22"/>
        </w:rPr>
        <w:t xml:space="preserve">, 2024(10), p. CD013541. Available at: </w:t>
      </w:r>
      <w:hyperlink r:id="rId11" w:history="1">
        <w:r w:rsidRPr="004021DA">
          <w:rPr>
            <w:rStyle w:val="Hyperlink"/>
            <w:rFonts w:ascii="Arial" w:hAnsi="Arial" w:cs="Arial"/>
            <w:sz w:val="22"/>
            <w:szCs w:val="22"/>
          </w:rPr>
          <w:t>https://doi.org/10.1002/14651858.CD013541.pub2</w:t>
        </w:r>
      </w:hyperlink>
      <w:r w:rsidRPr="004021DA">
        <w:rPr>
          <w:rFonts w:ascii="Arial" w:hAnsi="Arial" w:cs="Arial"/>
          <w:color w:val="000000"/>
          <w:sz w:val="22"/>
          <w:szCs w:val="22"/>
        </w:rPr>
        <w:t xml:space="preserve">. </w:t>
      </w:r>
    </w:p>
    <w:p w14:paraId="5B243274" w14:textId="359A62D0" w:rsidR="00464768" w:rsidRPr="004021DA" w:rsidRDefault="00F4029A" w:rsidP="004021DA">
      <w:pPr>
        <w:pStyle w:val="NormalWeb"/>
        <w:spacing w:line="360" w:lineRule="auto"/>
        <w:rPr>
          <w:rFonts w:ascii="Arial" w:hAnsi="Arial" w:cs="Arial"/>
          <w:color w:val="000000"/>
          <w:sz w:val="22"/>
          <w:szCs w:val="22"/>
        </w:rPr>
      </w:pPr>
      <w:r w:rsidRPr="004021DA">
        <w:rPr>
          <w:rFonts w:ascii="Arial" w:hAnsi="Arial" w:cs="Arial"/>
          <w:color w:val="000000"/>
          <w:sz w:val="22"/>
          <w:szCs w:val="22"/>
        </w:rPr>
        <w:t>Drake, R.E., Becker, D.R. and Bond, G.R. (2019) “Introducing Individual Placement and Support (IPS) supported employment in Japan,” </w:t>
      </w:r>
      <w:r w:rsidRPr="004021DA">
        <w:rPr>
          <w:rFonts w:ascii="Arial" w:hAnsi="Arial" w:cs="Arial"/>
          <w:i/>
          <w:iCs/>
          <w:color w:val="000000"/>
          <w:sz w:val="22"/>
          <w:szCs w:val="22"/>
        </w:rPr>
        <w:t>Psychiatry and Clinical Neurosciences</w:t>
      </w:r>
      <w:r w:rsidRPr="004021DA">
        <w:rPr>
          <w:rFonts w:ascii="Arial" w:hAnsi="Arial" w:cs="Arial"/>
          <w:color w:val="000000"/>
          <w:sz w:val="22"/>
          <w:szCs w:val="22"/>
        </w:rPr>
        <w:t xml:space="preserve">, 73(2), pp. 47–49. Available at: </w:t>
      </w:r>
      <w:hyperlink r:id="rId12" w:history="1">
        <w:r w:rsidRPr="004021DA">
          <w:rPr>
            <w:rStyle w:val="Hyperlink"/>
            <w:rFonts w:ascii="Arial" w:hAnsi="Arial" w:cs="Arial"/>
            <w:sz w:val="22"/>
            <w:szCs w:val="22"/>
          </w:rPr>
          <w:t>https://doi.org/10.1111/pcn.12792</w:t>
        </w:r>
      </w:hyperlink>
      <w:r w:rsidRPr="004021DA">
        <w:rPr>
          <w:rFonts w:ascii="Arial" w:hAnsi="Arial" w:cs="Arial"/>
          <w:color w:val="000000"/>
          <w:sz w:val="22"/>
          <w:szCs w:val="22"/>
        </w:rPr>
        <w:t xml:space="preserve">. </w:t>
      </w:r>
      <w:r w:rsidR="001375A7" w:rsidRPr="004021DA">
        <w:rPr>
          <w:rFonts w:ascii="Arial" w:hAnsi="Arial" w:cs="Arial"/>
          <w:color w:val="000000"/>
          <w:sz w:val="22"/>
          <w:szCs w:val="22"/>
        </w:rPr>
        <w:t xml:space="preserve"> </w:t>
      </w:r>
    </w:p>
    <w:p w14:paraId="1FC8A765" w14:textId="4CED4932" w:rsidR="00E933AA" w:rsidRPr="004021DA" w:rsidRDefault="00E933AA" w:rsidP="004021DA">
      <w:pPr>
        <w:pStyle w:val="NormalWeb"/>
        <w:spacing w:line="360" w:lineRule="auto"/>
        <w:rPr>
          <w:rFonts w:ascii="Arial" w:hAnsi="Arial" w:cs="Arial"/>
          <w:color w:val="000000"/>
          <w:sz w:val="22"/>
          <w:szCs w:val="22"/>
        </w:rPr>
      </w:pPr>
      <w:r w:rsidRPr="004021DA">
        <w:rPr>
          <w:rFonts w:ascii="Arial" w:hAnsi="Arial" w:cs="Arial"/>
          <w:color w:val="000000"/>
          <w:sz w:val="22"/>
          <w:szCs w:val="22"/>
        </w:rPr>
        <w:t xml:space="preserve">Birchwood, M. et al. (2021) </w:t>
      </w:r>
      <w:r w:rsidRPr="004021DA">
        <w:rPr>
          <w:rFonts w:ascii="Arial" w:hAnsi="Arial" w:cs="Arial"/>
          <w:i/>
          <w:iCs/>
          <w:color w:val="000000"/>
          <w:sz w:val="22"/>
          <w:szCs w:val="22"/>
        </w:rPr>
        <w:t>Waiting times and outcomes in Early Intervention in Psychosis services</w:t>
      </w:r>
      <w:r w:rsidRPr="004021DA">
        <w:rPr>
          <w:rFonts w:ascii="Arial" w:hAnsi="Arial" w:cs="Arial"/>
          <w:color w:val="000000"/>
          <w:sz w:val="22"/>
          <w:szCs w:val="22"/>
        </w:rPr>
        <w:t xml:space="preserve">. Available at: </w:t>
      </w:r>
      <w:hyperlink r:id="rId13" w:tgtFrame="_blank" w:tooltip="www.england.nhs.uk" w:history="1">
        <w:r w:rsidRPr="004021DA">
          <w:rPr>
            <w:rStyle w:val="Hyperlink"/>
            <w:rFonts w:ascii="Arial" w:hAnsi="Arial" w:cs="Arial"/>
            <w:sz w:val="22"/>
            <w:szCs w:val="22"/>
          </w:rPr>
          <w:t>https://www.england.nhs.uk</w:t>
        </w:r>
      </w:hyperlink>
      <w:r w:rsidRPr="004021DA">
        <w:rPr>
          <w:rFonts w:ascii="Arial" w:hAnsi="Arial" w:cs="Arial"/>
          <w:color w:val="000000"/>
          <w:sz w:val="22"/>
          <w:szCs w:val="22"/>
        </w:rPr>
        <w:t xml:space="preserve"> (Accessed 11 August 2026).</w:t>
      </w:r>
    </w:p>
    <w:p w14:paraId="0DDFCE8E" w14:textId="30C9312E" w:rsidR="00291989" w:rsidRPr="004021DA" w:rsidRDefault="00683360" w:rsidP="004021DA">
      <w:pPr>
        <w:pStyle w:val="NormalWeb"/>
        <w:spacing w:line="360" w:lineRule="auto"/>
        <w:rPr>
          <w:rFonts w:ascii="Arial" w:hAnsi="Arial" w:cs="Arial"/>
          <w:color w:val="000000"/>
          <w:sz w:val="22"/>
          <w:szCs w:val="22"/>
        </w:rPr>
      </w:pPr>
      <w:r w:rsidRPr="004021DA">
        <w:rPr>
          <w:rFonts w:ascii="Arial" w:hAnsi="Arial" w:cs="Arial"/>
          <w:color w:val="000000"/>
          <w:sz w:val="22"/>
          <w:szCs w:val="22"/>
        </w:rPr>
        <w:t>Potter, N.N. and El-</w:t>
      </w:r>
      <w:proofErr w:type="spellStart"/>
      <w:r w:rsidRPr="004021DA">
        <w:rPr>
          <w:rFonts w:ascii="Arial" w:hAnsi="Arial" w:cs="Arial"/>
          <w:color w:val="000000"/>
          <w:sz w:val="22"/>
          <w:szCs w:val="22"/>
        </w:rPr>
        <w:t>Mallakh</w:t>
      </w:r>
      <w:proofErr w:type="spellEnd"/>
      <w:r w:rsidRPr="004021DA">
        <w:rPr>
          <w:rFonts w:ascii="Arial" w:hAnsi="Arial" w:cs="Arial"/>
          <w:color w:val="000000"/>
          <w:sz w:val="22"/>
          <w:szCs w:val="22"/>
        </w:rPr>
        <w:t>, R. (2019) “The Interface of Ethics and Psychiatry: A Philosophical Case Consultation on Psychiatric Ethics on the Ground,” </w:t>
      </w:r>
      <w:r w:rsidRPr="004021DA">
        <w:rPr>
          <w:rFonts w:ascii="Arial" w:hAnsi="Arial" w:cs="Arial"/>
          <w:i/>
          <w:iCs/>
          <w:color w:val="000000"/>
          <w:sz w:val="22"/>
          <w:szCs w:val="22"/>
        </w:rPr>
        <w:t>Philosophy, Psychiatry &amp; Psychology</w:t>
      </w:r>
      <w:r w:rsidRPr="004021DA">
        <w:rPr>
          <w:rFonts w:ascii="Arial" w:hAnsi="Arial" w:cs="Arial"/>
          <w:color w:val="000000"/>
          <w:sz w:val="22"/>
          <w:szCs w:val="22"/>
        </w:rPr>
        <w:t xml:space="preserve">, 26(3), pp. 179–189. Available at: </w:t>
      </w:r>
      <w:hyperlink r:id="rId14" w:history="1">
        <w:r w:rsidRPr="004021DA">
          <w:rPr>
            <w:rStyle w:val="Hyperlink"/>
            <w:rFonts w:ascii="Arial" w:hAnsi="Arial" w:cs="Arial"/>
            <w:sz w:val="22"/>
            <w:szCs w:val="22"/>
          </w:rPr>
          <w:t>https://doi.org/10.1353/ppp.2019.0026</w:t>
        </w:r>
      </w:hyperlink>
      <w:r w:rsidRPr="004021DA">
        <w:rPr>
          <w:rFonts w:ascii="Arial" w:hAnsi="Arial" w:cs="Arial"/>
          <w:color w:val="000000"/>
          <w:sz w:val="22"/>
          <w:szCs w:val="22"/>
        </w:rPr>
        <w:t xml:space="preserve">. </w:t>
      </w:r>
      <w:r w:rsidR="002A377A" w:rsidRPr="004021DA">
        <w:rPr>
          <w:rFonts w:ascii="Arial" w:hAnsi="Arial" w:cs="Arial"/>
          <w:color w:val="000000"/>
          <w:sz w:val="22"/>
          <w:szCs w:val="22"/>
        </w:rPr>
        <w:t xml:space="preserve"> </w:t>
      </w:r>
    </w:p>
    <w:p w14:paraId="00D6E421" w14:textId="79C36DA9" w:rsidR="00E933AA" w:rsidRPr="004021DA" w:rsidRDefault="00E933AA" w:rsidP="004021DA">
      <w:pPr>
        <w:pStyle w:val="NormalWeb"/>
        <w:spacing w:line="360" w:lineRule="auto"/>
        <w:rPr>
          <w:rFonts w:ascii="Arial" w:hAnsi="Arial" w:cs="Arial"/>
          <w:color w:val="000000"/>
          <w:sz w:val="22"/>
          <w:szCs w:val="22"/>
        </w:rPr>
      </w:pPr>
      <w:r w:rsidRPr="004021DA">
        <w:rPr>
          <w:rFonts w:ascii="Arial" w:hAnsi="Arial" w:cs="Arial"/>
          <w:color w:val="000000"/>
          <w:sz w:val="22"/>
          <w:szCs w:val="22"/>
        </w:rPr>
        <w:t xml:space="preserve">Department of Health and Social Care (2015) </w:t>
      </w:r>
      <w:r w:rsidRPr="004021DA">
        <w:rPr>
          <w:rFonts w:ascii="Arial" w:hAnsi="Arial" w:cs="Arial"/>
          <w:i/>
          <w:iCs/>
          <w:color w:val="000000"/>
          <w:sz w:val="22"/>
          <w:szCs w:val="22"/>
        </w:rPr>
        <w:t>Code of Practice: Mental Health Act 1983</w:t>
      </w:r>
      <w:r w:rsidRPr="004021DA">
        <w:rPr>
          <w:rFonts w:ascii="Arial" w:hAnsi="Arial" w:cs="Arial"/>
          <w:color w:val="000000"/>
          <w:sz w:val="22"/>
          <w:szCs w:val="22"/>
        </w:rPr>
        <w:t xml:space="preserve">. Available at: </w:t>
      </w:r>
      <w:hyperlink r:id="rId15" w:tgtFrame="_blank" w:tooltip="www.gov.uk" w:history="1">
        <w:r w:rsidRPr="004021DA">
          <w:rPr>
            <w:rStyle w:val="Hyperlink"/>
            <w:rFonts w:ascii="Arial" w:hAnsi="Arial" w:cs="Arial"/>
            <w:sz w:val="22"/>
            <w:szCs w:val="22"/>
          </w:rPr>
          <w:t>https://www.gov.uk</w:t>
        </w:r>
      </w:hyperlink>
      <w:r w:rsidRPr="004021DA">
        <w:rPr>
          <w:rFonts w:ascii="Arial" w:hAnsi="Arial" w:cs="Arial"/>
          <w:color w:val="000000"/>
          <w:sz w:val="22"/>
          <w:szCs w:val="22"/>
        </w:rPr>
        <w:t xml:space="preserve"> (Accessed 11 August 2026).</w:t>
      </w:r>
    </w:p>
    <w:p w14:paraId="458E33B1" w14:textId="77777777" w:rsidR="00F960D8" w:rsidRPr="004021DA" w:rsidRDefault="002A377A" w:rsidP="004021DA">
      <w:pPr>
        <w:pStyle w:val="NormalWeb"/>
        <w:spacing w:line="360" w:lineRule="auto"/>
        <w:rPr>
          <w:rFonts w:ascii="Arial" w:hAnsi="Arial" w:cs="Arial"/>
          <w:color w:val="000000"/>
          <w:sz w:val="22"/>
          <w:szCs w:val="22"/>
        </w:rPr>
      </w:pPr>
      <w:r w:rsidRPr="004021DA">
        <w:rPr>
          <w:rFonts w:ascii="Arial" w:hAnsi="Arial" w:cs="Arial"/>
          <w:color w:val="000000"/>
          <w:sz w:val="22"/>
          <w:szCs w:val="22"/>
        </w:rPr>
        <w:t>Drake, R.E., Becker, D.R. and Bond, G.R. (2019) “Introducing Individual Placement and Support (IPS) supported employment in Japan,” </w:t>
      </w:r>
      <w:r w:rsidRPr="004021DA">
        <w:rPr>
          <w:rFonts w:ascii="Arial" w:hAnsi="Arial" w:cs="Arial"/>
          <w:i/>
          <w:iCs/>
          <w:color w:val="000000"/>
          <w:sz w:val="22"/>
          <w:szCs w:val="22"/>
        </w:rPr>
        <w:t>Psychiatry and Clinical Neurosciences</w:t>
      </w:r>
      <w:r w:rsidRPr="004021DA">
        <w:rPr>
          <w:rFonts w:ascii="Arial" w:hAnsi="Arial" w:cs="Arial"/>
          <w:color w:val="000000"/>
          <w:sz w:val="22"/>
          <w:szCs w:val="22"/>
        </w:rPr>
        <w:t xml:space="preserve">, 73(2), pp. 47–49. Available at: </w:t>
      </w:r>
      <w:hyperlink r:id="rId16" w:history="1">
        <w:r w:rsidRPr="004021DA">
          <w:rPr>
            <w:rStyle w:val="Hyperlink"/>
            <w:rFonts w:ascii="Arial" w:hAnsi="Arial" w:cs="Arial"/>
            <w:sz w:val="22"/>
            <w:szCs w:val="22"/>
          </w:rPr>
          <w:t>https://doi.org/10.1111/pcn.12792</w:t>
        </w:r>
      </w:hyperlink>
      <w:r w:rsidRPr="004021DA">
        <w:rPr>
          <w:rFonts w:ascii="Arial" w:hAnsi="Arial" w:cs="Arial"/>
          <w:color w:val="000000"/>
          <w:sz w:val="22"/>
          <w:szCs w:val="22"/>
        </w:rPr>
        <w:t xml:space="preserve">. </w:t>
      </w:r>
    </w:p>
    <w:p w14:paraId="10029C9F" w14:textId="77777777" w:rsidR="002A377A" w:rsidRPr="004021DA" w:rsidRDefault="002A377A" w:rsidP="004021DA">
      <w:pPr>
        <w:pStyle w:val="NormalWeb"/>
        <w:spacing w:line="360" w:lineRule="auto"/>
        <w:rPr>
          <w:rFonts w:ascii="Arial" w:hAnsi="Arial" w:cs="Arial"/>
          <w:color w:val="000000"/>
          <w:sz w:val="22"/>
          <w:szCs w:val="22"/>
        </w:rPr>
      </w:pPr>
    </w:p>
    <w:p w14:paraId="6D6E8342" w14:textId="2101F6F5" w:rsidR="00FB6E9B" w:rsidRPr="004021DA" w:rsidRDefault="00123624" w:rsidP="004021DA">
      <w:pPr>
        <w:pStyle w:val="NormalWeb"/>
        <w:spacing w:line="360" w:lineRule="auto"/>
        <w:rPr>
          <w:rFonts w:ascii="Arial" w:hAnsi="Arial" w:cs="Arial"/>
          <w:color w:val="000000"/>
          <w:sz w:val="22"/>
          <w:szCs w:val="22"/>
        </w:rPr>
      </w:pPr>
      <w:proofErr w:type="spellStart"/>
      <w:r w:rsidRPr="004021DA">
        <w:rPr>
          <w:rFonts w:ascii="Arial" w:hAnsi="Arial" w:cs="Arial"/>
          <w:color w:val="000000"/>
          <w:sz w:val="22"/>
          <w:szCs w:val="22"/>
        </w:rPr>
        <w:t>Hualparuca</w:t>
      </w:r>
      <w:proofErr w:type="spellEnd"/>
      <w:r w:rsidRPr="004021DA">
        <w:rPr>
          <w:rFonts w:ascii="Arial" w:hAnsi="Arial" w:cs="Arial"/>
          <w:color w:val="000000"/>
          <w:sz w:val="22"/>
          <w:szCs w:val="22"/>
        </w:rPr>
        <w:t>-Olivera, L. </w:t>
      </w:r>
      <w:r w:rsidRPr="004021DA">
        <w:rPr>
          <w:rFonts w:ascii="Arial" w:hAnsi="Arial" w:cs="Arial"/>
          <w:i/>
          <w:iCs/>
          <w:color w:val="000000"/>
          <w:sz w:val="22"/>
          <w:szCs w:val="22"/>
        </w:rPr>
        <w:t>et al.</w:t>
      </w:r>
      <w:r w:rsidRPr="004021DA">
        <w:rPr>
          <w:rFonts w:ascii="Arial" w:hAnsi="Arial" w:cs="Arial"/>
          <w:color w:val="000000"/>
          <w:sz w:val="22"/>
          <w:szCs w:val="22"/>
        </w:rPr>
        <w:t> (2025) “Clinical Utility of ICD-11 Clinical Descriptions and Diagnostic Requirements for the Classification of Mental, Behavioural or Neurodevelopmental Disorders: A Systematic Review,” </w:t>
      </w:r>
      <w:r w:rsidRPr="004021DA">
        <w:rPr>
          <w:rFonts w:ascii="Arial" w:hAnsi="Arial" w:cs="Arial"/>
          <w:i/>
          <w:iCs/>
          <w:color w:val="000000"/>
          <w:sz w:val="22"/>
          <w:szCs w:val="22"/>
        </w:rPr>
        <w:t>Psychological Reports</w:t>
      </w:r>
      <w:r w:rsidRPr="004021DA">
        <w:rPr>
          <w:rFonts w:ascii="Arial" w:hAnsi="Arial" w:cs="Arial"/>
          <w:color w:val="000000"/>
          <w:sz w:val="22"/>
          <w:szCs w:val="22"/>
        </w:rPr>
        <w:t xml:space="preserve">, p. 332941251335596. Available at: </w:t>
      </w:r>
      <w:hyperlink r:id="rId17" w:history="1">
        <w:r w:rsidRPr="004021DA">
          <w:rPr>
            <w:rStyle w:val="Hyperlink"/>
            <w:rFonts w:ascii="Arial" w:hAnsi="Arial" w:cs="Arial"/>
            <w:sz w:val="22"/>
            <w:szCs w:val="22"/>
          </w:rPr>
          <w:t>https://doi.org/10.1177/00332941251335596</w:t>
        </w:r>
      </w:hyperlink>
      <w:r w:rsidR="008D3310" w:rsidRPr="004021DA">
        <w:rPr>
          <w:rFonts w:ascii="Arial" w:hAnsi="Arial" w:cs="Arial"/>
          <w:color w:val="000000"/>
          <w:sz w:val="22"/>
          <w:szCs w:val="22"/>
        </w:rPr>
        <w:t>.</w:t>
      </w:r>
      <w:r w:rsidRPr="004021DA">
        <w:rPr>
          <w:rFonts w:ascii="Arial" w:hAnsi="Arial" w:cs="Arial"/>
          <w:color w:val="000000"/>
          <w:sz w:val="22"/>
          <w:szCs w:val="22"/>
        </w:rPr>
        <w:t xml:space="preserve"> </w:t>
      </w:r>
    </w:p>
    <w:p w14:paraId="2748F55A" w14:textId="24F5F969" w:rsidR="00E933AA" w:rsidRPr="004021DA" w:rsidRDefault="00E933AA" w:rsidP="004021DA">
      <w:pPr>
        <w:pStyle w:val="NormalWeb"/>
        <w:spacing w:line="360" w:lineRule="auto"/>
        <w:rPr>
          <w:rFonts w:ascii="Arial" w:hAnsi="Arial" w:cs="Arial"/>
          <w:color w:val="000000"/>
          <w:sz w:val="22"/>
          <w:szCs w:val="22"/>
        </w:rPr>
      </w:pPr>
      <w:proofErr w:type="spellStart"/>
      <w:r w:rsidRPr="004021DA">
        <w:rPr>
          <w:rFonts w:ascii="Arial" w:hAnsi="Arial" w:cs="Arial"/>
          <w:color w:val="000000"/>
          <w:sz w:val="22"/>
          <w:szCs w:val="22"/>
        </w:rPr>
        <w:lastRenderedPageBreak/>
        <w:t>Kisely</w:t>
      </w:r>
      <w:proofErr w:type="spellEnd"/>
      <w:r w:rsidRPr="004021DA">
        <w:rPr>
          <w:rFonts w:ascii="Arial" w:hAnsi="Arial" w:cs="Arial"/>
          <w:color w:val="000000"/>
          <w:sz w:val="22"/>
          <w:szCs w:val="22"/>
        </w:rPr>
        <w:t xml:space="preserve">, S. &amp; Looi, J. (2022) </w:t>
      </w:r>
      <w:r w:rsidR="00C602ED" w:rsidRPr="004021DA">
        <w:rPr>
          <w:rFonts w:ascii="Arial" w:hAnsi="Arial" w:cs="Arial"/>
          <w:color w:val="000000"/>
          <w:sz w:val="22"/>
          <w:szCs w:val="22"/>
        </w:rPr>
        <w:t>“</w:t>
      </w:r>
      <w:r w:rsidRPr="004021DA">
        <w:rPr>
          <w:rFonts w:ascii="Arial" w:hAnsi="Arial" w:cs="Arial"/>
          <w:i/>
          <w:iCs/>
          <w:color w:val="000000"/>
          <w:sz w:val="22"/>
          <w:szCs w:val="22"/>
        </w:rPr>
        <w:t>Implementation of psychiatric treatment guidelines: a review</w:t>
      </w:r>
      <w:r w:rsidR="00C602ED" w:rsidRPr="004021DA">
        <w:rPr>
          <w:rFonts w:ascii="Arial" w:hAnsi="Arial" w:cs="Arial"/>
          <w:i/>
          <w:iCs/>
          <w:color w:val="000000"/>
          <w:sz w:val="22"/>
          <w:szCs w:val="22"/>
        </w:rPr>
        <w:t>”</w:t>
      </w:r>
      <w:r w:rsidRPr="004021DA">
        <w:rPr>
          <w:rFonts w:ascii="Arial" w:hAnsi="Arial" w:cs="Arial"/>
          <w:color w:val="000000"/>
          <w:sz w:val="22"/>
          <w:szCs w:val="22"/>
        </w:rPr>
        <w:t xml:space="preserve">. Available at: https://doi.org/10.1192/bjp.2022.45 </w:t>
      </w:r>
      <w:hyperlink r:id="rId18" w:tgtFrame="_blank" w:tooltip="www.bing.com" w:history="1">
        <w:r w:rsidRPr="004021DA">
          <w:rPr>
            <w:rStyle w:val="Hyperlink"/>
            <w:rFonts w:ascii="Arial" w:hAnsi="Arial" w:cs="Arial"/>
            <w:sz w:val="22"/>
            <w:szCs w:val="22"/>
          </w:rPr>
          <w:t>(doi.org in Bing)</w:t>
        </w:r>
      </w:hyperlink>
      <w:r w:rsidRPr="004021DA">
        <w:rPr>
          <w:rFonts w:ascii="Arial" w:hAnsi="Arial" w:cs="Arial"/>
          <w:color w:val="000000"/>
          <w:sz w:val="22"/>
          <w:szCs w:val="22"/>
        </w:rPr>
        <w:t xml:space="preserve"> (Accessed 11 August 2026).</w:t>
      </w:r>
    </w:p>
    <w:p w14:paraId="1355EC79" w14:textId="0992BD62" w:rsidR="009F2D67" w:rsidRPr="004021DA" w:rsidRDefault="009F2D67" w:rsidP="004021DA">
      <w:pPr>
        <w:pStyle w:val="NormalWeb"/>
        <w:spacing w:line="360" w:lineRule="auto"/>
        <w:rPr>
          <w:rFonts w:ascii="Arial" w:hAnsi="Arial" w:cs="Arial"/>
          <w:color w:val="000000"/>
          <w:sz w:val="22"/>
          <w:szCs w:val="22"/>
        </w:rPr>
      </w:pPr>
      <w:r w:rsidRPr="004021DA">
        <w:rPr>
          <w:rFonts w:ascii="Arial" w:hAnsi="Arial" w:cs="Arial"/>
          <w:color w:val="000000"/>
          <w:sz w:val="22"/>
          <w:szCs w:val="22"/>
        </w:rPr>
        <w:t>Leamy, M. </w:t>
      </w:r>
      <w:r w:rsidRPr="004021DA">
        <w:rPr>
          <w:rFonts w:ascii="Arial" w:hAnsi="Arial" w:cs="Arial"/>
          <w:i/>
          <w:iCs/>
          <w:color w:val="000000"/>
          <w:sz w:val="22"/>
          <w:szCs w:val="22"/>
        </w:rPr>
        <w:t>et al.</w:t>
      </w:r>
      <w:r w:rsidRPr="004021DA">
        <w:rPr>
          <w:rFonts w:ascii="Arial" w:hAnsi="Arial" w:cs="Arial"/>
          <w:color w:val="000000"/>
          <w:sz w:val="22"/>
          <w:szCs w:val="22"/>
        </w:rPr>
        <w:t> (2011) “Conceptual framework for personal recovery in mental health: systematic review and narrative synthesis,” </w:t>
      </w:r>
      <w:r w:rsidRPr="004021DA">
        <w:rPr>
          <w:rFonts w:ascii="Arial" w:hAnsi="Arial" w:cs="Arial"/>
          <w:i/>
          <w:iCs/>
          <w:color w:val="000000"/>
          <w:sz w:val="22"/>
          <w:szCs w:val="22"/>
        </w:rPr>
        <w:t>British Journal of Psychiatry</w:t>
      </w:r>
      <w:r w:rsidRPr="004021DA">
        <w:rPr>
          <w:rFonts w:ascii="Arial" w:hAnsi="Arial" w:cs="Arial"/>
          <w:color w:val="000000"/>
          <w:sz w:val="22"/>
          <w:szCs w:val="22"/>
        </w:rPr>
        <w:t xml:space="preserve">, 199(6), pp. 445–452. Available at: </w:t>
      </w:r>
      <w:hyperlink r:id="rId19" w:history="1">
        <w:r w:rsidRPr="004021DA">
          <w:rPr>
            <w:rStyle w:val="Hyperlink"/>
            <w:rFonts w:ascii="Arial" w:hAnsi="Arial" w:cs="Arial"/>
            <w:sz w:val="22"/>
            <w:szCs w:val="22"/>
          </w:rPr>
          <w:t>https://doi.org/10.1192/bjp.bp.110.083733</w:t>
        </w:r>
      </w:hyperlink>
      <w:r w:rsidRPr="004021DA">
        <w:rPr>
          <w:rFonts w:ascii="Arial" w:hAnsi="Arial" w:cs="Arial"/>
          <w:color w:val="000000"/>
          <w:sz w:val="22"/>
          <w:szCs w:val="22"/>
        </w:rPr>
        <w:t xml:space="preserve">. </w:t>
      </w:r>
    </w:p>
    <w:p w14:paraId="12992BA3" w14:textId="3AF94E96" w:rsidR="00322C94" w:rsidRPr="004021DA" w:rsidRDefault="00322C94" w:rsidP="004021DA">
      <w:pPr>
        <w:pStyle w:val="NormalWeb"/>
        <w:spacing w:line="360" w:lineRule="auto"/>
        <w:rPr>
          <w:rFonts w:ascii="Arial" w:hAnsi="Arial" w:cs="Arial"/>
          <w:color w:val="000000"/>
          <w:sz w:val="22"/>
          <w:szCs w:val="22"/>
        </w:rPr>
      </w:pPr>
      <w:r w:rsidRPr="004021DA">
        <w:rPr>
          <w:rFonts w:ascii="Arial" w:hAnsi="Arial" w:cs="Arial"/>
          <w:color w:val="000000"/>
          <w:sz w:val="22"/>
          <w:szCs w:val="22"/>
        </w:rPr>
        <w:t>Leucht, S. </w:t>
      </w:r>
      <w:r w:rsidRPr="004021DA">
        <w:rPr>
          <w:rFonts w:ascii="Arial" w:hAnsi="Arial" w:cs="Arial"/>
          <w:i/>
          <w:iCs/>
          <w:color w:val="000000"/>
          <w:sz w:val="22"/>
          <w:szCs w:val="22"/>
        </w:rPr>
        <w:t>et al.</w:t>
      </w:r>
      <w:r w:rsidRPr="004021DA">
        <w:rPr>
          <w:rFonts w:ascii="Arial" w:hAnsi="Arial" w:cs="Arial"/>
          <w:color w:val="000000"/>
          <w:sz w:val="22"/>
          <w:szCs w:val="22"/>
        </w:rPr>
        <w:t> (2014) “Comparative Efficacy and Tolerability of 15 Antipsychotic Drugs in Schizophrenia: A Multiple-Treatments Meta-Analysis,” </w:t>
      </w:r>
      <w:r w:rsidRPr="004021DA">
        <w:rPr>
          <w:rFonts w:ascii="Arial" w:hAnsi="Arial" w:cs="Arial"/>
          <w:i/>
          <w:iCs/>
          <w:color w:val="000000"/>
          <w:sz w:val="22"/>
          <w:szCs w:val="22"/>
        </w:rPr>
        <w:t>Focus (American Psychiatric Publishing)</w:t>
      </w:r>
      <w:r w:rsidRPr="004021DA">
        <w:rPr>
          <w:rFonts w:ascii="Arial" w:hAnsi="Arial" w:cs="Arial"/>
          <w:color w:val="000000"/>
          <w:sz w:val="22"/>
          <w:szCs w:val="22"/>
        </w:rPr>
        <w:t xml:space="preserve">, 12(2), pp. 192–204. Available at: </w:t>
      </w:r>
      <w:hyperlink r:id="rId20" w:history="1">
        <w:r w:rsidRPr="004021DA">
          <w:rPr>
            <w:rStyle w:val="Hyperlink"/>
            <w:rFonts w:ascii="Arial" w:hAnsi="Arial" w:cs="Arial"/>
            <w:sz w:val="22"/>
            <w:szCs w:val="22"/>
          </w:rPr>
          <w:t>https://doi.org/10.1176/appi.focus.12.2.192</w:t>
        </w:r>
      </w:hyperlink>
      <w:r w:rsidRPr="004021DA">
        <w:rPr>
          <w:rFonts w:ascii="Arial" w:hAnsi="Arial" w:cs="Arial"/>
          <w:color w:val="000000"/>
          <w:sz w:val="22"/>
          <w:szCs w:val="22"/>
        </w:rPr>
        <w:t xml:space="preserve">. </w:t>
      </w:r>
    </w:p>
    <w:p w14:paraId="026E40C2" w14:textId="7B0AA782" w:rsidR="003B07DD" w:rsidRPr="004021DA" w:rsidRDefault="003B07DD" w:rsidP="004021DA">
      <w:pPr>
        <w:pStyle w:val="NormalWeb"/>
        <w:spacing w:line="360" w:lineRule="auto"/>
        <w:rPr>
          <w:rFonts w:ascii="Arial" w:hAnsi="Arial" w:cs="Arial"/>
          <w:color w:val="000000"/>
          <w:sz w:val="22"/>
          <w:szCs w:val="22"/>
        </w:rPr>
      </w:pPr>
      <w:r w:rsidRPr="004021DA">
        <w:rPr>
          <w:rFonts w:ascii="Arial" w:hAnsi="Arial" w:cs="Arial"/>
          <w:color w:val="000000"/>
          <w:sz w:val="22"/>
          <w:szCs w:val="22"/>
        </w:rPr>
        <w:t>Lesh, T.A. </w:t>
      </w:r>
      <w:r w:rsidRPr="004021DA">
        <w:rPr>
          <w:rFonts w:ascii="Arial" w:hAnsi="Arial" w:cs="Arial"/>
          <w:i/>
          <w:iCs/>
          <w:color w:val="000000"/>
          <w:sz w:val="22"/>
          <w:szCs w:val="22"/>
        </w:rPr>
        <w:t>et al.</w:t>
      </w:r>
      <w:r w:rsidRPr="004021DA">
        <w:rPr>
          <w:rFonts w:ascii="Arial" w:hAnsi="Arial" w:cs="Arial"/>
          <w:color w:val="000000"/>
          <w:sz w:val="22"/>
          <w:szCs w:val="22"/>
        </w:rPr>
        <w:t> (2021) “Extracellular free water and glutathione in first-episode psychosis—a multimodal investigation of an inflammatory model for psychosis,” </w:t>
      </w:r>
      <w:r w:rsidRPr="004021DA">
        <w:rPr>
          <w:rFonts w:ascii="Arial" w:hAnsi="Arial" w:cs="Arial"/>
          <w:i/>
          <w:iCs/>
          <w:color w:val="000000"/>
          <w:sz w:val="22"/>
          <w:szCs w:val="22"/>
        </w:rPr>
        <w:t>Molecular Psychiatry</w:t>
      </w:r>
      <w:r w:rsidRPr="004021DA">
        <w:rPr>
          <w:rFonts w:ascii="Arial" w:hAnsi="Arial" w:cs="Arial"/>
          <w:color w:val="000000"/>
          <w:sz w:val="22"/>
          <w:szCs w:val="22"/>
        </w:rPr>
        <w:t xml:space="preserve">, 26(3), pp. 761–771. Available at: </w:t>
      </w:r>
      <w:hyperlink r:id="rId21" w:history="1">
        <w:r w:rsidRPr="004021DA">
          <w:rPr>
            <w:rStyle w:val="Hyperlink"/>
            <w:rFonts w:ascii="Arial" w:hAnsi="Arial" w:cs="Arial"/>
            <w:sz w:val="22"/>
            <w:szCs w:val="22"/>
          </w:rPr>
          <w:t>https://doi.org/10.1038/s41380-019-0428-y</w:t>
        </w:r>
      </w:hyperlink>
      <w:r w:rsidRPr="004021DA">
        <w:rPr>
          <w:rFonts w:ascii="Arial" w:hAnsi="Arial" w:cs="Arial"/>
          <w:color w:val="000000"/>
          <w:sz w:val="22"/>
          <w:szCs w:val="22"/>
        </w:rPr>
        <w:t xml:space="preserve">. </w:t>
      </w:r>
    </w:p>
    <w:p w14:paraId="5DB7ED5B" w14:textId="70CCC6BC" w:rsidR="00A2102A" w:rsidRPr="004021DA" w:rsidRDefault="00A2102A" w:rsidP="004021DA">
      <w:pPr>
        <w:pStyle w:val="NormalWeb"/>
        <w:spacing w:line="360" w:lineRule="auto"/>
        <w:rPr>
          <w:rFonts w:ascii="Arial" w:hAnsi="Arial" w:cs="Arial"/>
          <w:color w:val="000000"/>
          <w:sz w:val="22"/>
          <w:szCs w:val="22"/>
        </w:rPr>
      </w:pPr>
      <w:r w:rsidRPr="004021DA">
        <w:rPr>
          <w:rFonts w:ascii="Arial" w:hAnsi="Arial" w:cs="Arial"/>
          <w:color w:val="000000"/>
          <w:sz w:val="22"/>
          <w:szCs w:val="22"/>
        </w:rPr>
        <w:t xml:space="preserve">Luby, J.L. (2014). </w:t>
      </w:r>
      <w:r w:rsidR="00A71CCA" w:rsidRPr="004021DA">
        <w:rPr>
          <w:rFonts w:ascii="Arial" w:hAnsi="Arial" w:cs="Arial"/>
          <w:color w:val="000000"/>
          <w:sz w:val="22"/>
          <w:szCs w:val="22"/>
        </w:rPr>
        <w:t>“</w:t>
      </w:r>
      <w:r w:rsidRPr="004021DA">
        <w:rPr>
          <w:rFonts w:ascii="Arial" w:hAnsi="Arial" w:cs="Arial"/>
          <w:i/>
          <w:iCs/>
          <w:color w:val="000000"/>
          <w:sz w:val="22"/>
          <w:szCs w:val="22"/>
        </w:rPr>
        <w:t>Toward Mapping Altered Trajectories of Brain Development in Depression</w:t>
      </w:r>
      <w:r w:rsidR="00A71CCA" w:rsidRPr="004021DA">
        <w:rPr>
          <w:rFonts w:ascii="Arial" w:hAnsi="Arial" w:cs="Arial"/>
          <w:i/>
          <w:iCs/>
          <w:color w:val="000000"/>
          <w:sz w:val="22"/>
          <w:szCs w:val="22"/>
        </w:rPr>
        <w:t>”</w:t>
      </w:r>
      <w:r w:rsidRPr="004021DA">
        <w:rPr>
          <w:rFonts w:ascii="Arial" w:hAnsi="Arial" w:cs="Arial"/>
          <w:color w:val="000000"/>
          <w:sz w:val="22"/>
          <w:szCs w:val="22"/>
        </w:rPr>
        <w:t xml:space="preserve">. </w:t>
      </w:r>
      <w:r w:rsidRPr="004021DA">
        <w:rPr>
          <w:rFonts w:ascii="Arial" w:hAnsi="Arial" w:cs="Arial"/>
          <w:i/>
          <w:iCs/>
          <w:color w:val="000000"/>
          <w:sz w:val="22"/>
          <w:szCs w:val="22"/>
        </w:rPr>
        <w:t>American Journal of Psychiatry</w:t>
      </w:r>
      <w:r w:rsidRPr="004021DA">
        <w:rPr>
          <w:rFonts w:ascii="Arial" w:hAnsi="Arial" w:cs="Arial"/>
          <w:color w:val="000000"/>
          <w:sz w:val="22"/>
          <w:szCs w:val="22"/>
        </w:rPr>
        <w:t>, 171(5), pp.489–491.</w:t>
      </w:r>
      <w:r w:rsidR="00A71CCA" w:rsidRPr="004021DA">
        <w:rPr>
          <w:rFonts w:ascii="Arial" w:hAnsi="Arial" w:cs="Arial"/>
          <w:color w:val="000000"/>
          <w:sz w:val="22"/>
          <w:szCs w:val="22"/>
        </w:rPr>
        <w:t xml:space="preserve"> </w:t>
      </w:r>
      <w:proofErr w:type="spellStart"/>
      <w:r w:rsidR="00A71CCA" w:rsidRPr="004021DA">
        <w:rPr>
          <w:rFonts w:ascii="Arial" w:hAnsi="Arial" w:cs="Arial"/>
          <w:color w:val="000000"/>
          <w:sz w:val="22"/>
          <w:szCs w:val="22"/>
        </w:rPr>
        <w:t>doi</w:t>
      </w:r>
      <w:proofErr w:type="spellEnd"/>
      <w:r w:rsidR="00D115B4" w:rsidRPr="004021DA">
        <w:rPr>
          <w:rFonts w:ascii="Arial" w:hAnsi="Arial" w:cs="Arial"/>
          <w:color w:val="000000"/>
          <w:sz w:val="22"/>
          <w:szCs w:val="22"/>
        </w:rPr>
        <w:t>: </w:t>
      </w:r>
      <w:hyperlink r:id="rId22" w:tgtFrame="_blank" w:history="1">
        <w:r w:rsidR="00D115B4" w:rsidRPr="004021DA">
          <w:rPr>
            <w:rStyle w:val="Hyperlink"/>
            <w:rFonts w:ascii="Arial" w:hAnsi="Arial" w:cs="Arial"/>
            <w:sz w:val="22"/>
            <w:szCs w:val="22"/>
          </w:rPr>
          <w:t>10.1176/appi.ajp.2014.14020191</w:t>
        </w:r>
      </w:hyperlink>
    </w:p>
    <w:p w14:paraId="3491AF4C" w14:textId="3AEA2D1F" w:rsidR="00CA2AC6" w:rsidRPr="004021DA" w:rsidRDefault="006F4C61" w:rsidP="004021DA">
      <w:pPr>
        <w:pStyle w:val="NormalWeb"/>
        <w:spacing w:line="360" w:lineRule="auto"/>
        <w:rPr>
          <w:rFonts w:ascii="Arial" w:hAnsi="Arial" w:cs="Arial"/>
          <w:color w:val="000000"/>
          <w:sz w:val="22"/>
          <w:szCs w:val="22"/>
        </w:rPr>
      </w:pPr>
      <w:r w:rsidRPr="004021DA">
        <w:rPr>
          <w:rFonts w:ascii="Arial" w:hAnsi="Arial" w:cs="Arial"/>
          <w:color w:val="000000"/>
          <w:sz w:val="22"/>
          <w:szCs w:val="22"/>
        </w:rPr>
        <w:t>Merico, D. </w:t>
      </w:r>
      <w:r w:rsidRPr="004021DA">
        <w:rPr>
          <w:rFonts w:ascii="Arial" w:hAnsi="Arial" w:cs="Arial"/>
          <w:i/>
          <w:iCs/>
          <w:color w:val="000000"/>
          <w:sz w:val="22"/>
          <w:szCs w:val="22"/>
        </w:rPr>
        <w:t>et al.</w:t>
      </w:r>
      <w:r w:rsidRPr="004021DA">
        <w:rPr>
          <w:rFonts w:ascii="Arial" w:hAnsi="Arial" w:cs="Arial"/>
          <w:color w:val="000000"/>
          <w:sz w:val="22"/>
          <w:szCs w:val="22"/>
        </w:rPr>
        <w:t> (2017) “Contribution of copy number variants to schizophrenia from a genome-wide study of 41,321 subjects,” </w:t>
      </w:r>
      <w:r w:rsidRPr="004021DA">
        <w:rPr>
          <w:rFonts w:ascii="Arial" w:hAnsi="Arial" w:cs="Arial"/>
          <w:i/>
          <w:iCs/>
          <w:color w:val="000000"/>
          <w:sz w:val="22"/>
          <w:szCs w:val="22"/>
        </w:rPr>
        <w:t>Nature Genetics</w:t>
      </w:r>
      <w:r w:rsidRPr="004021DA">
        <w:rPr>
          <w:rFonts w:ascii="Arial" w:hAnsi="Arial" w:cs="Arial"/>
          <w:color w:val="000000"/>
          <w:sz w:val="22"/>
          <w:szCs w:val="22"/>
        </w:rPr>
        <w:t xml:space="preserve">, 49(1), pp. 27–35. Available at: </w:t>
      </w:r>
      <w:hyperlink r:id="rId23" w:history="1">
        <w:r w:rsidRPr="004021DA">
          <w:rPr>
            <w:rStyle w:val="Hyperlink"/>
            <w:rFonts w:ascii="Arial" w:hAnsi="Arial" w:cs="Arial"/>
            <w:sz w:val="22"/>
            <w:szCs w:val="22"/>
          </w:rPr>
          <w:t>https://doi.org/10.1038/ng.3725</w:t>
        </w:r>
      </w:hyperlink>
      <w:r w:rsidRPr="004021DA">
        <w:rPr>
          <w:rFonts w:ascii="Arial" w:hAnsi="Arial" w:cs="Arial"/>
          <w:color w:val="000000"/>
          <w:sz w:val="22"/>
          <w:szCs w:val="22"/>
        </w:rPr>
        <w:t>.</w:t>
      </w:r>
      <w:r w:rsidR="00003E51" w:rsidRPr="004021DA">
        <w:rPr>
          <w:rFonts w:ascii="Arial" w:hAnsi="Arial" w:cs="Arial"/>
          <w:color w:val="000000"/>
          <w:sz w:val="22"/>
          <w:szCs w:val="22"/>
        </w:rPr>
        <w:t xml:space="preserve"> </w:t>
      </w:r>
    </w:p>
    <w:p w14:paraId="1647C6B5" w14:textId="41F33803" w:rsidR="00184DEA" w:rsidRPr="004021DA" w:rsidRDefault="00003E51" w:rsidP="004021DA">
      <w:pPr>
        <w:pStyle w:val="NormalWeb"/>
        <w:spacing w:line="360" w:lineRule="auto"/>
        <w:rPr>
          <w:rFonts w:ascii="Arial" w:hAnsi="Arial" w:cs="Arial"/>
          <w:i/>
          <w:iCs/>
          <w:color w:val="000000"/>
          <w:sz w:val="22"/>
          <w:szCs w:val="22"/>
        </w:rPr>
      </w:pPr>
      <w:r w:rsidRPr="004021DA">
        <w:rPr>
          <w:rFonts w:ascii="Arial" w:hAnsi="Arial" w:cs="Arial"/>
          <w:color w:val="000000"/>
          <w:sz w:val="22"/>
          <w:szCs w:val="22"/>
        </w:rPr>
        <w:t>Mielke, H.W. (2018) “Dynamic Geochemistry of Tetraethyl Lead Dust during the 20th Century: Getting the Lead In, Out, and Translational Beyond,” </w:t>
      </w:r>
      <w:r w:rsidRPr="004021DA">
        <w:rPr>
          <w:rFonts w:ascii="Arial" w:hAnsi="Arial" w:cs="Arial"/>
          <w:i/>
          <w:iCs/>
          <w:color w:val="000000"/>
          <w:sz w:val="22"/>
          <w:szCs w:val="22"/>
        </w:rPr>
        <w:t>International Journal of Environmental Research and Public Health</w:t>
      </w:r>
      <w:r w:rsidRPr="004021DA">
        <w:rPr>
          <w:rFonts w:ascii="Arial" w:hAnsi="Arial" w:cs="Arial"/>
          <w:color w:val="000000"/>
          <w:sz w:val="22"/>
          <w:szCs w:val="22"/>
        </w:rPr>
        <w:t xml:space="preserve">, 15(5), p. 860. Available at: </w:t>
      </w:r>
      <w:hyperlink r:id="rId24" w:history="1">
        <w:r w:rsidRPr="004021DA">
          <w:rPr>
            <w:rStyle w:val="Hyperlink"/>
            <w:rFonts w:ascii="Arial" w:hAnsi="Arial" w:cs="Arial"/>
            <w:sz w:val="22"/>
            <w:szCs w:val="22"/>
          </w:rPr>
          <w:t>https://doi.org/10.3390/ijerph15050860</w:t>
        </w:r>
      </w:hyperlink>
      <w:r w:rsidRPr="004021DA">
        <w:rPr>
          <w:rFonts w:ascii="Arial" w:hAnsi="Arial" w:cs="Arial"/>
          <w:color w:val="000000"/>
          <w:sz w:val="22"/>
          <w:szCs w:val="22"/>
        </w:rPr>
        <w:t>.</w:t>
      </w:r>
    </w:p>
    <w:p w14:paraId="587CCA1D" w14:textId="77777777" w:rsidR="00FC3096" w:rsidRPr="004021DA" w:rsidRDefault="00184DEA" w:rsidP="004021DA">
      <w:pPr>
        <w:pStyle w:val="NormalWeb"/>
        <w:spacing w:line="360" w:lineRule="auto"/>
        <w:rPr>
          <w:rFonts w:ascii="Arial" w:hAnsi="Arial" w:cs="Arial"/>
          <w:color w:val="000000"/>
          <w:sz w:val="22"/>
          <w:szCs w:val="22"/>
        </w:rPr>
      </w:pPr>
      <w:r w:rsidRPr="004021DA">
        <w:rPr>
          <w:rFonts w:ascii="Arial" w:hAnsi="Arial" w:cs="Arial"/>
          <w:color w:val="000000"/>
          <w:sz w:val="22"/>
          <w:szCs w:val="22"/>
        </w:rPr>
        <w:t>Mor-Ben-</w:t>
      </w:r>
      <w:proofErr w:type="spellStart"/>
      <w:r w:rsidRPr="004021DA">
        <w:rPr>
          <w:rFonts w:ascii="Arial" w:hAnsi="Arial" w:cs="Arial"/>
          <w:color w:val="000000"/>
          <w:sz w:val="22"/>
          <w:szCs w:val="22"/>
        </w:rPr>
        <w:t>Ishai</w:t>
      </w:r>
      <w:proofErr w:type="spellEnd"/>
      <w:r w:rsidRPr="004021DA">
        <w:rPr>
          <w:rFonts w:ascii="Arial" w:hAnsi="Arial" w:cs="Arial"/>
          <w:color w:val="000000"/>
          <w:sz w:val="22"/>
          <w:szCs w:val="22"/>
        </w:rPr>
        <w:t>, S., Ben-Ezra, M. and Levin, Y. (2026) “Structure and validity of the Subjective Traumatic Outlook questionnaire under conditions of continuous trauma,” </w:t>
      </w:r>
      <w:proofErr w:type="spellStart"/>
      <w:r w:rsidRPr="004021DA">
        <w:rPr>
          <w:rFonts w:ascii="Arial" w:hAnsi="Arial" w:cs="Arial"/>
          <w:i/>
          <w:iCs/>
          <w:color w:val="000000"/>
          <w:sz w:val="22"/>
          <w:szCs w:val="22"/>
        </w:rPr>
        <w:t>BJPsych</w:t>
      </w:r>
      <w:proofErr w:type="spellEnd"/>
      <w:r w:rsidRPr="004021DA">
        <w:rPr>
          <w:rFonts w:ascii="Arial" w:hAnsi="Arial" w:cs="Arial"/>
          <w:i/>
          <w:iCs/>
          <w:color w:val="000000"/>
          <w:sz w:val="22"/>
          <w:szCs w:val="22"/>
        </w:rPr>
        <w:t xml:space="preserve"> Open</w:t>
      </w:r>
      <w:r w:rsidRPr="004021DA">
        <w:rPr>
          <w:rFonts w:ascii="Arial" w:hAnsi="Arial" w:cs="Arial"/>
          <w:color w:val="000000"/>
          <w:sz w:val="22"/>
          <w:szCs w:val="22"/>
        </w:rPr>
        <w:t xml:space="preserve">, 12(2). Available at: </w:t>
      </w:r>
      <w:hyperlink r:id="rId25" w:history="1">
        <w:r w:rsidRPr="004021DA">
          <w:rPr>
            <w:rStyle w:val="Hyperlink"/>
            <w:rFonts w:ascii="Arial" w:hAnsi="Arial" w:cs="Arial"/>
            <w:sz w:val="22"/>
            <w:szCs w:val="22"/>
          </w:rPr>
          <w:t>https://doi.org/10.1192/bjo.2026.10981</w:t>
        </w:r>
      </w:hyperlink>
      <w:r w:rsidRPr="004021DA">
        <w:rPr>
          <w:rFonts w:ascii="Arial" w:hAnsi="Arial" w:cs="Arial"/>
          <w:color w:val="000000"/>
          <w:sz w:val="22"/>
          <w:szCs w:val="22"/>
        </w:rPr>
        <w:t>.</w:t>
      </w:r>
    </w:p>
    <w:p w14:paraId="43AD5AAA" w14:textId="32EE7794" w:rsidR="00003E51" w:rsidRPr="004021DA" w:rsidRDefault="00FC3096" w:rsidP="004021DA">
      <w:pPr>
        <w:pStyle w:val="NormalWeb"/>
        <w:spacing w:line="360" w:lineRule="auto"/>
        <w:rPr>
          <w:rFonts w:ascii="Arial" w:hAnsi="Arial" w:cs="Arial"/>
          <w:color w:val="000000"/>
          <w:sz w:val="22"/>
          <w:szCs w:val="22"/>
        </w:rPr>
      </w:pPr>
      <w:r w:rsidRPr="004021DA">
        <w:rPr>
          <w:rFonts w:ascii="Arial" w:hAnsi="Arial" w:cs="Arial"/>
          <w:color w:val="000000"/>
          <w:sz w:val="22"/>
          <w:szCs w:val="22"/>
        </w:rPr>
        <w:t>.</w:t>
      </w:r>
      <w:r w:rsidR="00003E51" w:rsidRPr="004021DA">
        <w:rPr>
          <w:rFonts w:ascii="Arial" w:hAnsi="Arial" w:cs="Arial"/>
          <w:color w:val="000000"/>
          <w:sz w:val="22"/>
          <w:szCs w:val="22"/>
        </w:rPr>
        <w:t xml:space="preserve"> </w:t>
      </w:r>
    </w:p>
    <w:p w14:paraId="3EE83316" w14:textId="3FD7D0A4" w:rsidR="00592F9B" w:rsidRPr="004021DA" w:rsidRDefault="00502350" w:rsidP="004021DA">
      <w:pPr>
        <w:pStyle w:val="NormalWeb"/>
        <w:spacing w:line="360" w:lineRule="auto"/>
        <w:rPr>
          <w:rFonts w:ascii="Arial" w:hAnsi="Arial" w:cs="Arial"/>
          <w:color w:val="000000"/>
          <w:sz w:val="22"/>
          <w:szCs w:val="22"/>
        </w:rPr>
      </w:pPr>
      <w:r w:rsidRPr="004021DA">
        <w:rPr>
          <w:rFonts w:ascii="Arial" w:hAnsi="Arial" w:cs="Arial"/>
          <w:color w:val="000000"/>
          <w:sz w:val="22"/>
          <w:szCs w:val="22"/>
        </w:rPr>
        <w:t xml:space="preserve">NICE (2020) </w:t>
      </w:r>
      <w:r w:rsidR="00C602ED" w:rsidRPr="004021DA">
        <w:rPr>
          <w:rFonts w:ascii="Arial" w:hAnsi="Arial" w:cs="Arial"/>
          <w:color w:val="000000"/>
          <w:sz w:val="22"/>
          <w:szCs w:val="22"/>
        </w:rPr>
        <w:t>“</w:t>
      </w:r>
      <w:r w:rsidRPr="004021DA">
        <w:rPr>
          <w:rFonts w:ascii="Arial" w:hAnsi="Arial" w:cs="Arial"/>
          <w:i/>
          <w:iCs/>
          <w:color w:val="000000"/>
          <w:sz w:val="22"/>
          <w:szCs w:val="22"/>
        </w:rPr>
        <w:t>Psychosis and Schizophrenia in Adults: Treatment and Management</w:t>
      </w:r>
      <w:r w:rsidR="00C602ED" w:rsidRPr="004021DA">
        <w:rPr>
          <w:rFonts w:ascii="Arial" w:hAnsi="Arial" w:cs="Arial"/>
          <w:i/>
          <w:iCs/>
          <w:color w:val="000000"/>
          <w:sz w:val="22"/>
          <w:szCs w:val="22"/>
        </w:rPr>
        <w:t>”</w:t>
      </w:r>
      <w:r w:rsidRPr="004021DA">
        <w:rPr>
          <w:rFonts w:ascii="Arial" w:hAnsi="Arial" w:cs="Arial"/>
          <w:color w:val="000000"/>
          <w:sz w:val="22"/>
          <w:szCs w:val="22"/>
        </w:rPr>
        <w:t xml:space="preserve">. London: NICE. Available at: </w:t>
      </w:r>
      <w:hyperlink r:id="rId26" w:history="1">
        <w:r w:rsidR="005029B7" w:rsidRPr="004021DA">
          <w:rPr>
            <w:rStyle w:val="Hyperlink"/>
            <w:rFonts w:ascii="Arial" w:hAnsi="Arial" w:cs="Arial"/>
            <w:sz w:val="22"/>
            <w:szCs w:val="22"/>
          </w:rPr>
          <w:t>https://www.6nice.org.uk/guidance/cg178</w:t>
        </w:r>
      </w:hyperlink>
      <w:r w:rsidRPr="004021DA">
        <w:rPr>
          <w:rFonts w:ascii="Arial" w:hAnsi="Arial" w:cs="Arial"/>
          <w:color w:val="000000"/>
          <w:sz w:val="22"/>
          <w:szCs w:val="22"/>
        </w:rPr>
        <w:t xml:space="preserve"> [Accessed 10 Aug. 2026].</w:t>
      </w:r>
    </w:p>
    <w:p w14:paraId="60E19734" w14:textId="6E38F511" w:rsidR="00CA2AC6" w:rsidRPr="004021DA" w:rsidRDefault="005946C9" w:rsidP="004021DA">
      <w:pPr>
        <w:pStyle w:val="NormalWeb"/>
        <w:spacing w:line="360" w:lineRule="auto"/>
        <w:rPr>
          <w:rFonts w:ascii="Arial" w:hAnsi="Arial" w:cs="Arial"/>
          <w:color w:val="000000"/>
          <w:sz w:val="22"/>
          <w:szCs w:val="22"/>
        </w:rPr>
      </w:pPr>
      <w:r w:rsidRPr="004021DA">
        <w:rPr>
          <w:rFonts w:ascii="Arial" w:hAnsi="Arial" w:cs="Arial"/>
          <w:color w:val="000000"/>
          <w:sz w:val="22"/>
          <w:szCs w:val="22"/>
        </w:rPr>
        <w:lastRenderedPageBreak/>
        <w:t xml:space="preserve">Ommeren, M. (2019). </w:t>
      </w:r>
      <w:r w:rsidR="00D115B4" w:rsidRPr="004021DA">
        <w:rPr>
          <w:rFonts w:ascii="Arial" w:hAnsi="Arial" w:cs="Arial"/>
          <w:color w:val="000000"/>
          <w:sz w:val="22"/>
          <w:szCs w:val="22"/>
        </w:rPr>
        <w:t>“</w:t>
      </w:r>
      <w:r w:rsidRPr="004021DA">
        <w:rPr>
          <w:rFonts w:ascii="Arial" w:hAnsi="Arial" w:cs="Arial"/>
          <w:color w:val="000000"/>
          <w:sz w:val="22"/>
          <w:szCs w:val="22"/>
        </w:rPr>
        <w:t>Targets and outcomes of psychological interventions: implications for guidelines and policy</w:t>
      </w:r>
      <w:r w:rsidR="00D115B4" w:rsidRPr="004021DA">
        <w:rPr>
          <w:rFonts w:ascii="Arial" w:hAnsi="Arial" w:cs="Arial"/>
          <w:color w:val="000000"/>
          <w:sz w:val="22"/>
          <w:szCs w:val="22"/>
        </w:rPr>
        <w:t>”</w:t>
      </w:r>
      <w:r w:rsidRPr="004021DA">
        <w:rPr>
          <w:rFonts w:ascii="Arial" w:hAnsi="Arial" w:cs="Arial"/>
          <w:color w:val="000000"/>
          <w:sz w:val="22"/>
          <w:szCs w:val="22"/>
        </w:rPr>
        <w:t xml:space="preserve">. </w:t>
      </w:r>
      <w:r w:rsidRPr="004021DA">
        <w:rPr>
          <w:rFonts w:ascii="Arial" w:hAnsi="Arial" w:cs="Arial"/>
          <w:i/>
          <w:iCs/>
          <w:color w:val="000000"/>
          <w:sz w:val="22"/>
          <w:szCs w:val="22"/>
        </w:rPr>
        <w:t>World Psychiatry</w:t>
      </w:r>
      <w:r w:rsidRPr="004021DA">
        <w:rPr>
          <w:rFonts w:ascii="Arial" w:hAnsi="Arial" w:cs="Arial"/>
          <w:color w:val="000000"/>
          <w:sz w:val="22"/>
          <w:szCs w:val="22"/>
        </w:rPr>
        <w:t xml:space="preserve">, 18(3), pp.295–296. </w:t>
      </w:r>
      <w:r w:rsidR="00D115B4" w:rsidRPr="004021DA">
        <w:rPr>
          <w:rFonts w:ascii="Arial" w:hAnsi="Arial" w:cs="Arial"/>
          <w:color w:val="000000"/>
          <w:sz w:val="22"/>
          <w:szCs w:val="22"/>
        </w:rPr>
        <w:t>DOI: </w:t>
      </w:r>
      <w:hyperlink r:id="rId27" w:tgtFrame="_blank" w:history="1">
        <w:r w:rsidR="00D115B4" w:rsidRPr="004021DA">
          <w:rPr>
            <w:rStyle w:val="Hyperlink"/>
            <w:rFonts w:ascii="Arial" w:hAnsi="Arial" w:cs="Arial"/>
            <w:sz w:val="22"/>
            <w:szCs w:val="22"/>
          </w:rPr>
          <w:t>10.1002/wps.20669</w:t>
        </w:r>
      </w:hyperlink>
      <w:r w:rsidR="00A2102A" w:rsidRPr="004021DA">
        <w:rPr>
          <w:rFonts w:ascii="Arial" w:hAnsi="Arial" w:cs="Arial"/>
          <w:color w:val="000000"/>
          <w:sz w:val="22"/>
          <w:szCs w:val="22"/>
        </w:rPr>
        <w:t>.</w:t>
      </w:r>
    </w:p>
    <w:p w14:paraId="2F1804C7" w14:textId="74E80008" w:rsidR="00BB0047" w:rsidRPr="004021DA" w:rsidRDefault="00BB0047" w:rsidP="004021DA">
      <w:pPr>
        <w:pStyle w:val="NormalWeb"/>
        <w:spacing w:line="360" w:lineRule="auto"/>
        <w:rPr>
          <w:rFonts w:ascii="Arial" w:hAnsi="Arial" w:cs="Arial"/>
          <w:color w:val="000000"/>
          <w:sz w:val="22"/>
          <w:szCs w:val="22"/>
        </w:rPr>
      </w:pPr>
      <w:proofErr w:type="spellStart"/>
      <w:r w:rsidRPr="004021DA">
        <w:rPr>
          <w:rFonts w:ascii="Arial" w:hAnsi="Arial" w:cs="Arial"/>
          <w:color w:val="000000"/>
          <w:sz w:val="22"/>
          <w:szCs w:val="22"/>
        </w:rPr>
        <w:t>Pomarol-Clotet</w:t>
      </w:r>
      <w:proofErr w:type="spellEnd"/>
      <w:r w:rsidRPr="004021DA">
        <w:rPr>
          <w:rFonts w:ascii="Arial" w:hAnsi="Arial" w:cs="Arial"/>
          <w:color w:val="000000"/>
          <w:sz w:val="22"/>
          <w:szCs w:val="22"/>
        </w:rPr>
        <w:t>, E. </w:t>
      </w:r>
      <w:r w:rsidRPr="004021DA">
        <w:rPr>
          <w:rFonts w:ascii="Arial" w:hAnsi="Arial" w:cs="Arial"/>
          <w:i/>
          <w:iCs/>
          <w:color w:val="000000"/>
          <w:sz w:val="22"/>
          <w:szCs w:val="22"/>
        </w:rPr>
        <w:t>et al.</w:t>
      </w:r>
      <w:r w:rsidRPr="004021DA">
        <w:rPr>
          <w:rFonts w:ascii="Arial" w:hAnsi="Arial" w:cs="Arial"/>
          <w:color w:val="000000"/>
          <w:sz w:val="22"/>
          <w:szCs w:val="22"/>
        </w:rPr>
        <w:t> (2010) “Facial emotion processing in schizophrenia: a non-specific neuropsychological deficit?” </w:t>
      </w:r>
      <w:r w:rsidRPr="004021DA">
        <w:rPr>
          <w:rFonts w:ascii="Arial" w:hAnsi="Arial" w:cs="Arial"/>
          <w:i/>
          <w:iCs/>
          <w:color w:val="000000"/>
          <w:sz w:val="22"/>
          <w:szCs w:val="22"/>
        </w:rPr>
        <w:t>Psychological Medicine</w:t>
      </w:r>
      <w:r w:rsidRPr="004021DA">
        <w:rPr>
          <w:rFonts w:ascii="Arial" w:hAnsi="Arial" w:cs="Arial"/>
          <w:color w:val="000000"/>
          <w:sz w:val="22"/>
          <w:szCs w:val="22"/>
        </w:rPr>
        <w:t xml:space="preserve">, 40(6), pp. 911–919. Available at: </w:t>
      </w:r>
      <w:hyperlink r:id="rId28" w:history="1">
        <w:r w:rsidR="00C602ED" w:rsidRPr="004021DA">
          <w:rPr>
            <w:rStyle w:val="Hyperlink"/>
            <w:rFonts w:ascii="Arial" w:hAnsi="Arial" w:cs="Arial"/>
            <w:sz w:val="22"/>
            <w:szCs w:val="22"/>
          </w:rPr>
          <w:t>https://doi.org/10.1017/S0033291709991309</w:t>
        </w:r>
      </w:hyperlink>
      <w:r w:rsidRPr="004021DA">
        <w:rPr>
          <w:rFonts w:ascii="Arial" w:hAnsi="Arial" w:cs="Arial"/>
          <w:color w:val="000000"/>
          <w:sz w:val="22"/>
          <w:szCs w:val="22"/>
        </w:rPr>
        <w:t>.</w:t>
      </w:r>
      <w:r w:rsidR="00C602ED" w:rsidRPr="004021DA">
        <w:rPr>
          <w:rFonts w:ascii="Arial" w:hAnsi="Arial" w:cs="Arial"/>
          <w:color w:val="000000"/>
          <w:sz w:val="22"/>
          <w:szCs w:val="22"/>
        </w:rPr>
        <w:t xml:space="preserve"> </w:t>
      </w:r>
    </w:p>
    <w:p w14:paraId="6362B431" w14:textId="175B5841" w:rsidR="00D310BB" w:rsidRPr="004021DA" w:rsidRDefault="00D310BB" w:rsidP="004021DA">
      <w:pPr>
        <w:pStyle w:val="NormalWeb"/>
        <w:spacing w:line="360" w:lineRule="auto"/>
        <w:rPr>
          <w:rFonts w:ascii="Arial" w:hAnsi="Arial" w:cs="Arial"/>
          <w:color w:val="000000"/>
          <w:sz w:val="22"/>
          <w:szCs w:val="22"/>
        </w:rPr>
      </w:pPr>
      <w:r w:rsidRPr="004021DA">
        <w:rPr>
          <w:rFonts w:ascii="Arial" w:hAnsi="Arial" w:cs="Arial"/>
          <w:color w:val="000000"/>
          <w:sz w:val="22"/>
          <w:szCs w:val="22"/>
        </w:rPr>
        <w:t>Smoller, J.W. </w:t>
      </w:r>
      <w:r w:rsidRPr="004021DA">
        <w:rPr>
          <w:rFonts w:ascii="Arial" w:hAnsi="Arial" w:cs="Arial"/>
          <w:i/>
          <w:iCs/>
          <w:color w:val="000000"/>
          <w:sz w:val="22"/>
          <w:szCs w:val="22"/>
        </w:rPr>
        <w:t>et al.</w:t>
      </w:r>
      <w:r w:rsidRPr="004021DA">
        <w:rPr>
          <w:rFonts w:ascii="Arial" w:hAnsi="Arial" w:cs="Arial"/>
          <w:color w:val="000000"/>
          <w:sz w:val="22"/>
          <w:szCs w:val="22"/>
        </w:rPr>
        <w:t> (2019) “Psychiatric genetics and the structure of psychopathology,” </w:t>
      </w:r>
      <w:r w:rsidRPr="004021DA">
        <w:rPr>
          <w:rFonts w:ascii="Arial" w:hAnsi="Arial" w:cs="Arial"/>
          <w:i/>
          <w:iCs/>
          <w:color w:val="000000"/>
          <w:sz w:val="22"/>
          <w:szCs w:val="22"/>
        </w:rPr>
        <w:t>Molecular Psychiatry</w:t>
      </w:r>
      <w:r w:rsidRPr="004021DA">
        <w:rPr>
          <w:rFonts w:ascii="Arial" w:hAnsi="Arial" w:cs="Arial"/>
          <w:color w:val="000000"/>
          <w:sz w:val="22"/>
          <w:szCs w:val="22"/>
        </w:rPr>
        <w:t xml:space="preserve">, 24(3), pp. 409–420. Available at: </w:t>
      </w:r>
      <w:hyperlink r:id="rId29" w:history="1">
        <w:r w:rsidRPr="004021DA">
          <w:rPr>
            <w:rStyle w:val="Hyperlink"/>
            <w:rFonts w:ascii="Arial" w:hAnsi="Arial" w:cs="Arial"/>
            <w:sz w:val="22"/>
            <w:szCs w:val="22"/>
          </w:rPr>
          <w:t>https://doi.org/10.1038/s41380-017-0010-4</w:t>
        </w:r>
      </w:hyperlink>
      <w:r w:rsidRPr="004021DA">
        <w:rPr>
          <w:rFonts w:ascii="Arial" w:hAnsi="Arial" w:cs="Arial"/>
          <w:color w:val="000000"/>
          <w:sz w:val="22"/>
          <w:szCs w:val="22"/>
        </w:rPr>
        <w:t>.</w:t>
      </w:r>
    </w:p>
    <w:p w14:paraId="5D687CC6" w14:textId="77777777" w:rsidR="00125022" w:rsidRDefault="00125022" w:rsidP="00FB6E9B">
      <w:pPr>
        <w:pStyle w:val="NormalWeb"/>
        <w:rPr>
          <w:rFonts w:ascii="Arial" w:hAnsi="Arial" w:cs="Arial"/>
          <w:color w:val="000000"/>
          <w:sz w:val="22"/>
          <w:szCs w:val="22"/>
        </w:rPr>
      </w:pPr>
    </w:p>
    <w:p w14:paraId="35C40DFE" w14:textId="77777777" w:rsidR="00FB6E9B" w:rsidRPr="0082194A" w:rsidRDefault="00FB6E9B" w:rsidP="008A6D32">
      <w:pPr>
        <w:pStyle w:val="NormalWeb"/>
        <w:rPr>
          <w:rFonts w:ascii="Arial" w:hAnsi="Arial" w:cs="Arial"/>
          <w:b/>
          <w:bCs/>
          <w:color w:val="000000"/>
          <w:sz w:val="22"/>
          <w:szCs w:val="22"/>
        </w:rPr>
      </w:pPr>
    </w:p>
    <w:p w14:paraId="41393BD6" w14:textId="77777777" w:rsidR="008A6D32" w:rsidRPr="0082194A" w:rsidRDefault="008A6D32" w:rsidP="008A6D32">
      <w:pPr>
        <w:pStyle w:val="NormalWeb"/>
        <w:rPr>
          <w:rFonts w:ascii="Arial" w:hAnsi="Arial" w:cs="Arial"/>
          <w:color w:val="000000"/>
          <w:sz w:val="22"/>
          <w:szCs w:val="22"/>
        </w:rPr>
      </w:pPr>
    </w:p>
    <w:p w14:paraId="6E41165F" w14:textId="77777777" w:rsidR="000264A1" w:rsidRPr="0082194A" w:rsidRDefault="000264A1" w:rsidP="000264A1">
      <w:pPr>
        <w:rPr>
          <w:rFonts w:ascii="Arial" w:hAnsi="Arial" w:cs="Arial"/>
          <w:sz w:val="22"/>
          <w:szCs w:val="22"/>
        </w:rPr>
      </w:pPr>
    </w:p>
    <w:p w14:paraId="07786E37" w14:textId="77777777" w:rsidR="000264A1" w:rsidRPr="000264A1" w:rsidRDefault="000264A1" w:rsidP="000264A1">
      <w:pPr>
        <w:rPr>
          <w:rFonts w:ascii="Arial" w:hAnsi="Arial" w:cs="Arial"/>
          <w:sz w:val="36"/>
          <w:szCs w:val="36"/>
        </w:rPr>
      </w:pPr>
    </w:p>
    <w:sectPr w:rsidR="000264A1" w:rsidRPr="000264A1">
      <w:footerReference w:type="even"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DD6F8E" w14:textId="77777777" w:rsidR="004535F5" w:rsidRDefault="004535F5" w:rsidP="000264A1">
      <w:pPr>
        <w:spacing w:after="0" w:line="240" w:lineRule="auto"/>
      </w:pPr>
      <w:r>
        <w:separator/>
      </w:r>
    </w:p>
  </w:endnote>
  <w:endnote w:type="continuationSeparator" w:id="0">
    <w:p w14:paraId="63DCFD72" w14:textId="77777777" w:rsidR="004535F5" w:rsidRDefault="004535F5" w:rsidP="00026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3280839"/>
      <w:docPartObj>
        <w:docPartGallery w:val="Page Numbers (Bottom of Page)"/>
        <w:docPartUnique/>
      </w:docPartObj>
    </w:sdtPr>
    <w:sdtContent>
      <w:p w14:paraId="4FDE4EC7" w14:textId="59635FAE" w:rsidR="000264A1" w:rsidRDefault="000264A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3D25C3" w14:textId="77777777" w:rsidR="000264A1" w:rsidRDefault="000264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0438059"/>
      <w:docPartObj>
        <w:docPartGallery w:val="Page Numbers (Bottom of Page)"/>
        <w:docPartUnique/>
      </w:docPartObj>
    </w:sdtPr>
    <w:sdtContent>
      <w:p w14:paraId="686F83AA" w14:textId="6256BCB1" w:rsidR="000264A1" w:rsidRDefault="000264A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0D046D" w14:textId="77777777" w:rsidR="000264A1" w:rsidRDefault="00026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CE4292" w14:textId="77777777" w:rsidR="004535F5" w:rsidRDefault="004535F5" w:rsidP="000264A1">
      <w:pPr>
        <w:spacing w:after="0" w:line="240" w:lineRule="auto"/>
      </w:pPr>
      <w:r>
        <w:separator/>
      </w:r>
    </w:p>
  </w:footnote>
  <w:footnote w:type="continuationSeparator" w:id="0">
    <w:p w14:paraId="3BD83E2B" w14:textId="77777777" w:rsidR="004535F5" w:rsidRDefault="004535F5" w:rsidP="000264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250D41"/>
    <w:multiLevelType w:val="multilevel"/>
    <w:tmpl w:val="41AA7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5C6B07"/>
    <w:multiLevelType w:val="hybridMultilevel"/>
    <w:tmpl w:val="910AC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EE7012"/>
    <w:multiLevelType w:val="multilevel"/>
    <w:tmpl w:val="6F58F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D23564"/>
    <w:multiLevelType w:val="multilevel"/>
    <w:tmpl w:val="FBD27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685943"/>
    <w:multiLevelType w:val="multilevel"/>
    <w:tmpl w:val="7376E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B84694"/>
    <w:multiLevelType w:val="hybridMultilevel"/>
    <w:tmpl w:val="AAD89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BB5241"/>
    <w:multiLevelType w:val="multilevel"/>
    <w:tmpl w:val="8424C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90B6F33"/>
    <w:multiLevelType w:val="hybridMultilevel"/>
    <w:tmpl w:val="75582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21468">
    <w:abstractNumId w:val="6"/>
  </w:num>
  <w:num w:numId="2" w16cid:durableId="798643789">
    <w:abstractNumId w:val="3"/>
  </w:num>
  <w:num w:numId="3" w16cid:durableId="1759279727">
    <w:abstractNumId w:val="1"/>
  </w:num>
  <w:num w:numId="4" w16cid:durableId="1773357967">
    <w:abstractNumId w:val="7"/>
  </w:num>
  <w:num w:numId="5" w16cid:durableId="1498108321">
    <w:abstractNumId w:val="5"/>
  </w:num>
  <w:num w:numId="6" w16cid:durableId="112752193">
    <w:abstractNumId w:val="4"/>
  </w:num>
  <w:num w:numId="7" w16cid:durableId="613371375">
    <w:abstractNumId w:val="0"/>
  </w:num>
  <w:num w:numId="8" w16cid:durableId="53250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4A1"/>
    <w:rsid w:val="00003E51"/>
    <w:rsid w:val="00006109"/>
    <w:rsid w:val="000264A1"/>
    <w:rsid w:val="00060FB4"/>
    <w:rsid w:val="0008184B"/>
    <w:rsid w:val="000A0447"/>
    <w:rsid w:val="000D0705"/>
    <w:rsid w:val="000F1F8B"/>
    <w:rsid w:val="00106B5B"/>
    <w:rsid w:val="00123624"/>
    <w:rsid w:val="00125022"/>
    <w:rsid w:val="001375A7"/>
    <w:rsid w:val="00143E0D"/>
    <w:rsid w:val="0017551A"/>
    <w:rsid w:val="00184DEA"/>
    <w:rsid w:val="001B2FE5"/>
    <w:rsid w:val="001B33A0"/>
    <w:rsid w:val="001C3E81"/>
    <w:rsid w:val="00227A80"/>
    <w:rsid w:val="002406BA"/>
    <w:rsid w:val="002560C2"/>
    <w:rsid w:val="00291989"/>
    <w:rsid w:val="002A377A"/>
    <w:rsid w:val="002B2940"/>
    <w:rsid w:val="00322C94"/>
    <w:rsid w:val="00347792"/>
    <w:rsid w:val="003B07DD"/>
    <w:rsid w:val="003E5149"/>
    <w:rsid w:val="004021DA"/>
    <w:rsid w:val="004245C1"/>
    <w:rsid w:val="004527F4"/>
    <w:rsid w:val="004535F5"/>
    <w:rsid w:val="00464768"/>
    <w:rsid w:val="00482FFC"/>
    <w:rsid w:val="004E66DC"/>
    <w:rsid w:val="004F77B7"/>
    <w:rsid w:val="00502350"/>
    <w:rsid w:val="005029B7"/>
    <w:rsid w:val="00537847"/>
    <w:rsid w:val="00551038"/>
    <w:rsid w:val="00556503"/>
    <w:rsid w:val="0057556F"/>
    <w:rsid w:val="00592F9B"/>
    <w:rsid w:val="005946C9"/>
    <w:rsid w:val="006024C4"/>
    <w:rsid w:val="00637171"/>
    <w:rsid w:val="00644FAD"/>
    <w:rsid w:val="00645C45"/>
    <w:rsid w:val="0066349A"/>
    <w:rsid w:val="00683360"/>
    <w:rsid w:val="00685F1C"/>
    <w:rsid w:val="00690C56"/>
    <w:rsid w:val="00695C30"/>
    <w:rsid w:val="006E75F4"/>
    <w:rsid w:val="006F3EDB"/>
    <w:rsid w:val="006F4C61"/>
    <w:rsid w:val="00722ABC"/>
    <w:rsid w:val="00730C3D"/>
    <w:rsid w:val="00735F00"/>
    <w:rsid w:val="00762647"/>
    <w:rsid w:val="007A1D74"/>
    <w:rsid w:val="007D3CB9"/>
    <w:rsid w:val="0082194A"/>
    <w:rsid w:val="00843325"/>
    <w:rsid w:val="00845163"/>
    <w:rsid w:val="008801C3"/>
    <w:rsid w:val="008A6D32"/>
    <w:rsid w:val="008C3757"/>
    <w:rsid w:val="008C3A46"/>
    <w:rsid w:val="008D3310"/>
    <w:rsid w:val="0094029F"/>
    <w:rsid w:val="0095298E"/>
    <w:rsid w:val="00982D53"/>
    <w:rsid w:val="00983849"/>
    <w:rsid w:val="009F2D67"/>
    <w:rsid w:val="00A0316D"/>
    <w:rsid w:val="00A07CD8"/>
    <w:rsid w:val="00A07DA3"/>
    <w:rsid w:val="00A163B3"/>
    <w:rsid w:val="00A2102A"/>
    <w:rsid w:val="00A37E4B"/>
    <w:rsid w:val="00A40F36"/>
    <w:rsid w:val="00A421CE"/>
    <w:rsid w:val="00A64E13"/>
    <w:rsid w:val="00A71CCA"/>
    <w:rsid w:val="00A72785"/>
    <w:rsid w:val="00AA664F"/>
    <w:rsid w:val="00AC7986"/>
    <w:rsid w:val="00AD0473"/>
    <w:rsid w:val="00AE1F45"/>
    <w:rsid w:val="00B10DEF"/>
    <w:rsid w:val="00B23C16"/>
    <w:rsid w:val="00BB0047"/>
    <w:rsid w:val="00C22309"/>
    <w:rsid w:val="00C602ED"/>
    <w:rsid w:val="00CA2AC6"/>
    <w:rsid w:val="00CA5E41"/>
    <w:rsid w:val="00CD1430"/>
    <w:rsid w:val="00CF12B6"/>
    <w:rsid w:val="00D0035C"/>
    <w:rsid w:val="00D115B4"/>
    <w:rsid w:val="00D310BB"/>
    <w:rsid w:val="00D7390D"/>
    <w:rsid w:val="00E33058"/>
    <w:rsid w:val="00E933AA"/>
    <w:rsid w:val="00EA287D"/>
    <w:rsid w:val="00EB092B"/>
    <w:rsid w:val="00EC5067"/>
    <w:rsid w:val="00F02028"/>
    <w:rsid w:val="00F13CED"/>
    <w:rsid w:val="00F223D6"/>
    <w:rsid w:val="00F22FEB"/>
    <w:rsid w:val="00F4029A"/>
    <w:rsid w:val="00F54F90"/>
    <w:rsid w:val="00F70DD4"/>
    <w:rsid w:val="00F7684F"/>
    <w:rsid w:val="00F82016"/>
    <w:rsid w:val="00F960D8"/>
    <w:rsid w:val="00FB6E9B"/>
    <w:rsid w:val="00FC30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4C6F0"/>
  <w15:chartTrackingRefBased/>
  <w15:docId w15:val="{E173ADD5-576A-441A-A2C8-E2190065C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64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64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4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4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4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4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4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4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4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4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64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4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4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4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4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4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4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4A1"/>
    <w:rPr>
      <w:rFonts w:eastAsiaTheme="majorEastAsia" w:cstheme="majorBidi"/>
      <w:color w:val="272727" w:themeColor="text1" w:themeTint="D8"/>
    </w:rPr>
  </w:style>
  <w:style w:type="paragraph" w:styleId="Title">
    <w:name w:val="Title"/>
    <w:basedOn w:val="Normal"/>
    <w:next w:val="Normal"/>
    <w:link w:val="TitleChar"/>
    <w:uiPriority w:val="10"/>
    <w:qFormat/>
    <w:rsid w:val="000264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4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4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4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4A1"/>
    <w:pPr>
      <w:spacing w:before="160"/>
      <w:jc w:val="center"/>
    </w:pPr>
    <w:rPr>
      <w:i/>
      <w:iCs/>
      <w:color w:val="404040" w:themeColor="text1" w:themeTint="BF"/>
    </w:rPr>
  </w:style>
  <w:style w:type="character" w:customStyle="1" w:styleId="QuoteChar">
    <w:name w:val="Quote Char"/>
    <w:basedOn w:val="DefaultParagraphFont"/>
    <w:link w:val="Quote"/>
    <w:uiPriority w:val="29"/>
    <w:rsid w:val="000264A1"/>
    <w:rPr>
      <w:i/>
      <w:iCs/>
      <w:color w:val="404040" w:themeColor="text1" w:themeTint="BF"/>
    </w:rPr>
  </w:style>
  <w:style w:type="paragraph" w:styleId="ListParagraph">
    <w:name w:val="List Paragraph"/>
    <w:basedOn w:val="Normal"/>
    <w:uiPriority w:val="34"/>
    <w:qFormat/>
    <w:rsid w:val="000264A1"/>
    <w:pPr>
      <w:ind w:left="720"/>
      <w:contextualSpacing/>
    </w:pPr>
  </w:style>
  <w:style w:type="character" w:styleId="IntenseEmphasis">
    <w:name w:val="Intense Emphasis"/>
    <w:basedOn w:val="DefaultParagraphFont"/>
    <w:uiPriority w:val="21"/>
    <w:qFormat/>
    <w:rsid w:val="000264A1"/>
    <w:rPr>
      <w:i/>
      <w:iCs/>
      <w:color w:val="0F4761" w:themeColor="accent1" w:themeShade="BF"/>
    </w:rPr>
  </w:style>
  <w:style w:type="paragraph" w:styleId="IntenseQuote">
    <w:name w:val="Intense Quote"/>
    <w:basedOn w:val="Normal"/>
    <w:next w:val="Normal"/>
    <w:link w:val="IntenseQuoteChar"/>
    <w:uiPriority w:val="30"/>
    <w:qFormat/>
    <w:rsid w:val="000264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4A1"/>
    <w:rPr>
      <w:i/>
      <w:iCs/>
      <w:color w:val="0F4761" w:themeColor="accent1" w:themeShade="BF"/>
    </w:rPr>
  </w:style>
  <w:style w:type="character" w:styleId="IntenseReference">
    <w:name w:val="Intense Reference"/>
    <w:basedOn w:val="DefaultParagraphFont"/>
    <w:uiPriority w:val="32"/>
    <w:qFormat/>
    <w:rsid w:val="000264A1"/>
    <w:rPr>
      <w:b/>
      <w:bCs/>
      <w:smallCaps/>
      <w:color w:val="0F4761" w:themeColor="accent1" w:themeShade="BF"/>
      <w:spacing w:val="5"/>
    </w:rPr>
  </w:style>
  <w:style w:type="character" w:styleId="Strong">
    <w:name w:val="Strong"/>
    <w:basedOn w:val="DefaultParagraphFont"/>
    <w:uiPriority w:val="22"/>
    <w:qFormat/>
    <w:rsid w:val="000264A1"/>
    <w:rPr>
      <w:b/>
      <w:bCs/>
    </w:rPr>
  </w:style>
  <w:style w:type="paragraph" w:styleId="Footer">
    <w:name w:val="footer"/>
    <w:basedOn w:val="Normal"/>
    <w:link w:val="FooterChar"/>
    <w:uiPriority w:val="99"/>
    <w:unhideWhenUsed/>
    <w:rsid w:val="00026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4A1"/>
  </w:style>
  <w:style w:type="character" w:styleId="PageNumber">
    <w:name w:val="page number"/>
    <w:basedOn w:val="DefaultParagraphFont"/>
    <w:uiPriority w:val="99"/>
    <w:semiHidden/>
    <w:unhideWhenUsed/>
    <w:rsid w:val="000264A1"/>
  </w:style>
  <w:style w:type="paragraph" w:styleId="NormalWeb">
    <w:name w:val="Normal (Web)"/>
    <w:basedOn w:val="Normal"/>
    <w:uiPriority w:val="99"/>
    <w:unhideWhenUsed/>
    <w:rsid w:val="008A6D3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A6D32"/>
  </w:style>
  <w:style w:type="paragraph" w:styleId="TOCHeading">
    <w:name w:val="TOC Heading"/>
    <w:basedOn w:val="Heading1"/>
    <w:next w:val="Normal"/>
    <w:uiPriority w:val="39"/>
    <w:unhideWhenUsed/>
    <w:qFormat/>
    <w:rsid w:val="00E33058"/>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E33058"/>
    <w:pPr>
      <w:spacing w:after="100"/>
    </w:pPr>
  </w:style>
  <w:style w:type="character" w:styleId="Hyperlink">
    <w:name w:val="Hyperlink"/>
    <w:basedOn w:val="DefaultParagraphFont"/>
    <w:uiPriority w:val="99"/>
    <w:unhideWhenUsed/>
    <w:rsid w:val="00E33058"/>
    <w:rPr>
      <w:color w:val="467886" w:themeColor="hyperlink"/>
      <w:u w:val="single"/>
    </w:rPr>
  </w:style>
  <w:style w:type="character" w:styleId="CommentReference">
    <w:name w:val="annotation reference"/>
    <w:basedOn w:val="DefaultParagraphFont"/>
    <w:uiPriority w:val="99"/>
    <w:semiHidden/>
    <w:unhideWhenUsed/>
    <w:rsid w:val="00983849"/>
    <w:rPr>
      <w:sz w:val="16"/>
      <w:szCs w:val="16"/>
    </w:rPr>
  </w:style>
  <w:style w:type="paragraph" w:styleId="CommentText">
    <w:name w:val="annotation text"/>
    <w:basedOn w:val="Normal"/>
    <w:link w:val="CommentTextChar"/>
    <w:uiPriority w:val="99"/>
    <w:unhideWhenUsed/>
    <w:rsid w:val="00983849"/>
    <w:pPr>
      <w:spacing w:line="240" w:lineRule="auto"/>
    </w:pPr>
    <w:rPr>
      <w:sz w:val="20"/>
      <w:szCs w:val="20"/>
    </w:rPr>
  </w:style>
  <w:style w:type="character" w:customStyle="1" w:styleId="CommentTextChar">
    <w:name w:val="Comment Text Char"/>
    <w:basedOn w:val="DefaultParagraphFont"/>
    <w:link w:val="CommentText"/>
    <w:uiPriority w:val="99"/>
    <w:rsid w:val="00983849"/>
    <w:rPr>
      <w:sz w:val="20"/>
      <w:szCs w:val="20"/>
    </w:rPr>
  </w:style>
  <w:style w:type="paragraph" w:styleId="CommentSubject">
    <w:name w:val="annotation subject"/>
    <w:basedOn w:val="CommentText"/>
    <w:next w:val="CommentText"/>
    <w:link w:val="CommentSubjectChar"/>
    <w:uiPriority w:val="99"/>
    <w:semiHidden/>
    <w:unhideWhenUsed/>
    <w:rsid w:val="00983849"/>
    <w:rPr>
      <w:b/>
      <w:bCs/>
    </w:rPr>
  </w:style>
  <w:style w:type="character" w:customStyle="1" w:styleId="CommentSubjectChar">
    <w:name w:val="Comment Subject Char"/>
    <w:basedOn w:val="CommentTextChar"/>
    <w:link w:val="CommentSubject"/>
    <w:uiPriority w:val="99"/>
    <w:semiHidden/>
    <w:rsid w:val="00983849"/>
    <w:rPr>
      <w:b/>
      <w:bCs/>
      <w:sz w:val="20"/>
      <w:szCs w:val="20"/>
    </w:rPr>
  </w:style>
  <w:style w:type="character" w:styleId="UnresolvedMention">
    <w:name w:val="Unresolved Mention"/>
    <w:basedOn w:val="DefaultParagraphFont"/>
    <w:uiPriority w:val="99"/>
    <w:semiHidden/>
    <w:unhideWhenUsed/>
    <w:rsid w:val="00D115B4"/>
    <w:rPr>
      <w:color w:val="605E5C"/>
      <w:shd w:val="clear" w:color="auto" w:fill="E1DFDD"/>
    </w:rPr>
  </w:style>
  <w:style w:type="character" w:styleId="FollowedHyperlink">
    <w:name w:val="FollowedHyperlink"/>
    <w:basedOn w:val="DefaultParagraphFont"/>
    <w:uiPriority w:val="99"/>
    <w:semiHidden/>
    <w:unhideWhenUsed/>
    <w:rsid w:val="00D115B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96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ngland.nhs.uk/?utm_source=copilot.com" TargetMode="External"/><Relationship Id="rId18" Type="http://schemas.openxmlformats.org/officeDocument/2006/relationships/hyperlink" Target="https://www.bing.com/search?q=%22https%3A%2F%2Fdoi.org%2F10.1192%2Fbjp.2022.45%22&amp;utm_source=copilot.com" TargetMode="External"/><Relationship Id="rId26" Type="http://schemas.openxmlformats.org/officeDocument/2006/relationships/hyperlink" Target="https://www.6nice.org.uk/guidance/cg178" TargetMode="External"/><Relationship Id="rId3" Type="http://schemas.openxmlformats.org/officeDocument/2006/relationships/styles" Target="styles.xml"/><Relationship Id="rId21" Type="http://schemas.openxmlformats.org/officeDocument/2006/relationships/hyperlink" Target="https://doi.org/10.1038/s41380-019-0428-y" TargetMode="External"/><Relationship Id="rId7" Type="http://schemas.openxmlformats.org/officeDocument/2006/relationships/endnotes" Target="endnotes.xml"/><Relationship Id="rId12" Type="http://schemas.openxmlformats.org/officeDocument/2006/relationships/hyperlink" Target="https://doi.org/10.1111/pcn.12792" TargetMode="External"/><Relationship Id="rId17" Type="http://schemas.openxmlformats.org/officeDocument/2006/relationships/hyperlink" Target="https://doi.org/10.1177/00332941251335596" TargetMode="External"/><Relationship Id="rId25" Type="http://schemas.openxmlformats.org/officeDocument/2006/relationships/hyperlink" Target="https://doi.org/10.1192/bjo.2026.10981"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111/pcn.12792" TargetMode="External"/><Relationship Id="rId20" Type="http://schemas.openxmlformats.org/officeDocument/2006/relationships/hyperlink" Target="https://doi.org/10.1176/appi.focus.12.2.192" TargetMode="External"/><Relationship Id="rId29" Type="http://schemas.openxmlformats.org/officeDocument/2006/relationships/hyperlink" Target="https://doi.org/10.1038/s41380-017-0010-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2/14651858.CD013541.pub2" TargetMode="External"/><Relationship Id="rId24" Type="http://schemas.openxmlformats.org/officeDocument/2006/relationships/hyperlink" Target="https://doi.org/10.3390/ijerph15050860"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uk/?utm_source=copilot.com" TargetMode="External"/><Relationship Id="rId23" Type="http://schemas.openxmlformats.org/officeDocument/2006/relationships/hyperlink" Target="https://doi.org/10.1038/ng.3725" TargetMode="External"/><Relationship Id="rId28" Type="http://schemas.openxmlformats.org/officeDocument/2006/relationships/hyperlink" Target="https://doi.org/10.1017/S0033291709991309" TargetMode="External"/><Relationship Id="rId10" Type="http://schemas.openxmlformats.org/officeDocument/2006/relationships/hyperlink" Target="https://doi.org/10.1093/schbul/sbj014" TargetMode="External"/><Relationship Id="rId19" Type="http://schemas.openxmlformats.org/officeDocument/2006/relationships/hyperlink" Target="https://doi.org/10.1192/bjp.bp.110.083733"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doi.org/10.11606/s1518-8787.2020054002120" TargetMode="External"/><Relationship Id="rId14" Type="http://schemas.openxmlformats.org/officeDocument/2006/relationships/hyperlink" Target="https://doi.org/10.1353/ppp.2019.0026" TargetMode="External"/><Relationship Id="rId22" Type="http://schemas.openxmlformats.org/officeDocument/2006/relationships/hyperlink" Target="https://doi.org/10.1176/appi.ajp.2014.14020191" TargetMode="External"/><Relationship Id="rId27" Type="http://schemas.openxmlformats.org/officeDocument/2006/relationships/hyperlink" Target="https://doi.org/10.1002/wps.20669" TargetMode="External"/><Relationship Id="rId30" Type="http://schemas.openxmlformats.org/officeDocument/2006/relationships/footer" Target="footer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55572A-2621-4E5B-940C-562138C09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3093</Words>
  <Characters>17632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Chibuzor Nnadi (2331428)</cp:lastModifiedBy>
  <cp:revision>7</cp:revision>
  <dcterms:created xsi:type="dcterms:W3CDTF">2024-10-03T20:20:00Z</dcterms:created>
  <dcterms:modified xsi:type="dcterms:W3CDTF">2026-08-14T00:24:00Z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1c5497ac-09cb-48d4-9c23-1f46753ba859</vt:lpwstr>
  </property>
</Properties>
</file>