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A44E6" w14:textId="77777777" w:rsidR="00A16DD1" w:rsidRPr="00AA7664" w:rsidRDefault="00A16DD1" w:rsidP="00A16DD1">
      <w:pPr>
        <w:pStyle w:val="Title"/>
        <w:jc w:val="center"/>
        <w:rPr>
          <w:rFonts w:ascii="Times New Roman" w:hAnsi="Times New Roman" w:cs="Times New Roman"/>
          <w:sz w:val="40"/>
          <w:szCs w:val="40"/>
        </w:rPr>
      </w:pPr>
    </w:p>
    <w:p w14:paraId="17F80C67" w14:textId="620491B1" w:rsidR="00AB6D12" w:rsidRPr="00AA7664" w:rsidRDefault="000C22F1" w:rsidP="000C22F1">
      <w:pPr>
        <w:pStyle w:val="Title"/>
        <w:rPr>
          <w:rFonts w:ascii="Times New Roman" w:hAnsi="Times New Roman" w:cs="Times New Roman"/>
          <w:sz w:val="40"/>
          <w:szCs w:val="40"/>
        </w:rPr>
      </w:pPr>
      <w:r>
        <w:rPr>
          <w:rFonts w:ascii="Times New Roman" w:hAnsi="Times New Roman" w:cs="Times New Roman"/>
          <w:sz w:val="40"/>
          <w:szCs w:val="40"/>
        </w:rPr>
        <w:t xml:space="preserve">      </w:t>
      </w:r>
      <w:r w:rsidR="00A16DD1" w:rsidRPr="00AA7664">
        <w:rPr>
          <w:rFonts w:ascii="Times New Roman" w:hAnsi="Times New Roman" w:cs="Times New Roman"/>
          <w:sz w:val="40"/>
          <w:szCs w:val="40"/>
        </w:rPr>
        <w:t>BMIH5007-Financial Management for the Hotel Industry</w:t>
      </w:r>
    </w:p>
    <w:p w14:paraId="02F0973B" w14:textId="62E669CE" w:rsidR="00A16DD1" w:rsidRPr="00AA7664" w:rsidRDefault="00A16DD1" w:rsidP="00A16DD1"/>
    <w:p w14:paraId="35368613" w14:textId="69181334" w:rsidR="006F2A97" w:rsidRPr="006F2A97" w:rsidRDefault="003E5B6B" w:rsidP="006F2A97">
      <w:pPr>
        <w:rPr>
          <w:rFonts w:ascii="Arial Narrow" w:hAnsi="Arial Narrow"/>
          <w:sz w:val="28"/>
          <w:szCs w:val="28"/>
        </w:rPr>
      </w:pPr>
      <w:r>
        <w:t xml:space="preserve">                                  </w:t>
      </w:r>
      <w:r w:rsidR="006F2A97">
        <w:t xml:space="preserve">              </w:t>
      </w:r>
      <w:bookmarkStart w:id="0" w:name="_Toc103611336"/>
      <w:r w:rsidR="006F2A97" w:rsidRPr="006F2A97">
        <w:rPr>
          <w:rFonts w:ascii="Arial Narrow" w:hAnsi="Arial Narrow"/>
          <w:sz w:val="28"/>
          <w:szCs w:val="28"/>
        </w:rPr>
        <w:t>Student Name: Eshrat</w:t>
      </w:r>
      <w:r w:rsidR="001F4DCD">
        <w:rPr>
          <w:rFonts w:ascii="Arial Narrow" w:hAnsi="Arial Narrow"/>
          <w:sz w:val="28"/>
          <w:szCs w:val="28"/>
        </w:rPr>
        <w:t xml:space="preserve"> Choudhury</w:t>
      </w:r>
    </w:p>
    <w:p w14:paraId="5CCAEF14" w14:textId="0B6D365F" w:rsidR="006F2A97" w:rsidRPr="006F2A97" w:rsidRDefault="006F2A97" w:rsidP="006F2A97">
      <w:pPr>
        <w:rPr>
          <w:rFonts w:ascii="Arial Narrow" w:hAnsi="Arial Narrow"/>
        </w:rPr>
      </w:pPr>
      <w:r w:rsidRPr="006F2A97">
        <w:rPr>
          <w:rFonts w:ascii="Arial Narrow" w:hAnsi="Arial Narrow"/>
          <w:sz w:val="28"/>
          <w:szCs w:val="28"/>
        </w:rPr>
        <w:t xml:space="preserve">               </w:t>
      </w:r>
      <w:r>
        <w:rPr>
          <w:rFonts w:ascii="Arial Narrow" w:hAnsi="Arial Narrow"/>
          <w:sz w:val="28"/>
          <w:szCs w:val="28"/>
        </w:rPr>
        <w:t xml:space="preserve">                              </w:t>
      </w:r>
      <w:r w:rsidRPr="006F2A97">
        <w:rPr>
          <w:rFonts w:ascii="Arial Narrow" w:hAnsi="Arial Narrow"/>
          <w:sz w:val="28"/>
          <w:szCs w:val="28"/>
        </w:rPr>
        <w:t>Student Number: 2017479</w:t>
      </w:r>
    </w:p>
    <w:p w14:paraId="7042C667" w14:textId="669D2B6F" w:rsidR="006F2A97" w:rsidRPr="006F2A97" w:rsidRDefault="006F2A97" w:rsidP="006F2A97">
      <w:pPr>
        <w:rPr>
          <w:rFonts w:ascii="Arial Narrow" w:hAnsi="Arial Narrow"/>
          <w:sz w:val="28"/>
          <w:szCs w:val="28"/>
        </w:rPr>
      </w:pPr>
      <w:r w:rsidRPr="006F2A97">
        <w:rPr>
          <w:rFonts w:ascii="Arial Narrow" w:hAnsi="Arial Narrow"/>
          <w:sz w:val="28"/>
          <w:szCs w:val="28"/>
        </w:rPr>
        <w:t xml:space="preserve">                 </w:t>
      </w:r>
      <w:r>
        <w:rPr>
          <w:rFonts w:ascii="Arial Narrow" w:hAnsi="Arial Narrow"/>
          <w:sz w:val="28"/>
          <w:szCs w:val="28"/>
        </w:rPr>
        <w:t xml:space="preserve">                              </w:t>
      </w:r>
      <w:r w:rsidRPr="006F2A97">
        <w:rPr>
          <w:rFonts w:ascii="Arial Narrow" w:hAnsi="Arial Narrow"/>
          <w:sz w:val="28"/>
          <w:szCs w:val="28"/>
        </w:rPr>
        <w:t>Module:  BMIH500</w:t>
      </w:r>
      <w:r w:rsidR="00267BFF">
        <w:rPr>
          <w:rFonts w:ascii="Arial Narrow" w:hAnsi="Arial Narrow"/>
          <w:sz w:val="28"/>
          <w:szCs w:val="28"/>
        </w:rPr>
        <w:t>7</w:t>
      </w:r>
    </w:p>
    <w:p w14:paraId="4CC24C16" w14:textId="7CDFBC76" w:rsidR="006F2A97" w:rsidRPr="006F2A97" w:rsidRDefault="006F2A97" w:rsidP="006F2A97">
      <w:pPr>
        <w:rPr>
          <w:rFonts w:ascii="Arial Narrow" w:hAnsi="Arial Narrow"/>
          <w:sz w:val="28"/>
          <w:szCs w:val="28"/>
        </w:rPr>
      </w:pPr>
      <w:r w:rsidRPr="006F2A97">
        <w:rPr>
          <w:rFonts w:ascii="Arial Narrow" w:hAnsi="Arial Narrow"/>
          <w:sz w:val="28"/>
          <w:szCs w:val="28"/>
        </w:rPr>
        <w:t xml:space="preserve">               </w:t>
      </w:r>
      <w:r>
        <w:rPr>
          <w:rFonts w:ascii="Arial Narrow" w:hAnsi="Arial Narrow"/>
          <w:sz w:val="28"/>
          <w:szCs w:val="28"/>
        </w:rPr>
        <w:t xml:space="preserve">                            </w:t>
      </w:r>
      <w:r w:rsidR="00267BFF">
        <w:rPr>
          <w:rFonts w:ascii="Arial Narrow" w:hAnsi="Arial Narrow"/>
          <w:sz w:val="28"/>
          <w:szCs w:val="28"/>
        </w:rPr>
        <w:t xml:space="preserve">  </w:t>
      </w:r>
      <w:r w:rsidRPr="006F2A97">
        <w:rPr>
          <w:rFonts w:ascii="Arial Narrow" w:hAnsi="Arial Narrow"/>
          <w:sz w:val="28"/>
          <w:szCs w:val="28"/>
        </w:rPr>
        <w:t xml:space="preserve"> Lecturer Name: </w:t>
      </w:r>
      <w:r w:rsidR="00267BFF">
        <w:rPr>
          <w:rFonts w:ascii="Arial Narrow" w:hAnsi="Arial Narrow"/>
          <w:sz w:val="28"/>
          <w:szCs w:val="28"/>
        </w:rPr>
        <w:t>Dale Clarke</w:t>
      </w:r>
    </w:p>
    <w:p w14:paraId="3D3C1186" w14:textId="54EDCCC5" w:rsidR="006F2A97" w:rsidRDefault="006F2A97" w:rsidP="006F2A97"/>
    <w:p w14:paraId="741BFAC1" w14:textId="77777777" w:rsidR="006F2A97" w:rsidRDefault="006F2A97" w:rsidP="006F2A97"/>
    <w:p w14:paraId="08892AE6" w14:textId="77777777" w:rsidR="006F2A97" w:rsidRDefault="006F2A97" w:rsidP="006F2A97"/>
    <w:p w14:paraId="6E456AB3" w14:textId="4811F8A6" w:rsidR="00A16DD1" w:rsidRPr="001F4DCD" w:rsidRDefault="00A16DD1" w:rsidP="006F2A97">
      <w:pPr>
        <w:rPr>
          <w:color w:val="5B9BD5" w:themeColor="accent5"/>
          <w:sz w:val="32"/>
          <w:szCs w:val="32"/>
        </w:rPr>
      </w:pPr>
      <w:r w:rsidRPr="001F4DCD">
        <w:rPr>
          <w:color w:val="5B9BD5" w:themeColor="accent5"/>
          <w:sz w:val="32"/>
          <w:szCs w:val="32"/>
        </w:rPr>
        <w:t>Introduction</w:t>
      </w:r>
      <w:bookmarkEnd w:id="0"/>
    </w:p>
    <w:p w14:paraId="196878F9" w14:textId="74DAE867" w:rsidR="00153B42" w:rsidRPr="00AA7664" w:rsidRDefault="005002AC" w:rsidP="00153B42">
      <w:pPr>
        <w:jc w:val="both"/>
      </w:pPr>
      <w:r w:rsidRPr="00AA7664">
        <w:t xml:space="preserve">Horizontal analysis is a method for examining financial statements that involves comparing specific financial data from one accounting period with data from previous accounting periods. This type of study is also known as a cross-period analysis. Analysts make use of this technique to investigate historical trends (Horizontal Analysis, 2022). In other words, one of the measuring tools that is used to </w:t>
      </w:r>
      <w:r w:rsidR="00AA7664" w:rsidRPr="00AA7664">
        <w:t>analyse</w:t>
      </w:r>
      <w:r w:rsidRPr="00AA7664">
        <w:t xml:space="preserve"> the performance of an organization is called a horizontal analysis. A horizontal analysis is performed whenever historical data, such as ratios or line items, are </w:t>
      </w:r>
      <w:r w:rsidR="00AA7664" w:rsidRPr="00AA7664">
        <w:t>analysed</w:t>
      </w:r>
      <w:r w:rsidRPr="00AA7664">
        <w:t xml:space="preserve"> over several different accounting periods. In a horizontal analysis, absolute or percentage comparisons might be employed, with the baseline amount expressed as one hundred percent and successive values represented as percentages of the baseline quantity. An additional name for this notion is the base-year analysis</w:t>
      </w:r>
      <w:r w:rsidR="00153B42" w:rsidRPr="00AA7664">
        <w:t xml:space="preserve"> (</w:t>
      </w:r>
      <w:proofErr w:type="spellStart"/>
      <w:r w:rsidR="00153B42" w:rsidRPr="00AA7664">
        <w:t>Tuovila</w:t>
      </w:r>
      <w:proofErr w:type="spellEnd"/>
      <w:r w:rsidR="00153B42" w:rsidRPr="00AA7664">
        <w:t>, 2021)</w:t>
      </w:r>
      <w:r w:rsidRPr="00AA7664">
        <w:t xml:space="preserve">. As part of this study, we will investigate Hilton Worldwide Holdings Inc.'s (HLT) income statement and balance sheet for the years 2020 and 2019, and we will evaluate the absolute and percentage horizontal ratio changes between the two sets of financial statements. After this, we will discuss the importance of ratio analysis when it comes to choosing decisions. In addition to this, we will discuss the constraints of ratio analysis, </w:t>
      </w:r>
      <w:r w:rsidRPr="00AA7664">
        <w:lastRenderedPageBreak/>
        <w:t xml:space="preserve">including the reasons why hotel management </w:t>
      </w:r>
      <w:r w:rsidR="00153B42" w:rsidRPr="00AA7664">
        <w:t>must</w:t>
      </w:r>
      <w:r w:rsidRPr="00AA7664">
        <w:t xml:space="preserve"> be knowledgeable of ratios and the changes in those ratios </w:t>
      </w:r>
      <w:r w:rsidR="00153B42" w:rsidRPr="00AA7664">
        <w:t>to</w:t>
      </w:r>
      <w:r w:rsidRPr="00AA7664">
        <w:t xml:space="preserve"> assess the financial statements.</w:t>
      </w:r>
    </w:p>
    <w:p w14:paraId="4FBA3C26" w14:textId="2044B14D" w:rsidR="00153B42" w:rsidRPr="00AA7664" w:rsidRDefault="00153B42" w:rsidP="00267BFF">
      <w:bookmarkStart w:id="1" w:name="_Toc103611337"/>
      <w:r w:rsidRPr="00AA7664">
        <w:t xml:space="preserve">Task:1 Horizontal </w:t>
      </w:r>
      <w:r w:rsidR="00021C8B" w:rsidRPr="00AA7664">
        <w:t xml:space="preserve">Ratio </w:t>
      </w:r>
      <w:r w:rsidRPr="00AA7664">
        <w:t>Analysis</w:t>
      </w:r>
      <w:bookmarkEnd w:id="1"/>
    </w:p>
    <w:p w14:paraId="746478FE" w14:textId="5F457C26" w:rsidR="007D7919" w:rsidRPr="00AA7664" w:rsidRDefault="007D7919" w:rsidP="009D0B18">
      <w:pPr>
        <w:pStyle w:val="Heading2"/>
        <w:rPr>
          <w:rFonts w:cs="Times New Roman"/>
        </w:rPr>
      </w:pPr>
      <w:bookmarkStart w:id="2" w:name="_Toc103611338"/>
      <w:r w:rsidRPr="00AA7664">
        <w:rPr>
          <w:rFonts w:cs="Times New Roman"/>
        </w:rPr>
        <w:t>Income Statement Analysis</w:t>
      </w:r>
      <w:bookmarkEnd w:id="2"/>
    </w:p>
    <w:p w14:paraId="1F394F5A" w14:textId="67459B52" w:rsidR="0053260F" w:rsidRPr="00AA7664" w:rsidRDefault="0053260F" w:rsidP="009D0B18">
      <w:r w:rsidRPr="00AA7664">
        <w:t>The following table shows the horizontal analysis of the Income statement of Hilton Worldwide Holdings Inc. (HLT) between 2020 and 2019.</w:t>
      </w:r>
    </w:p>
    <w:tbl>
      <w:tblPr>
        <w:tblW w:w="9300" w:type="dxa"/>
        <w:tblLook w:val="04A0" w:firstRow="1" w:lastRow="0" w:firstColumn="1" w:lastColumn="0" w:noHBand="0" w:noVBand="1"/>
      </w:tblPr>
      <w:tblGrid>
        <w:gridCol w:w="4067"/>
        <w:gridCol w:w="1454"/>
        <w:gridCol w:w="1454"/>
        <w:gridCol w:w="1169"/>
        <w:gridCol w:w="1156"/>
      </w:tblGrid>
      <w:tr w:rsidR="0053260F" w:rsidRPr="00AA7664" w14:paraId="485A685A" w14:textId="77777777" w:rsidTr="0053260F">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F0047"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Income statement 2019 &amp; 2020</w:t>
            </w:r>
          </w:p>
        </w:tc>
      </w:tr>
      <w:tr w:rsidR="0053260F" w:rsidRPr="00AA7664" w14:paraId="03625220" w14:textId="77777777" w:rsidTr="0053260F">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22640"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Hilton Worldwide Holdings Inc. (HLT)</w:t>
            </w:r>
          </w:p>
        </w:tc>
      </w:tr>
      <w:tr w:rsidR="0053260F" w:rsidRPr="00AA7664" w14:paraId="7ECA59D1"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6DF5462D"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 </w:t>
            </w:r>
          </w:p>
        </w:tc>
        <w:tc>
          <w:tcPr>
            <w:tcW w:w="1454" w:type="dxa"/>
            <w:tcBorders>
              <w:top w:val="nil"/>
              <w:left w:val="nil"/>
              <w:bottom w:val="single" w:sz="4" w:space="0" w:color="auto"/>
              <w:right w:val="single" w:sz="4" w:space="0" w:color="auto"/>
            </w:tcBorders>
            <w:shd w:val="clear" w:color="auto" w:fill="auto"/>
            <w:noWrap/>
            <w:vAlign w:val="bottom"/>
            <w:hideMark/>
          </w:tcPr>
          <w:p w14:paraId="75922128"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2020</w:t>
            </w:r>
          </w:p>
        </w:tc>
        <w:tc>
          <w:tcPr>
            <w:tcW w:w="1454" w:type="dxa"/>
            <w:tcBorders>
              <w:top w:val="nil"/>
              <w:left w:val="nil"/>
              <w:bottom w:val="single" w:sz="4" w:space="0" w:color="auto"/>
              <w:right w:val="single" w:sz="4" w:space="0" w:color="auto"/>
            </w:tcBorders>
            <w:shd w:val="clear" w:color="auto" w:fill="auto"/>
            <w:noWrap/>
            <w:vAlign w:val="bottom"/>
            <w:hideMark/>
          </w:tcPr>
          <w:p w14:paraId="020F02A2"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2019</w:t>
            </w:r>
          </w:p>
        </w:tc>
        <w:tc>
          <w:tcPr>
            <w:tcW w:w="1169" w:type="dxa"/>
            <w:tcBorders>
              <w:top w:val="nil"/>
              <w:left w:val="nil"/>
              <w:bottom w:val="single" w:sz="4" w:space="0" w:color="auto"/>
              <w:right w:val="single" w:sz="4" w:space="0" w:color="auto"/>
            </w:tcBorders>
            <w:shd w:val="clear" w:color="auto" w:fill="auto"/>
            <w:noWrap/>
            <w:vAlign w:val="bottom"/>
            <w:hideMark/>
          </w:tcPr>
          <w:p w14:paraId="14E4A126"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Change</w:t>
            </w:r>
          </w:p>
        </w:tc>
        <w:tc>
          <w:tcPr>
            <w:tcW w:w="1156" w:type="dxa"/>
            <w:tcBorders>
              <w:top w:val="nil"/>
              <w:left w:val="nil"/>
              <w:bottom w:val="single" w:sz="4" w:space="0" w:color="auto"/>
              <w:right w:val="single" w:sz="4" w:space="0" w:color="auto"/>
            </w:tcBorders>
            <w:shd w:val="clear" w:color="auto" w:fill="auto"/>
            <w:noWrap/>
            <w:vAlign w:val="bottom"/>
            <w:hideMark/>
          </w:tcPr>
          <w:p w14:paraId="2206ED4D"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%Change</w:t>
            </w:r>
          </w:p>
        </w:tc>
      </w:tr>
      <w:tr w:rsidR="0053260F" w:rsidRPr="00AA7664" w14:paraId="2AD887CC"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33E4A5A1"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Fiscal Year Ends</w:t>
            </w:r>
          </w:p>
        </w:tc>
        <w:tc>
          <w:tcPr>
            <w:tcW w:w="1454" w:type="dxa"/>
            <w:tcBorders>
              <w:top w:val="nil"/>
              <w:left w:val="nil"/>
              <w:bottom w:val="single" w:sz="4" w:space="0" w:color="auto"/>
              <w:right w:val="single" w:sz="4" w:space="0" w:color="auto"/>
            </w:tcBorders>
            <w:shd w:val="clear" w:color="auto" w:fill="auto"/>
            <w:noWrap/>
            <w:vAlign w:val="bottom"/>
            <w:hideMark/>
          </w:tcPr>
          <w:p w14:paraId="65B2F152"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31/12/2021</w:t>
            </w:r>
          </w:p>
        </w:tc>
        <w:tc>
          <w:tcPr>
            <w:tcW w:w="1454" w:type="dxa"/>
            <w:tcBorders>
              <w:top w:val="nil"/>
              <w:left w:val="nil"/>
              <w:bottom w:val="single" w:sz="4" w:space="0" w:color="auto"/>
              <w:right w:val="single" w:sz="4" w:space="0" w:color="auto"/>
            </w:tcBorders>
            <w:shd w:val="clear" w:color="auto" w:fill="auto"/>
            <w:noWrap/>
            <w:vAlign w:val="bottom"/>
            <w:hideMark/>
          </w:tcPr>
          <w:p w14:paraId="1CE0BCD8"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31/12/2020</w:t>
            </w:r>
          </w:p>
        </w:tc>
        <w:tc>
          <w:tcPr>
            <w:tcW w:w="1169" w:type="dxa"/>
            <w:tcBorders>
              <w:top w:val="nil"/>
              <w:left w:val="nil"/>
              <w:bottom w:val="single" w:sz="4" w:space="0" w:color="auto"/>
              <w:right w:val="single" w:sz="4" w:space="0" w:color="auto"/>
            </w:tcBorders>
            <w:shd w:val="clear" w:color="auto" w:fill="auto"/>
            <w:noWrap/>
            <w:vAlign w:val="bottom"/>
            <w:hideMark/>
          </w:tcPr>
          <w:p w14:paraId="74B96D14"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 </w:t>
            </w:r>
          </w:p>
        </w:tc>
        <w:tc>
          <w:tcPr>
            <w:tcW w:w="1156" w:type="dxa"/>
            <w:tcBorders>
              <w:top w:val="nil"/>
              <w:left w:val="nil"/>
              <w:bottom w:val="single" w:sz="4" w:space="0" w:color="auto"/>
              <w:right w:val="single" w:sz="4" w:space="0" w:color="auto"/>
            </w:tcBorders>
            <w:shd w:val="clear" w:color="auto" w:fill="auto"/>
            <w:noWrap/>
            <w:vAlign w:val="bottom"/>
            <w:hideMark/>
          </w:tcPr>
          <w:p w14:paraId="089A8477"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 </w:t>
            </w:r>
          </w:p>
        </w:tc>
      </w:tr>
      <w:tr w:rsidR="0053260F" w:rsidRPr="00AA7664" w14:paraId="6E553CB9"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4FDE6A49"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Sales</w:t>
            </w:r>
          </w:p>
        </w:tc>
        <w:tc>
          <w:tcPr>
            <w:tcW w:w="1454" w:type="dxa"/>
            <w:tcBorders>
              <w:top w:val="nil"/>
              <w:left w:val="nil"/>
              <w:bottom w:val="single" w:sz="4" w:space="0" w:color="auto"/>
              <w:right w:val="single" w:sz="4" w:space="0" w:color="auto"/>
            </w:tcBorders>
            <w:shd w:val="clear" w:color="auto" w:fill="auto"/>
            <w:noWrap/>
            <w:vAlign w:val="bottom"/>
            <w:hideMark/>
          </w:tcPr>
          <w:p w14:paraId="22A04FCF"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4307000</w:t>
            </w:r>
          </w:p>
        </w:tc>
        <w:tc>
          <w:tcPr>
            <w:tcW w:w="1454" w:type="dxa"/>
            <w:tcBorders>
              <w:top w:val="nil"/>
              <w:left w:val="nil"/>
              <w:bottom w:val="single" w:sz="4" w:space="0" w:color="auto"/>
              <w:right w:val="single" w:sz="4" w:space="0" w:color="auto"/>
            </w:tcBorders>
            <w:shd w:val="clear" w:color="auto" w:fill="auto"/>
            <w:noWrap/>
            <w:vAlign w:val="bottom"/>
            <w:hideMark/>
          </w:tcPr>
          <w:p w14:paraId="7B227124"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9452000</w:t>
            </w:r>
          </w:p>
        </w:tc>
        <w:tc>
          <w:tcPr>
            <w:tcW w:w="1169" w:type="dxa"/>
            <w:tcBorders>
              <w:top w:val="nil"/>
              <w:left w:val="nil"/>
              <w:bottom w:val="single" w:sz="4" w:space="0" w:color="auto"/>
              <w:right w:val="single" w:sz="4" w:space="0" w:color="auto"/>
            </w:tcBorders>
            <w:shd w:val="clear" w:color="auto" w:fill="auto"/>
            <w:noWrap/>
            <w:vAlign w:val="bottom"/>
            <w:hideMark/>
          </w:tcPr>
          <w:p w14:paraId="735B7413"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-5145000</w:t>
            </w:r>
          </w:p>
        </w:tc>
        <w:tc>
          <w:tcPr>
            <w:tcW w:w="1156" w:type="dxa"/>
            <w:tcBorders>
              <w:top w:val="nil"/>
              <w:left w:val="nil"/>
              <w:bottom w:val="single" w:sz="4" w:space="0" w:color="auto"/>
              <w:right w:val="single" w:sz="4" w:space="0" w:color="auto"/>
            </w:tcBorders>
            <w:shd w:val="clear" w:color="auto" w:fill="auto"/>
            <w:noWrap/>
            <w:vAlign w:val="bottom"/>
            <w:hideMark/>
          </w:tcPr>
          <w:p w14:paraId="168102CD" w14:textId="56AB12E8"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-54</w:t>
            </w:r>
          </w:p>
        </w:tc>
      </w:tr>
      <w:tr w:rsidR="0053260F" w:rsidRPr="00AA7664" w14:paraId="321E0AAC"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570785A2"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Cost of Goods Sold</w:t>
            </w:r>
          </w:p>
        </w:tc>
        <w:tc>
          <w:tcPr>
            <w:tcW w:w="1454" w:type="dxa"/>
            <w:tcBorders>
              <w:top w:val="nil"/>
              <w:left w:val="nil"/>
              <w:bottom w:val="single" w:sz="4" w:space="0" w:color="auto"/>
              <w:right w:val="single" w:sz="4" w:space="0" w:color="auto"/>
            </w:tcBorders>
            <w:shd w:val="clear" w:color="auto" w:fill="auto"/>
            <w:noWrap/>
            <w:vAlign w:val="bottom"/>
            <w:hideMark/>
          </w:tcPr>
          <w:p w14:paraId="569E7E94"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3724000</w:t>
            </w:r>
          </w:p>
        </w:tc>
        <w:tc>
          <w:tcPr>
            <w:tcW w:w="1454" w:type="dxa"/>
            <w:tcBorders>
              <w:top w:val="nil"/>
              <w:left w:val="nil"/>
              <w:bottom w:val="single" w:sz="4" w:space="0" w:color="auto"/>
              <w:right w:val="single" w:sz="4" w:space="0" w:color="auto"/>
            </w:tcBorders>
            <w:shd w:val="clear" w:color="auto" w:fill="auto"/>
            <w:noWrap/>
            <w:vAlign w:val="bottom"/>
            <w:hideMark/>
          </w:tcPr>
          <w:p w14:paraId="196ACEBB"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7017000</w:t>
            </w:r>
          </w:p>
        </w:tc>
        <w:tc>
          <w:tcPr>
            <w:tcW w:w="1169" w:type="dxa"/>
            <w:tcBorders>
              <w:top w:val="nil"/>
              <w:left w:val="nil"/>
              <w:bottom w:val="single" w:sz="4" w:space="0" w:color="auto"/>
              <w:right w:val="single" w:sz="4" w:space="0" w:color="auto"/>
            </w:tcBorders>
            <w:shd w:val="clear" w:color="auto" w:fill="auto"/>
            <w:noWrap/>
            <w:vAlign w:val="bottom"/>
            <w:hideMark/>
          </w:tcPr>
          <w:p w14:paraId="3189A30B"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-3293000</w:t>
            </w:r>
          </w:p>
        </w:tc>
        <w:tc>
          <w:tcPr>
            <w:tcW w:w="1156" w:type="dxa"/>
            <w:tcBorders>
              <w:top w:val="nil"/>
              <w:left w:val="nil"/>
              <w:bottom w:val="single" w:sz="4" w:space="0" w:color="auto"/>
              <w:right w:val="single" w:sz="4" w:space="0" w:color="auto"/>
            </w:tcBorders>
            <w:shd w:val="clear" w:color="auto" w:fill="auto"/>
            <w:noWrap/>
            <w:vAlign w:val="bottom"/>
            <w:hideMark/>
          </w:tcPr>
          <w:p w14:paraId="08409EF0" w14:textId="0836672B"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-4</w:t>
            </w:r>
            <w:r w:rsidR="0062287B">
              <w:rPr>
                <w:rFonts w:eastAsia="Times New Roman"/>
                <w:color w:val="000000"/>
                <w:sz w:val="22"/>
                <w:szCs w:val="22"/>
              </w:rPr>
              <w:t>7</w:t>
            </w:r>
          </w:p>
        </w:tc>
      </w:tr>
      <w:tr w:rsidR="0053260F" w:rsidRPr="00AA7664" w14:paraId="28259C70"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458C25C7"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Gross Profit</w:t>
            </w:r>
          </w:p>
        </w:tc>
        <w:tc>
          <w:tcPr>
            <w:tcW w:w="1454" w:type="dxa"/>
            <w:tcBorders>
              <w:top w:val="nil"/>
              <w:left w:val="nil"/>
              <w:bottom w:val="single" w:sz="4" w:space="0" w:color="auto"/>
              <w:right w:val="single" w:sz="4" w:space="0" w:color="auto"/>
            </w:tcBorders>
            <w:shd w:val="clear" w:color="auto" w:fill="auto"/>
            <w:noWrap/>
            <w:vAlign w:val="bottom"/>
            <w:hideMark/>
          </w:tcPr>
          <w:p w14:paraId="2C920D19"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583000</w:t>
            </w:r>
          </w:p>
        </w:tc>
        <w:tc>
          <w:tcPr>
            <w:tcW w:w="1454" w:type="dxa"/>
            <w:tcBorders>
              <w:top w:val="nil"/>
              <w:left w:val="nil"/>
              <w:bottom w:val="single" w:sz="4" w:space="0" w:color="auto"/>
              <w:right w:val="single" w:sz="4" w:space="0" w:color="auto"/>
            </w:tcBorders>
            <w:shd w:val="clear" w:color="auto" w:fill="auto"/>
            <w:noWrap/>
            <w:vAlign w:val="bottom"/>
            <w:hideMark/>
          </w:tcPr>
          <w:p w14:paraId="7A0D4EB2"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2435000</w:t>
            </w:r>
          </w:p>
        </w:tc>
        <w:tc>
          <w:tcPr>
            <w:tcW w:w="1169" w:type="dxa"/>
            <w:tcBorders>
              <w:top w:val="nil"/>
              <w:left w:val="nil"/>
              <w:bottom w:val="single" w:sz="4" w:space="0" w:color="auto"/>
              <w:right w:val="single" w:sz="4" w:space="0" w:color="auto"/>
            </w:tcBorders>
            <w:shd w:val="clear" w:color="auto" w:fill="auto"/>
            <w:noWrap/>
            <w:vAlign w:val="bottom"/>
            <w:hideMark/>
          </w:tcPr>
          <w:p w14:paraId="6B9101F7"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-1852000</w:t>
            </w:r>
          </w:p>
        </w:tc>
        <w:tc>
          <w:tcPr>
            <w:tcW w:w="1156" w:type="dxa"/>
            <w:tcBorders>
              <w:top w:val="nil"/>
              <w:left w:val="nil"/>
              <w:bottom w:val="single" w:sz="4" w:space="0" w:color="auto"/>
              <w:right w:val="single" w:sz="4" w:space="0" w:color="auto"/>
            </w:tcBorders>
            <w:shd w:val="clear" w:color="auto" w:fill="auto"/>
            <w:noWrap/>
            <w:vAlign w:val="bottom"/>
            <w:hideMark/>
          </w:tcPr>
          <w:p w14:paraId="350551F3" w14:textId="4C69D763"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-76</w:t>
            </w:r>
          </w:p>
        </w:tc>
      </w:tr>
      <w:tr w:rsidR="0053260F" w:rsidRPr="00AA7664" w14:paraId="71A089B1"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45EF4144"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Operating Expenses</w:t>
            </w:r>
          </w:p>
        </w:tc>
        <w:tc>
          <w:tcPr>
            <w:tcW w:w="1454" w:type="dxa"/>
            <w:tcBorders>
              <w:top w:val="nil"/>
              <w:left w:val="nil"/>
              <w:bottom w:val="single" w:sz="4" w:space="0" w:color="auto"/>
              <w:right w:val="single" w:sz="4" w:space="0" w:color="auto"/>
            </w:tcBorders>
            <w:shd w:val="clear" w:color="auto" w:fill="auto"/>
            <w:noWrap/>
            <w:vAlign w:val="bottom"/>
            <w:hideMark/>
          </w:tcPr>
          <w:p w14:paraId="06A7999C"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702000</w:t>
            </w:r>
          </w:p>
        </w:tc>
        <w:tc>
          <w:tcPr>
            <w:tcW w:w="1454" w:type="dxa"/>
            <w:tcBorders>
              <w:top w:val="nil"/>
              <w:left w:val="nil"/>
              <w:bottom w:val="single" w:sz="4" w:space="0" w:color="auto"/>
              <w:right w:val="single" w:sz="4" w:space="0" w:color="auto"/>
            </w:tcBorders>
            <w:shd w:val="clear" w:color="auto" w:fill="auto"/>
            <w:noWrap/>
            <w:vAlign w:val="bottom"/>
            <w:hideMark/>
          </w:tcPr>
          <w:p w14:paraId="66BCA938"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859000</w:t>
            </w:r>
          </w:p>
        </w:tc>
        <w:tc>
          <w:tcPr>
            <w:tcW w:w="1169" w:type="dxa"/>
            <w:tcBorders>
              <w:top w:val="nil"/>
              <w:left w:val="nil"/>
              <w:bottom w:val="single" w:sz="4" w:space="0" w:color="auto"/>
              <w:right w:val="single" w:sz="4" w:space="0" w:color="auto"/>
            </w:tcBorders>
            <w:shd w:val="clear" w:color="auto" w:fill="auto"/>
            <w:noWrap/>
            <w:vAlign w:val="bottom"/>
            <w:hideMark/>
          </w:tcPr>
          <w:p w14:paraId="6EB4C858"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-157000</w:t>
            </w:r>
          </w:p>
        </w:tc>
        <w:tc>
          <w:tcPr>
            <w:tcW w:w="1156" w:type="dxa"/>
            <w:tcBorders>
              <w:top w:val="nil"/>
              <w:left w:val="nil"/>
              <w:bottom w:val="single" w:sz="4" w:space="0" w:color="auto"/>
              <w:right w:val="single" w:sz="4" w:space="0" w:color="auto"/>
            </w:tcBorders>
            <w:shd w:val="clear" w:color="auto" w:fill="auto"/>
            <w:noWrap/>
            <w:vAlign w:val="bottom"/>
            <w:hideMark/>
          </w:tcPr>
          <w:p w14:paraId="2876D39A" w14:textId="1A5DEC35"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-18</w:t>
            </w:r>
          </w:p>
        </w:tc>
      </w:tr>
      <w:tr w:rsidR="0053260F" w:rsidRPr="00AA7664" w14:paraId="1B1477C1"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36CF47D5"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Operating Income</w:t>
            </w:r>
          </w:p>
        </w:tc>
        <w:tc>
          <w:tcPr>
            <w:tcW w:w="1454" w:type="dxa"/>
            <w:tcBorders>
              <w:top w:val="nil"/>
              <w:left w:val="nil"/>
              <w:bottom w:val="single" w:sz="4" w:space="0" w:color="auto"/>
              <w:right w:val="single" w:sz="4" w:space="0" w:color="auto"/>
            </w:tcBorders>
            <w:shd w:val="clear" w:color="auto" w:fill="auto"/>
            <w:noWrap/>
            <w:vAlign w:val="bottom"/>
            <w:hideMark/>
          </w:tcPr>
          <w:p w14:paraId="49038C06"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-119000</w:t>
            </w:r>
          </w:p>
        </w:tc>
        <w:tc>
          <w:tcPr>
            <w:tcW w:w="1454" w:type="dxa"/>
            <w:tcBorders>
              <w:top w:val="nil"/>
              <w:left w:val="nil"/>
              <w:bottom w:val="single" w:sz="4" w:space="0" w:color="auto"/>
              <w:right w:val="single" w:sz="4" w:space="0" w:color="auto"/>
            </w:tcBorders>
            <w:shd w:val="clear" w:color="auto" w:fill="auto"/>
            <w:noWrap/>
            <w:vAlign w:val="bottom"/>
            <w:hideMark/>
          </w:tcPr>
          <w:p w14:paraId="281F8D42"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1576000</w:t>
            </w:r>
          </w:p>
        </w:tc>
        <w:tc>
          <w:tcPr>
            <w:tcW w:w="1169" w:type="dxa"/>
            <w:tcBorders>
              <w:top w:val="nil"/>
              <w:left w:val="nil"/>
              <w:bottom w:val="single" w:sz="4" w:space="0" w:color="auto"/>
              <w:right w:val="single" w:sz="4" w:space="0" w:color="auto"/>
            </w:tcBorders>
            <w:shd w:val="clear" w:color="auto" w:fill="auto"/>
            <w:noWrap/>
            <w:vAlign w:val="bottom"/>
            <w:hideMark/>
          </w:tcPr>
          <w:p w14:paraId="5D7AF6F7"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-1695000</w:t>
            </w:r>
          </w:p>
        </w:tc>
        <w:tc>
          <w:tcPr>
            <w:tcW w:w="1156" w:type="dxa"/>
            <w:tcBorders>
              <w:top w:val="nil"/>
              <w:left w:val="nil"/>
              <w:bottom w:val="single" w:sz="4" w:space="0" w:color="auto"/>
              <w:right w:val="single" w:sz="4" w:space="0" w:color="auto"/>
            </w:tcBorders>
            <w:shd w:val="clear" w:color="auto" w:fill="auto"/>
            <w:noWrap/>
            <w:vAlign w:val="bottom"/>
            <w:hideMark/>
          </w:tcPr>
          <w:p w14:paraId="51614157" w14:textId="022B671A"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-10</w:t>
            </w:r>
            <w:r w:rsidR="0062287B">
              <w:rPr>
                <w:rFonts w:eastAsia="Times New Roman"/>
                <w:color w:val="000000"/>
                <w:sz w:val="22"/>
                <w:szCs w:val="22"/>
              </w:rPr>
              <w:t>8</w:t>
            </w:r>
          </w:p>
        </w:tc>
      </w:tr>
      <w:tr w:rsidR="0053260F" w:rsidRPr="00AA7664" w14:paraId="4A4F71BD"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7B42F616"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Interest Expense</w:t>
            </w:r>
          </w:p>
        </w:tc>
        <w:tc>
          <w:tcPr>
            <w:tcW w:w="1454" w:type="dxa"/>
            <w:tcBorders>
              <w:top w:val="nil"/>
              <w:left w:val="nil"/>
              <w:bottom w:val="single" w:sz="4" w:space="0" w:color="auto"/>
              <w:right w:val="single" w:sz="4" w:space="0" w:color="auto"/>
            </w:tcBorders>
            <w:shd w:val="clear" w:color="auto" w:fill="auto"/>
            <w:noWrap/>
            <w:vAlign w:val="bottom"/>
            <w:hideMark/>
          </w:tcPr>
          <w:p w14:paraId="52E79510"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429000</w:t>
            </w:r>
          </w:p>
        </w:tc>
        <w:tc>
          <w:tcPr>
            <w:tcW w:w="1454" w:type="dxa"/>
            <w:tcBorders>
              <w:top w:val="nil"/>
              <w:left w:val="nil"/>
              <w:bottom w:val="single" w:sz="4" w:space="0" w:color="auto"/>
              <w:right w:val="single" w:sz="4" w:space="0" w:color="auto"/>
            </w:tcBorders>
            <w:shd w:val="clear" w:color="auto" w:fill="auto"/>
            <w:noWrap/>
            <w:vAlign w:val="bottom"/>
            <w:hideMark/>
          </w:tcPr>
          <w:p w14:paraId="194E7662"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414000</w:t>
            </w:r>
          </w:p>
        </w:tc>
        <w:tc>
          <w:tcPr>
            <w:tcW w:w="1169" w:type="dxa"/>
            <w:tcBorders>
              <w:top w:val="nil"/>
              <w:left w:val="nil"/>
              <w:bottom w:val="single" w:sz="4" w:space="0" w:color="auto"/>
              <w:right w:val="single" w:sz="4" w:space="0" w:color="auto"/>
            </w:tcBorders>
            <w:shd w:val="clear" w:color="auto" w:fill="auto"/>
            <w:noWrap/>
            <w:vAlign w:val="bottom"/>
            <w:hideMark/>
          </w:tcPr>
          <w:p w14:paraId="722052D5"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15000</w:t>
            </w:r>
          </w:p>
        </w:tc>
        <w:tc>
          <w:tcPr>
            <w:tcW w:w="1156" w:type="dxa"/>
            <w:tcBorders>
              <w:top w:val="nil"/>
              <w:left w:val="nil"/>
              <w:bottom w:val="single" w:sz="4" w:space="0" w:color="auto"/>
              <w:right w:val="single" w:sz="4" w:space="0" w:color="auto"/>
            </w:tcBorders>
            <w:shd w:val="clear" w:color="auto" w:fill="auto"/>
            <w:noWrap/>
            <w:vAlign w:val="bottom"/>
            <w:hideMark/>
          </w:tcPr>
          <w:p w14:paraId="5D16AF49" w14:textId="650ED83C"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3.6</w:t>
            </w:r>
            <w:r w:rsidR="0062287B">
              <w:rPr>
                <w:rFonts w:eastAsia="Times New Roman"/>
                <w:color w:val="000000"/>
                <w:sz w:val="22"/>
                <w:szCs w:val="22"/>
              </w:rPr>
              <w:t>0</w:t>
            </w:r>
          </w:p>
        </w:tc>
      </w:tr>
      <w:tr w:rsidR="0053260F" w:rsidRPr="00AA7664" w14:paraId="0046103F"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64CB40EA"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Total Other Income/Expenses Net</w:t>
            </w:r>
          </w:p>
        </w:tc>
        <w:tc>
          <w:tcPr>
            <w:tcW w:w="1454" w:type="dxa"/>
            <w:tcBorders>
              <w:top w:val="nil"/>
              <w:left w:val="nil"/>
              <w:bottom w:val="single" w:sz="4" w:space="0" w:color="auto"/>
              <w:right w:val="single" w:sz="4" w:space="0" w:color="auto"/>
            </w:tcBorders>
            <w:shd w:val="clear" w:color="auto" w:fill="auto"/>
            <w:noWrap/>
            <w:vAlign w:val="bottom"/>
            <w:hideMark/>
          </w:tcPr>
          <w:p w14:paraId="6486485E"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-376000</w:t>
            </w:r>
          </w:p>
        </w:tc>
        <w:tc>
          <w:tcPr>
            <w:tcW w:w="1454" w:type="dxa"/>
            <w:tcBorders>
              <w:top w:val="nil"/>
              <w:left w:val="nil"/>
              <w:bottom w:val="single" w:sz="4" w:space="0" w:color="auto"/>
              <w:right w:val="single" w:sz="4" w:space="0" w:color="auto"/>
            </w:tcBorders>
            <w:shd w:val="clear" w:color="auto" w:fill="auto"/>
            <w:noWrap/>
            <w:vAlign w:val="bottom"/>
            <w:hideMark/>
          </w:tcPr>
          <w:p w14:paraId="0E93258E"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82000</w:t>
            </w:r>
          </w:p>
        </w:tc>
        <w:tc>
          <w:tcPr>
            <w:tcW w:w="1169" w:type="dxa"/>
            <w:tcBorders>
              <w:top w:val="nil"/>
              <w:left w:val="nil"/>
              <w:bottom w:val="single" w:sz="4" w:space="0" w:color="auto"/>
              <w:right w:val="single" w:sz="4" w:space="0" w:color="auto"/>
            </w:tcBorders>
            <w:shd w:val="clear" w:color="auto" w:fill="auto"/>
            <w:noWrap/>
            <w:vAlign w:val="bottom"/>
            <w:hideMark/>
          </w:tcPr>
          <w:p w14:paraId="3E145F2D"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-458000</w:t>
            </w:r>
          </w:p>
        </w:tc>
        <w:tc>
          <w:tcPr>
            <w:tcW w:w="1156" w:type="dxa"/>
            <w:tcBorders>
              <w:top w:val="nil"/>
              <w:left w:val="nil"/>
              <w:bottom w:val="single" w:sz="4" w:space="0" w:color="auto"/>
              <w:right w:val="single" w:sz="4" w:space="0" w:color="auto"/>
            </w:tcBorders>
            <w:shd w:val="clear" w:color="auto" w:fill="auto"/>
            <w:noWrap/>
            <w:vAlign w:val="bottom"/>
            <w:hideMark/>
          </w:tcPr>
          <w:p w14:paraId="2E9409BB" w14:textId="3ADA1BFD"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-55</w:t>
            </w:r>
            <w:r w:rsidR="0062287B">
              <w:rPr>
                <w:rFonts w:eastAsia="Times New Roman"/>
                <w:color w:val="000000"/>
                <w:sz w:val="22"/>
                <w:szCs w:val="22"/>
              </w:rPr>
              <w:t>9</w:t>
            </w:r>
          </w:p>
        </w:tc>
      </w:tr>
      <w:tr w:rsidR="0053260F" w:rsidRPr="00AA7664" w14:paraId="5071FC31"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1AE9F50A"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 xml:space="preserve">Income Before Taxes </w:t>
            </w:r>
          </w:p>
        </w:tc>
        <w:tc>
          <w:tcPr>
            <w:tcW w:w="1454" w:type="dxa"/>
            <w:tcBorders>
              <w:top w:val="nil"/>
              <w:left w:val="nil"/>
              <w:bottom w:val="single" w:sz="4" w:space="0" w:color="auto"/>
              <w:right w:val="single" w:sz="4" w:space="0" w:color="auto"/>
            </w:tcBorders>
            <w:shd w:val="clear" w:color="auto" w:fill="auto"/>
            <w:noWrap/>
            <w:vAlign w:val="bottom"/>
            <w:hideMark/>
          </w:tcPr>
          <w:p w14:paraId="1C6A444C"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-924000</w:t>
            </w:r>
          </w:p>
        </w:tc>
        <w:tc>
          <w:tcPr>
            <w:tcW w:w="1454" w:type="dxa"/>
            <w:tcBorders>
              <w:top w:val="nil"/>
              <w:left w:val="nil"/>
              <w:bottom w:val="single" w:sz="4" w:space="0" w:color="auto"/>
              <w:right w:val="single" w:sz="4" w:space="0" w:color="auto"/>
            </w:tcBorders>
            <w:shd w:val="clear" w:color="auto" w:fill="auto"/>
            <w:noWrap/>
            <w:vAlign w:val="bottom"/>
            <w:hideMark/>
          </w:tcPr>
          <w:p w14:paraId="33CADA4C"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1244000</w:t>
            </w:r>
          </w:p>
        </w:tc>
        <w:tc>
          <w:tcPr>
            <w:tcW w:w="1169" w:type="dxa"/>
            <w:tcBorders>
              <w:top w:val="nil"/>
              <w:left w:val="nil"/>
              <w:bottom w:val="single" w:sz="4" w:space="0" w:color="auto"/>
              <w:right w:val="single" w:sz="4" w:space="0" w:color="auto"/>
            </w:tcBorders>
            <w:shd w:val="clear" w:color="auto" w:fill="auto"/>
            <w:noWrap/>
            <w:vAlign w:val="bottom"/>
            <w:hideMark/>
          </w:tcPr>
          <w:p w14:paraId="0825626A"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-2168000</w:t>
            </w:r>
          </w:p>
        </w:tc>
        <w:tc>
          <w:tcPr>
            <w:tcW w:w="1156" w:type="dxa"/>
            <w:tcBorders>
              <w:top w:val="nil"/>
              <w:left w:val="nil"/>
              <w:bottom w:val="single" w:sz="4" w:space="0" w:color="auto"/>
              <w:right w:val="single" w:sz="4" w:space="0" w:color="auto"/>
            </w:tcBorders>
            <w:shd w:val="clear" w:color="auto" w:fill="auto"/>
            <w:noWrap/>
            <w:vAlign w:val="bottom"/>
            <w:hideMark/>
          </w:tcPr>
          <w:p w14:paraId="1D3D36F4" w14:textId="385D450A"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-174</w:t>
            </w:r>
          </w:p>
        </w:tc>
      </w:tr>
      <w:tr w:rsidR="0053260F" w:rsidRPr="00AA7664" w14:paraId="4075B2ED" w14:textId="77777777" w:rsidTr="0053260F">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3FE4BD91"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Net Income</w:t>
            </w:r>
          </w:p>
        </w:tc>
        <w:tc>
          <w:tcPr>
            <w:tcW w:w="1454" w:type="dxa"/>
            <w:tcBorders>
              <w:top w:val="nil"/>
              <w:left w:val="nil"/>
              <w:bottom w:val="single" w:sz="4" w:space="0" w:color="auto"/>
              <w:right w:val="single" w:sz="4" w:space="0" w:color="auto"/>
            </w:tcBorders>
            <w:shd w:val="clear" w:color="auto" w:fill="auto"/>
            <w:noWrap/>
            <w:vAlign w:val="bottom"/>
            <w:hideMark/>
          </w:tcPr>
          <w:p w14:paraId="45492E61"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-715000</w:t>
            </w:r>
          </w:p>
        </w:tc>
        <w:tc>
          <w:tcPr>
            <w:tcW w:w="1454" w:type="dxa"/>
            <w:tcBorders>
              <w:top w:val="nil"/>
              <w:left w:val="nil"/>
              <w:bottom w:val="single" w:sz="4" w:space="0" w:color="auto"/>
              <w:right w:val="single" w:sz="4" w:space="0" w:color="auto"/>
            </w:tcBorders>
            <w:shd w:val="clear" w:color="auto" w:fill="auto"/>
            <w:noWrap/>
            <w:vAlign w:val="bottom"/>
            <w:hideMark/>
          </w:tcPr>
          <w:p w14:paraId="23851CC0"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881000</w:t>
            </w:r>
          </w:p>
        </w:tc>
        <w:tc>
          <w:tcPr>
            <w:tcW w:w="1169" w:type="dxa"/>
            <w:tcBorders>
              <w:top w:val="nil"/>
              <w:left w:val="nil"/>
              <w:bottom w:val="single" w:sz="4" w:space="0" w:color="auto"/>
              <w:right w:val="single" w:sz="4" w:space="0" w:color="auto"/>
            </w:tcBorders>
            <w:shd w:val="clear" w:color="auto" w:fill="auto"/>
            <w:noWrap/>
            <w:vAlign w:val="bottom"/>
            <w:hideMark/>
          </w:tcPr>
          <w:p w14:paraId="44ACBF9A" w14:textId="77777777"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-1596000</w:t>
            </w:r>
          </w:p>
        </w:tc>
        <w:tc>
          <w:tcPr>
            <w:tcW w:w="1156" w:type="dxa"/>
            <w:tcBorders>
              <w:top w:val="nil"/>
              <w:left w:val="nil"/>
              <w:bottom w:val="single" w:sz="4" w:space="0" w:color="auto"/>
              <w:right w:val="single" w:sz="4" w:space="0" w:color="auto"/>
            </w:tcBorders>
            <w:shd w:val="clear" w:color="auto" w:fill="auto"/>
            <w:noWrap/>
            <w:vAlign w:val="bottom"/>
            <w:hideMark/>
          </w:tcPr>
          <w:p w14:paraId="323F4638" w14:textId="26A930FF" w:rsidR="0053260F" w:rsidRPr="00AA7664" w:rsidRDefault="0053260F" w:rsidP="009D0B18">
            <w:pPr>
              <w:spacing w:after="0"/>
              <w:jc w:val="center"/>
              <w:rPr>
                <w:rFonts w:eastAsia="Times New Roman"/>
                <w:color w:val="000000"/>
                <w:sz w:val="22"/>
                <w:szCs w:val="22"/>
              </w:rPr>
            </w:pPr>
            <w:r w:rsidRPr="00AA7664">
              <w:rPr>
                <w:rFonts w:eastAsia="Times New Roman"/>
                <w:color w:val="000000"/>
                <w:sz w:val="22"/>
                <w:szCs w:val="22"/>
              </w:rPr>
              <w:t>-181</w:t>
            </w:r>
          </w:p>
        </w:tc>
      </w:tr>
    </w:tbl>
    <w:p w14:paraId="2C93DC20" w14:textId="1076727E" w:rsidR="0053260F" w:rsidRPr="00AA7664" w:rsidRDefault="0053260F" w:rsidP="009D0B18"/>
    <w:p w14:paraId="0CF0B617" w14:textId="364232F4" w:rsidR="001B2737" w:rsidRPr="00AA7664" w:rsidRDefault="00C17927" w:rsidP="009D0B18">
      <w:r w:rsidRPr="00AA7664">
        <w:t xml:space="preserve">Using horizontal ratio </w:t>
      </w:r>
      <w:r w:rsidR="00406F73" w:rsidRPr="00AA7664">
        <w:t>analysis,</w:t>
      </w:r>
      <w:r w:rsidR="001B2737" w:rsidRPr="00AA7664">
        <w:t xml:space="preserve"> </w:t>
      </w:r>
      <w:r w:rsidRPr="00AA7664">
        <w:t>we can see</w:t>
      </w:r>
      <w:r w:rsidR="00F57C1B" w:rsidRPr="00AA7664">
        <w:t>,</w:t>
      </w:r>
      <w:r w:rsidRPr="00AA7664">
        <w:t xml:space="preserve"> </w:t>
      </w:r>
    </w:p>
    <w:p w14:paraId="6D27429C" w14:textId="31B85FCE" w:rsidR="001B2737" w:rsidRPr="00AA7664" w:rsidRDefault="001B2737" w:rsidP="009D0B18">
      <w:pPr>
        <w:pStyle w:val="ListParagraph"/>
        <w:numPr>
          <w:ilvl w:val="0"/>
          <w:numId w:val="1"/>
        </w:numPr>
      </w:pPr>
      <w:r w:rsidRPr="00AA7664">
        <w:t xml:space="preserve">The absolute change of gross profit was -1852000 </w:t>
      </w:r>
      <w:r w:rsidR="00ED4ECD" w:rsidRPr="00AA7664">
        <w:t xml:space="preserve">or -76.06% </w:t>
      </w:r>
      <w:r w:rsidRPr="00AA7664">
        <w:t xml:space="preserve">which indicates </w:t>
      </w:r>
      <w:r w:rsidR="00ED4ECD" w:rsidRPr="00AA7664">
        <w:t>both the sales and production was reduced</w:t>
      </w:r>
      <w:r w:rsidRPr="00AA7664">
        <w:t xml:space="preserve"> in 2020. </w:t>
      </w:r>
      <w:r w:rsidR="00ED4ECD" w:rsidRPr="00AA7664">
        <w:t>In 2020</w:t>
      </w:r>
      <w:r w:rsidR="00155A3D" w:rsidRPr="00AA7664">
        <w:t>,</w:t>
      </w:r>
      <w:r w:rsidR="00ED4ECD" w:rsidRPr="00AA7664">
        <w:t xml:space="preserve"> the sales and cost of goods sold reduced by 54.43% and 46.93% respectively compared to 2019. We are assuming this reduce in sale and production was because of the economic crisis due to Covid 19 pandemic.</w:t>
      </w:r>
    </w:p>
    <w:p w14:paraId="2BC6CD6E" w14:textId="09402161" w:rsidR="00ED4ECD" w:rsidRPr="00AA7664" w:rsidRDefault="00ED4ECD" w:rsidP="009D0B18">
      <w:pPr>
        <w:pStyle w:val="ListParagraph"/>
        <w:numPr>
          <w:ilvl w:val="0"/>
          <w:numId w:val="1"/>
        </w:numPr>
      </w:pPr>
      <w:r w:rsidRPr="00AA7664">
        <w:t>We can also see the change in operating income was -1695000 between 2019 and 2020. This indicates operating income reduced 107.55% in 2020 than 2019.</w:t>
      </w:r>
    </w:p>
    <w:p w14:paraId="4EF692C6" w14:textId="3A6BAB74" w:rsidR="001B2737" w:rsidRPr="00AA7664" w:rsidRDefault="00155A3D" w:rsidP="009D0B18">
      <w:pPr>
        <w:pStyle w:val="ListParagraph"/>
        <w:numPr>
          <w:ilvl w:val="0"/>
          <w:numId w:val="1"/>
        </w:numPr>
      </w:pPr>
      <w:r w:rsidRPr="00AA7664">
        <w:t>There is also decrease in operating expenses. The change of operating expenses was -157000 between 2019 and 2020. This indicates that operating expenses reduced by 18.28%</w:t>
      </w:r>
    </w:p>
    <w:p w14:paraId="4F9D4FDA" w14:textId="5CD4D1D8" w:rsidR="00155A3D" w:rsidRPr="00AA7664" w:rsidRDefault="00155A3D" w:rsidP="009D0B18">
      <w:pPr>
        <w:pStyle w:val="ListParagraph"/>
        <w:numPr>
          <w:ilvl w:val="0"/>
          <w:numId w:val="1"/>
        </w:numPr>
      </w:pPr>
      <w:r w:rsidRPr="00AA7664">
        <w:lastRenderedPageBreak/>
        <w:t>The only item that has a positive change of 15000 is interest expense. In 2020, interest expense increased by 3.62% compared to 2019.</w:t>
      </w:r>
    </w:p>
    <w:p w14:paraId="43132F57" w14:textId="43BF6FC9" w:rsidR="001B2737" w:rsidRPr="00AA7664" w:rsidRDefault="00155A3D" w:rsidP="009D0B18">
      <w:pPr>
        <w:pStyle w:val="ListParagraph"/>
        <w:numPr>
          <w:ilvl w:val="0"/>
          <w:numId w:val="1"/>
        </w:numPr>
      </w:pPr>
      <w:r w:rsidRPr="00AA7664">
        <w:t>The item that has changed most significantly is total other income/expenses net</w:t>
      </w:r>
      <w:r w:rsidR="009D3C0B" w:rsidRPr="00AA7664">
        <w:t>. The change was -458000 or -558.54% between two years. This indicates that although in 2019, income from other sources was greater than total other expense but in 2020 total other expense was greater than total other income.</w:t>
      </w:r>
    </w:p>
    <w:p w14:paraId="334AF80B" w14:textId="6EDCB55A" w:rsidR="009D3C0B" w:rsidRPr="00AA7664" w:rsidRDefault="009D3C0B" w:rsidP="009D0B18">
      <w:pPr>
        <w:pStyle w:val="ListParagraph"/>
        <w:numPr>
          <w:ilvl w:val="0"/>
          <w:numId w:val="1"/>
        </w:numPr>
      </w:pPr>
      <w:r w:rsidRPr="00AA7664">
        <w:t xml:space="preserve">The change in net income before tax between two years </w:t>
      </w:r>
      <w:r w:rsidR="007D7919" w:rsidRPr="00AA7664">
        <w:t>is -</w:t>
      </w:r>
      <w:r w:rsidRPr="00AA7664">
        <w:t xml:space="preserve">2168000 or -174.28%, This means that net income before tax reduced and resulted in net loss in </w:t>
      </w:r>
      <w:r w:rsidR="007D7919" w:rsidRPr="00AA7664">
        <w:t>2020.</w:t>
      </w:r>
    </w:p>
    <w:p w14:paraId="2B12F97B" w14:textId="19221F50" w:rsidR="007D7919" w:rsidRPr="00AA7664" w:rsidRDefault="001B2737" w:rsidP="009D0B18">
      <w:pPr>
        <w:pStyle w:val="ListParagraph"/>
        <w:numPr>
          <w:ilvl w:val="0"/>
          <w:numId w:val="1"/>
        </w:numPr>
      </w:pPr>
      <w:r w:rsidRPr="00AA7664">
        <w:t>T</w:t>
      </w:r>
      <w:r w:rsidR="00C17927" w:rsidRPr="00AA7664">
        <w:t xml:space="preserve">he </w:t>
      </w:r>
      <w:r w:rsidR="00F57C1B" w:rsidRPr="00AA7664">
        <w:t xml:space="preserve">absolute change of net income was -1596000 which </w:t>
      </w:r>
      <w:r w:rsidRPr="00AA7664">
        <w:t xml:space="preserve">indicates a net loss in 2020. In 2020 the net income decreased to 181.16% compared to 2019. We are assuming </w:t>
      </w:r>
      <w:r w:rsidR="007D7919" w:rsidRPr="00AA7664">
        <w:t xml:space="preserve">this loss has occurred because of the </w:t>
      </w:r>
      <w:r w:rsidR="00406F73" w:rsidRPr="00AA7664">
        <w:t>economic</w:t>
      </w:r>
      <w:r w:rsidR="007D7919" w:rsidRPr="00AA7664">
        <w:t xml:space="preserve"> disaster due to the pandemic.</w:t>
      </w:r>
    </w:p>
    <w:p w14:paraId="5C976F24" w14:textId="77777777" w:rsidR="007D7919" w:rsidRPr="00AA7664" w:rsidRDefault="007D7919">
      <w:r w:rsidRPr="00AA7664">
        <w:br w:type="page"/>
      </w:r>
    </w:p>
    <w:p w14:paraId="5336E793" w14:textId="18CD0CE3" w:rsidR="0053260F" w:rsidRPr="00AA7664" w:rsidRDefault="007D7919" w:rsidP="007D7919">
      <w:pPr>
        <w:pStyle w:val="Heading2"/>
        <w:rPr>
          <w:rFonts w:cs="Times New Roman"/>
        </w:rPr>
      </w:pPr>
      <w:bookmarkStart w:id="3" w:name="_Toc103611339"/>
      <w:r w:rsidRPr="00AA7664">
        <w:rPr>
          <w:rFonts w:cs="Times New Roman"/>
        </w:rPr>
        <w:lastRenderedPageBreak/>
        <w:t>Balance Sheet Analysis</w:t>
      </w:r>
      <w:bookmarkEnd w:id="3"/>
    </w:p>
    <w:p w14:paraId="657F9E9A" w14:textId="7C63F940" w:rsidR="007D7919" w:rsidRPr="00AA7664" w:rsidRDefault="007D7919" w:rsidP="00021C8B">
      <w:pPr>
        <w:jc w:val="both"/>
      </w:pPr>
      <w:r w:rsidRPr="00AA7664">
        <w:t>The following table shows the horizontal analysis of the Balance Sheet of Hilton Worldwide Holdings Inc. (HLT) between 2020 and 2019.</w:t>
      </w:r>
    </w:p>
    <w:tbl>
      <w:tblPr>
        <w:tblW w:w="9300" w:type="dxa"/>
        <w:tblLook w:val="04A0" w:firstRow="1" w:lastRow="0" w:firstColumn="1" w:lastColumn="0" w:noHBand="0" w:noVBand="1"/>
      </w:tblPr>
      <w:tblGrid>
        <w:gridCol w:w="4643"/>
        <w:gridCol w:w="1201"/>
        <w:gridCol w:w="1201"/>
        <w:gridCol w:w="1142"/>
        <w:gridCol w:w="1113"/>
      </w:tblGrid>
      <w:tr w:rsidR="007D7919" w:rsidRPr="00AA7664" w14:paraId="336FC285" w14:textId="77777777" w:rsidTr="007D7919">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29B775" w14:textId="77777777" w:rsidR="007D7919" w:rsidRPr="00AA7664" w:rsidRDefault="007D7919" w:rsidP="00D926DD">
            <w:pPr>
              <w:spacing w:after="0" w:line="240" w:lineRule="auto"/>
              <w:jc w:val="center"/>
              <w:rPr>
                <w:rFonts w:eastAsia="Times New Roman"/>
                <w:color w:val="000000"/>
                <w:sz w:val="22"/>
                <w:szCs w:val="22"/>
              </w:rPr>
            </w:pPr>
            <w:r w:rsidRPr="00AA7664">
              <w:rPr>
                <w:rFonts w:eastAsia="Times New Roman"/>
                <w:color w:val="000000"/>
                <w:sz w:val="22"/>
                <w:szCs w:val="22"/>
              </w:rPr>
              <w:t>Balance Sheet 2019 &amp; 2020</w:t>
            </w:r>
          </w:p>
        </w:tc>
      </w:tr>
      <w:tr w:rsidR="007D7919" w:rsidRPr="00AA7664" w14:paraId="75433A1B" w14:textId="77777777" w:rsidTr="007D7919">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638F0" w14:textId="77777777" w:rsidR="007D7919" w:rsidRPr="00AA7664" w:rsidRDefault="007D7919" w:rsidP="00D926DD">
            <w:pPr>
              <w:spacing w:after="0" w:line="240" w:lineRule="auto"/>
              <w:jc w:val="center"/>
              <w:rPr>
                <w:rFonts w:eastAsia="Times New Roman"/>
                <w:color w:val="000000"/>
                <w:sz w:val="22"/>
                <w:szCs w:val="22"/>
              </w:rPr>
            </w:pPr>
            <w:r w:rsidRPr="00AA7664">
              <w:rPr>
                <w:rFonts w:eastAsia="Times New Roman"/>
                <w:color w:val="000000"/>
                <w:sz w:val="22"/>
                <w:szCs w:val="22"/>
              </w:rPr>
              <w:t>Hilton Worldwide Holdings Inc. (HLT)</w:t>
            </w:r>
          </w:p>
        </w:tc>
      </w:tr>
      <w:tr w:rsidR="007D7919" w:rsidRPr="00AA7664" w14:paraId="1DA45FD1"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2F1925BB"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 </w:t>
            </w:r>
          </w:p>
        </w:tc>
        <w:tc>
          <w:tcPr>
            <w:tcW w:w="1201" w:type="dxa"/>
            <w:tcBorders>
              <w:top w:val="nil"/>
              <w:left w:val="nil"/>
              <w:bottom w:val="single" w:sz="4" w:space="0" w:color="auto"/>
              <w:right w:val="single" w:sz="4" w:space="0" w:color="auto"/>
            </w:tcBorders>
            <w:shd w:val="clear" w:color="auto" w:fill="auto"/>
            <w:noWrap/>
            <w:vAlign w:val="bottom"/>
            <w:hideMark/>
          </w:tcPr>
          <w:p w14:paraId="72C93D97"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2020</w:t>
            </w:r>
          </w:p>
        </w:tc>
        <w:tc>
          <w:tcPr>
            <w:tcW w:w="1201" w:type="dxa"/>
            <w:tcBorders>
              <w:top w:val="nil"/>
              <w:left w:val="nil"/>
              <w:bottom w:val="single" w:sz="4" w:space="0" w:color="auto"/>
              <w:right w:val="single" w:sz="4" w:space="0" w:color="auto"/>
            </w:tcBorders>
            <w:shd w:val="clear" w:color="auto" w:fill="auto"/>
            <w:noWrap/>
            <w:vAlign w:val="bottom"/>
            <w:hideMark/>
          </w:tcPr>
          <w:p w14:paraId="2D4CAEB6"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2019</w:t>
            </w:r>
          </w:p>
        </w:tc>
        <w:tc>
          <w:tcPr>
            <w:tcW w:w="1142" w:type="dxa"/>
            <w:tcBorders>
              <w:top w:val="nil"/>
              <w:left w:val="nil"/>
              <w:bottom w:val="single" w:sz="4" w:space="0" w:color="auto"/>
              <w:right w:val="single" w:sz="4" w:space="0" w:color="auto"/>
            </w:tcBorders>
            <w:shd w:val="clear" w:color="auto" w:fill="auto"/>
            <w:noWrap/>
            <w:vAlign w:val="bottom"/>
            <w:hideMark/>
          </w:tcPr>
          <w:p w14:paraId="71D74279"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Change</w:t>
            </w:r>
          </w:p>
        </w:tc>
        <w:tc>
          <w:tcPr>
            <w:tcW w:w="1113" w:type="dxa"/>
            <w:tcBorders>
              <w:top w:val="nil"/>
              <w:left w:val="nil"/>
              <w:bottom w:val="single" w:sz="4" w:space="0" w:color="auto"/>
              <w:right w:val="single" w:sz="4" w:space="0" w:color="auto"/>
            </w:tcBorders>
            <w:shd w:val="clear" w:color="auto" w:fill="auto"/>
            <w:noWrap/>
            <w:vAlign w:val="bottom"/>
            <w:hideMark/>
          </w:tcPr>
          <w:p w14:paraId="6A1E0B4C"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%Change</w:t>
            </w:r>
          </w:p>
        </w:tc>
      </w:tr>
      <w:tr w:rsidR="007D7919" w:rsidRPr="00AA7664" w14:paraId="7BFBA860"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45FC9C68"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Current Asset</w:t>
            </w:r>
          </w:p>
        </w:tc>
        <w:tc>
          <w:tcPr>
            <w:tcW w:w="1201" w:type="dxa"/>
            <w:tcBorders>
              <w:top w:val="nil"/>
              <w:left w:val="nil"/>
              <w:bottom w:val="single" w:sz="4" w:space="0" w:color="auto"/>
              <w:right w:val="single" w:sz="4" w:space="0" w:color="auto"/>
            </w:tcBorders>
            <w:shd w:val="clear" w:color="auto" w:fill="auto"/>
            <w:noWrap/>
            <w:vAlign w:val="bottom"/>
            <w:hideMark/>
          </w:tcPr>
          <w:p w14:paraId="07092690"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4202000</w:t>
            </w:r>
          </w:p>
        </w:tc>
        <w:tc>
          <w:tcPr>
            <w:tcW w:w="1201" w:type="dxa"/>
            <w:tcBorders>
              <w:top w:val="nil"/>
              <w:left w:val="nil"/>
              <w:bottom w:val="single" w:sz="4" w:space="0" w:color="auto"/>
              <w:right w:val="single" w:sz="4" w:space="0" w:color="auto"/>
            </w:tcBorders>
            <w:shd w:val="clear" w:color="auto" w:fill="auto"/>
            <w:noWrap/>
            <w:vAlign w:val="bottom"/>
            <w:hideMark/>
          </w:tcPr>
          <w:p w14:paraId="0519218E"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2093000</w:t>
            </w:r>
          </w:p>
        </w:tc>
        <w:tc>
          <w:tcPr>
            <w:tcW w:w="1142" w:type="dxa"/>
            <w:tcBorders>
              <w:top w:val="nil"/>
              <w:left w:val="nil"/>
              <w:bottom w:val="single" w:sz="4" w:space="0" w:color="auto"/>
              <w:right w:val="single" w:sz="4" w:space="0" w:color="auto"/>
            </w:tcBorders>
            <w:shd w:val="clear" w:color="auto" w:fill="auto"/>
            <w:noWrap/>
            <w:vAlign w:val="bottom"/>
            <w:hideMark/>
          </w:tcPr>
          <w:p w14:paraId="302903C0"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2109000</w:t>
            </w:r>
          </w:p>
        </w:tc>
        <w:tc>
          <w:tcPr>
            <w:tcW w:w="1113" w:type="dxa"/>
            <w:tcBorders>
              <w:top w:val="nil"/>
              <w:left w:val="nil"/>
              <w:bottom w:val="single" w:sz="4" w:space="0" w:color="auto"/>
              <w:right w:val="single" w:sz="4" w:space="0" w:color="auto"/>
            </w:tcBorders>
            <w:shd w:val="clear" w:color="auto" w:fill="auto"/>
            <w:noWrap/>
            <w:vAlign w:val="bottom"/>
            <w:hideMark/>
          </w:tcPr>
          <w:p w14:paraId="3081BB50" w14:textId="0B022467"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10</w:t>
            </w:r>
            <w:r w:rsidR="003E5B6B">
              <w:rPr>
                <w:rFonts w:eastAsia="Times New Roman"/>
                <w:color w:val="000000"/>
                <w:sz w:val="22"/>
                <w:szCs w:val="22"/>
              </w:rPr>
              <w:t>1</w:t>
            </w:r>
          </w:p>
        </w:tc>
      </w:tr>
      <w:tr w:rsidR="007D7919" w:rsidRPr="00AA7664" w14:paraId="6B0FC4CD"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0077738C" w14:textId="6BC560C4"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Non-Current Asset</w:t>
            </w:r>
          </w:p>
        </w:tc>
        <w:tc>
          <w:tcPr>
            <w:tcW w:w="1201" w:type="dxa"/>
            <w:tcBorders>
              <w:top w:val="nil"/>
              <w:left w:val="nil"/>
              <w:bottom w:val="single" w:sz="4" w:space="0" w:color="auto"/>
              <w:right w:val="single" w:sz="4" w:space="0" w:color="auto"/>
            </w:tcBorders>
            <w:shd w:val="clear" w:color="auto" w:fill="auto"/>
            <w:noWrap/>
            <w:vAlign w:val="bottom"/>
            <w:hideMark/>
          </w:tcPr>
          <w:p w14:paraId="01988154"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15810000</w:t>
            </w:r>
          </w:p>
        </w:tc>
        <w:tc>
          <w:tcPr>
            <w:tcW w:w="1201" w:type="dxa"/>
            <w:tcBorders>
              <w:top w:val="nil"/>
              <w:left w:val="nil"/>
              <w:bottom w:val="single" w:sz="4" w:space="0" w:color="auto"/>
              <w:right w:val="single" w:sz="4" w:space="0" w:color="auto"/>
            </w:tcBorders>
            <w:shd w:val="clear" w:color="auto" w:fill="auto"/>
            <w:noWrap/>
            <w:vAlign w:val="bottom"/>
            <w:hideMark/>
          </w:tcPr>
          <w:p w14:paraId="52A62139"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12558000</w:t>
            </w:r>
          </w:p>
        </w:tc>
        <w:tc>
          <w:tcPr>
            <w:tcW w:w="1142" w:type="dxa"/>
            <w:tcBorders>
              <w:top w:val="nil"/>
              <w:left w:val="nil"/>
              <w:bottom w:val="single" w:sz="4" w:space="0" w:color="auto"/>
              <w:right w:val="single" w:sz="4" w:space="0" w:color="auto"/>
            </w:tcBorders>
            <w:shd w:val="clear" w:color="auto" w:fill="auto"/>
            <w:noWrap/>
            <w:vAlign w:val="bottom"/>
            <w:hideMark/>
          </w:tcPr>
          <w:p w14:paraId="4A556567"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3252000</w:t>
            </w:r>
          </w:p>
        </w:tc>
        <w:tc>
          <w:tcPr>
            <w:tcW w:w="1113" w:type="dxa"/>
            <w:tcBorders>
              <w:top w:val="nil"/>
              <w:left w:val="nil"/>
              <w:bottom w:val="single" w:sz="4" w:space="0" w:color="auto"/>
              <w:right w:val="single" w:sz="4" w:space="0" w:color="auto"/>
            </w:tcBorders>
            <w:shd w:val="clear" w:color="auto" w:fill="auto"/>
            <w:noWrap/>
            <w:vAlign w:val="bottom"/>
            <w:hideMark/>
          </w:tcPr>
          <w:p w14:paraId="491FFBE8" w14:textId="0B920A11"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2</w:t>
            </w:r>
            <w:r w:rsidR="003E5B6B">
              <w:rPr>
                <w:rFonts w:eastAsia="Times New Roman"/>
                <w:color w:val="000000"/>
                <w:sz w:val="22"/>
                <w:szCs w:val="22"/>
              </w:rPr>
              <w:t>6</w:t>
            </w:r>
          </w:p>
        </w:tc>
      </w:tr>
      <w:tr w:rsidR="007D7919" w:rsidRPr="00AA7664" w14:paraId="64C3C67F"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56FDDE4A"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Total Asset</w:t>
            </w:r>
          </w:p>
        </w:tc>
        <w:tc>
          <w:tcPr>
            <w:tcW w:w="1201" w:type="dxa"/>
            <w:tcBorders>
              <w:top w:val="nil"/>
              <w:left w:val="nil"/>
              <w:bottom w:val="single" w:sz="4" w:space="0" w:color="auto"/>
              <w:right w:val="single" w:sz="4" w:space="0" w:color="auto"/>
            </w:tcBorders>
            <w:shd w:val="clear" w:color="auto" w:fill="auto"/>
            <w:noWrap/>
            <w:vAlign w:val="bottom"/>
            <w:hideMark/>
          </w:tcPr>
          <w:p w14:paraId="6445936C"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16755000</w:t>
            </w:r>
          </w:p>
        </w:tc>
        <w:tc>
          <w:tcPr>
            <w:tcW w:w="1201" w:type="dxa"/>
            <w:tcBorders>
              <w:top w:val="nil"/>
              <w:left w:val="nil"/>
              <w:bottom w:val="single" w:sz="4" w:space="0" w:color="auto"/>
              <w:right w:val="single" w:sz="4" w:space="0" w:color="auto"/>
            </w:tcBorders>
            <w:shd w:val="clear" w:color="auto" w:fill="auto"/>
            <w:noWrap/>
            <w:vAlign w:val="bottom"/>
            <w:hideMark/>
          </w:tcPr>
          <w:p w14:paraId="5C358E91"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14957000</w:t>
            </w:r>
          </w:p>
        </w:tc>
        <w:tc>
          <w:tcPr>
            <w:tcW w:w="1142" w:type="dxa"/>
            <w:tcBorders>
              <w:top w:val="nil"/>
              <w:left w:val="nil"/>
              <w:bottom w:val="single" w:sz="4" w:space="0" w:color="auto"/>
              <w:right w:val="single" w:sz="4" w:space="0" w:color="auto"/>
            </w:tcBorders>
            <w:shd w:val="clear" w:color="auto" w:fill="auto"/>
            <w:noWrap/>
            <w:vAlign w:val="bottom"/>
            <w:hideMark/>
          </w:tcPr>
          <w:p w14:paraId="0DAB45F1"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1798000</w:t>
            </w:r>
          </w:p>
        </w:tc>
        <w:tc>
          <w:tcPr>
            <w:tcW w:w="1113" w:type="dxa"/>
            <w:tcBorders>
              <w:top w:val="nil"/>
              <w:left w:val="nil"/>
              <w:bottom w:val="single" w:sz="4" w:space="0" w:color="auto"/>
              <w:right w:val="single" w:sz="4" w:space="0" w:color="auto"/>
            </w:tcBorders>
            <w:shd w:val="clear" w:color="auto" w:fill="auto"/>
            <w:noWrap/>
            <w:vAlign w:val="bottom"/>
            <w:hideMark/>
          </w:tcPr>
          <w:p w14:paraId="7EA6EC4A" w14:textId="43857FC5"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12</w:t>
            </w:r>
          </w:p>
        </w:tc>
      </w:tr>
      <w:tr w:rsidR="007D7919" w:rsidRPr="00AA7664" w14:paraId="53AAAE5A"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45A2DA77"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Current Liabilities</w:t>
            </w:r>
          </w:p>
        </w:tc>
        <w:tc>
          <w:tcPr>
            <w:tcW w:w="1201" w:type="dxa"/>
            <w:tcBorders>
              <w:top w:val="nil"/>
              <w:left w:val="nil"/>
              <w:bottom w:val="single" w:sz="4" w:space="0" w:color="auto"/>
              <w:right w:val="single" w:sz="4" w:space="0" w:color="auto"/>
            </w:tcBorders>
            <w:shd w:val="clear" w:color="auto" w:fill="auto"/>
            <w:noWrap/>
            <w:vAlign w:val="bottom"/>
            <w:hideMark/>
          </w:tcPr>
          <w:p w14:paraId="13A3E964"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2431000</w:t>
            </w:r>
          </w:p>
        </w:tc>
        <w:tc>
          <w:tcPr>
            <w:tcW w:w="1201" w:type="dxa"/>
            <w:tcBorders>
              <w:top w:val="nil"/>
              <w:left w:val="nil"/>
              <w:bottom w:val="single" w:sz="4" w:space="0" w:color="auto"/>
              <w:right w:val="single" w:sz="4" w:space="0" w:color="auto"/>
            </w:tcBorders>
            <w:shd w:val="clear" w:color="auto" w:fill="auto"/>
            <w:noWrap/>
            <w:vAlign w:val="bottom"/>
            <w:hideMark/>
          </w:tcPr>
          <w:p w14:paraId="123D52DC"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2871000</w:t>
            </w:r>
          </w:p>
        </w:tc>
        <w:tc>
          <w:tcPr>
            <w:tcW w:w="1142" w:type="dxa"/>
            <w:tcBorders>
              <w:top w:val="nil"/>
              <w:left w:val="nil"/>
              <w:bottom w:val="single" w:sz="4" w:space="0" w:color="auto"/>
              <w:right w:val="single" w:sz="4" w:space="0" w:color="auto"/>
            </w:tcBorders>
            <w:shd w:val="clear" w:color="auto" w:fill="auto"/>
            <w:noWrap/>
            <w:vAlign w:val="bottom"/>
            <w:hideMark/>
          </w:tcPr>
          <w:p w14:paraId="55A077DF"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-440000</w:t>
            </w:r>
          </w:p>
        </w:tc>
        <w:tc>
          <w:tcPr>
            <w:tcW w:w="1113" w:type="dxa"/>
            <w:tcBorders>
              <w:top w:val="nil"/>
              <w:left w:val="nil"/>
              <w:bottom w:val="single" w:sz="4" w:space="0" w:color="auto"/>
              <w:right w:val="single" w:sz="4" w:space="0" w:color="auto"/>
            </w:tcBorders>
            <w:shd w:val="clear" w:color="auto" w:fill="auto"/>
            <w:noWrap/>
            <w:vAlign w:val="bottom"/>
            <w:hideMark/>
          </w:tcPr>
          <w:p w14:paraId="08237776" w14:textId="4E66A18C"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-15</w:t>
            </w:r>
          </w:p>
        </w:tc>
      </w:tr>
      <w:tr w:rsidR="007D7919" w:rsidRPr="00AA7664" w14:paraId="797808A4"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55EF8D48" w14:textId="34714435"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Non-Current Liabilities</w:t>
            </w:r>
          </w:p>
        </w:tc>
        <w:tc>
          <w:tcPr>
            <w:tcW w:w="1201" w:type="dxa"/>
            <w:tcBorders>
              <w:top w:val="nil"/>
              <w:left w:val="nil"/>
              <w:bottom w:val="single" w:sz="4" w:space="0" w:color="auto"/>
              <w:right w:val="single" w:sz="4" w:space="0" w:color="auto"/>
            </w:tcBorders>
            <w:shd w:val="clear" w:color="auto" w:fill="auto"/>
            <w:noWrap/>
            <w:vAlign w:val="bottom"/>
            <w:hideMark/>
          </w:tcPr>
          <w:p w14:paraId="620BF425"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15810000</w:t>
            </w:r>
          </w:p>
        </w:tc>
        <w:tc>
          <w:tcPr>
            <w:tcW w:w="1201" w:type="dxa"/>
            <w:tcBorders>
              <w:top w:val="nil"/>
              <w:left w:val="nil"/>
              <w:bottom w:val="single" w:sz="4" w:space="0" w:color="auto"/>
              <w:right w:val="single" w:sz="4" w:space="0" w:color="auto"/>
            </w:tcBorders>
            <w:shd w:val="clear" w:color="auto" w:fill="auto"/>
            <w:noWrap/>
            <w:vAlign w:val="bottom"/>
            <w:hideMark/>
          </w:tcPr>
          <w:p w14:paraId="7FA22C58"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12558000</w:t>
            </w:r>
          </w:p>
        </w:tc>
        <w:tc>
          <w:tcPr>
            <w:tcW w:w="1142" w:type="dxa"/>
            <w:tcBorders>
              <w:top w:val="nil"/>
              <w:left w:val="nil"/>
              <w:bottom w:val="single" w:sz="4" w:space="0" w:color="auto"/>
              <w:right w:val="single" w:sz="4" w:space="0" w:color="auto"/>
            </w:tcBorders>
            <w:shd w:val="clear" w:color="auto" w:fill="auto"/>
            <w:noWrap/>
            <w:vAlign w:val="bottom"/>
            <w:hideMark/>
          </w:tcPr>
          <w:p w14:paraId="0B8C244F"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3252000</w:t>
            </w:r>
          </w:p>
        </w:tc>
        <w:tc>
          <w:tcPr>
            <w:tcW w:w="1113" w:type="dxa"/>
            <w:tcBorders>
              <w:top w:val="nil"/>
              <w:left w:val="nil"/>
              <w:bottom w:val="single" w:sz="4" w:space="0" w:color="auto"/>
              <w:right w:val="single" w:sz="4" w:space="0" w:color="auto"/>
            </w:tcBorders>
            <w:shd w:val="clear" w:color="auto" w:fill="auto"/>
            <w:noWrap/>
            <w:vAlign w:val="bottom"/>
            <w:hideMark/>
          </w:tcPr>
          <w:p w14:paraId="1A599363" w14:textId="75BF409F"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2</w:t>
            </w:r>
            <w:r w:rsidR="003E5B6B">
              <w:rPr>
                <w:rFonts w:eastAsia="Times New Roman"/>
                <w:color w:val="000000"/>
                <w:sz w:val="22"/>
                <w:szCs w:val="22"/>
              </w:rPr>
              <w:t>6</w:t>
            </w:r>
          </w:p>
        </w:tc>
      </w:tr>
      <w:tr w:rsidR="007D7919" w:rsidRPr="00AA7664" w14:paraId="44699C8A"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0CF066F4" w14:textId="38EFBF62"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Total Liabilities</w:t>
            </w:r>
          </w:p>
        </w:tc>
        <w:tc>
          <w:tcPr>
            <w:tcW w:w="1201" w:type="dxa"/>
            <w:tcBorders>
              <w:top w:val="nil"/>
              <w:left w:val="nil"/>
              <w:bottom w:val="single" w:sz="4" w:space="0" w:color="auto"/>
              <w:right w:val="single" w:sz="4" w:space="0" w:color="auto"/>
            </w:tcBorders>
            <w:shd w:val="clear" w:color="auto" w:fill="auto"/>
            <w:noWrap/>
            <w:vAlign w:val="bottom"/>
            <w:hideMark/>
          </w:tcPr>
          <w:p w14:paraId="7DAA5D5A"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18241000</w:t>
            </w:r>
          </w:p>
        </w:tc>
        <w:tc>
          <w:tcPr>
            <w:tcW w:w="1201" w:type="dxa"/>
            <w:tcBorders>
              <w:top w:val="nil"/>
              <w:left w:val="nil"/>
              <w:bottom w:val="single" w:sz="4" w:space="0" w:color="auto"/>
              <w:right w:val="single" w:sz="4" w:space="0" w:color="auto"/>
            </w:tcBorders>
            <w:shd w:val="clear" w:color="auto" w:fill="auto"/>
            <w:noWrap/>
            <w:vAlign w:val="bottom"/>
            <w:hideMark/>
          </w:tcPr>
          <w:p w14:paraId="0BCC472D"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15429000</w:t>
            </w:r>
          </w:p>
        </w:tc>
        <w:tc>
          <w:tcPr>
            <w:tcW w:w="1142" w:type="dxa"/>
            <w:tcBorders>
              <w:top w:val="nil"/>
              <w:left w:val="nil"/>
              <w:bottom w:val="single" w:sz="4" w:space="0" w:color="auto"/>
              <w:right w:val="single" w:sz="4" w:space="0" w:color="auto"/>
            </w:tcBorders>
            <w:shd w:val="clear" w:color="auto" w:fill="auto"/>
            <w:noWrap/>
            <w:vAlign w:val="bottom"/>
            <w:hideMark/>
          </w:tcPr>
          <w:p w14:paraId="36D33807"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2812000</w:t>
            </w:r>
          </w:p>
        </w:tc>
        <w:tc>
          <w:tcPr>
            <w:tcW w:w="1113" w:type="dxa"/>
            <w:tcBorders>
              <w:top w:val="nil"/>
              <w:left w:val="nil"/>
              <w:bottom w:val="single" w:sz="4" w:space="0" w:color="auto"/>
              <w:right w:val="single" w:sz="4" w:space="0" w:color="auto"/>
            </w:tcBorders>
            <w:shd w:val="clear" w:color="auto" w:fill="auto"/>
            <w:noWrap/>
            <w:vAlign w:val="bottom"/>
            <w:hideMark/>
          </w:tcPr>
          <w:p w14:paraId="60194499" w14:textId="442CC9F8"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18</w:t>
            </w:r>
          </w:p>
        </w:tc>
      </w:tr>
      <w:tr w:rsidR="007D7919" w:rsidRPr="00AA7664" w14:paraId="3F579A10"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22A736BF"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Common Stock</w:t>
            </w:r>
          </w:p>
        </w:tc>
        <w:tc>
          <w:tcPr>
            <w:tcW w:w="1201" w:type="dxa"/>
            <w:tcBorders>
              <w:top w:val="nil"/>
              <w:left w:val="nil"/>
              <w:bottom w:val="single" w:sz="4" w:space="0" w:color="auto"/>
              <w:right w:val="single" w:sz="4" w:space="0" w:color="auto"/>
            </w:tcBorders>
            <w:shd w:val="clear" w:color="auto" w:fill="auto"/>
            <w:noWrap/>
            <w:vAlign w:val="bottom"/>
            <w:hideMark/>
          </w:tcPr>
          <w:p w14:paraId="03EC0459"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3000</w:t>
            </w:r>
          </w:p>
        </w:tc>
        <w:tc>
          <w:tcPr>
            <w:tcW w:w="1201" w:type="dxa"/>
            <w:tcBorders>
              <w:top w:val="nil"/>
              <w:left w:val="nil"/>
              <w:bottom w:val="single" w:sz="4" w:space="0" w:color="auto"/>
              <w:right w:val="single" w:sz="4" w:space="0" w:color="auto"/>
            </w:tcBorders>
            <w:shd w:val="clear" w:color="auto" w:fill="auto"/>
            <w:noWrap/>
            <w:vAlign w:val="bottom"/>
            <w:hideMark/>
          </w:tcPr>
          <w:p w14:paraId="106F7E56"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3000</w:t>
            </w:r>
          </w:p>
        </w:tc>
        <w:tc>
          <w:tcPr>
            <w:tcW w:w="1142" w:type="dxa"/>
            <w:tcBorders>
              <w:top w:val="nil"/>
              <w:left w:val="nil"/>
              <w:bottom w:val="single" w:sz="4" w:space="0" w:color="auto"/>
              <w:right w:val="single" w:sz="4" w:space="0" w:color="auto"/>
            </w:tcBorders>
            <w:shd w:val="clear" w:color="auto" w:fill="auto"/>
            <w:noWrap/>
            <w:vAlign w:val="bottom"/>
            <w:hideMark/>
          </w:tcPr>
          <w:p w14:paraId="204E5EF8"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0</w:t>
            </w:r>
          </w:p>
        </w:tc>
        <w:tc>
          <w:tcPr>
            <w:tcW w:w="1113" w:type="dxa"/>
            <w:tcBorders>
              <w:top w:val="nil"/>
              <w:left w:val="nil"/>
              <w:bottom w:val="single" w:sz="4" w:space="0" w:color="auto"/>
              <w:right w:val="single" w:sz="4" w:space="0" w:color="auto"/>
            </w:tcBorders>
            <w:shd w:val="clear" w:color="auto" w:fill="auto"/>
            <w:noWrap/>
            <w:vAlign w:val="bottom"/>
            <w:hideMark/>
          </w:tcPr>
          <w:p w14:paraId="799E0CA2" w14:textId="77777777"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0.00%</w:t>
            </w:r>
          </w:p>
        </w:tc>
      </w:tr>
      <w:tr w:rsidR="007D7919" w:rsidRPr="00AA7664" w14:paraId="068A3112"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1EBE315B"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Retained Earnings</w:t>
            </w:r>
          </w:p>
        </w:tc>
        <w:tc>
          <w:tcPr>
            <w:tcW w:w="1201" w:type="dxa"/>
            <w:tcBorders>
              <w:top w:val="nil"/>
              <w:left w:val="nil"/>
              <w:bottom w:val="single" w:sz="4" w:space="0" w:color="auto"/>
              <w:right w:val="single" w:sz="4" w:space="0" w:color="auto"/>
            </w:tcBorders>
            <w:shd w:val="clear" w:color="auto" w:fill="auto"/>
            <w:noWrap/>
            <w:vAlign w:val="bottom"/>
            <w:hideMark/>
          </w:tcPr>
          <w:p w14:paraId="017825DC"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-6732000</w:t>
            </w:r>
          </w:p>
        </w:tc>
        <w:tc>
          <w:tcPr>
            <w:tcW w:w="1201" w:type="dxa"/>
            <w:tcBorders>
              <w:top w:val="nil"/>
              <w:left w:val="nil"/>
              <w:bottom w:val="single" w:sz="4" w:space="0" w:color="auto"/>
              <w:right w:val="single" w:sz="4" w:space="0" w:color="auto"/>
            </w:tcBorders>
            <w:shd w:val="clear" w:color="auto" w:fill="auto"/>
            <w:noWrap/>
            <w:vAlign w:val="bottom"/>
            <w:hideMark/>
          </w:tcPr>
          <w:p w14:paraId="79512C6E"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-5965000</w:t>
            </w:r>
          </w:p>
        </w:tc>
        <w:tc>
          <w:tcPr>
            <w:tcW w:w="1142" w:type="dxa"/>
            <w:tcBorders>
              <w:top w:val="nil"/>
              <w:left w:val="nil"/>
              <w:bottom w:val="single" w:sz="4" w:space="0" w:color="auto"/>
              <w:right w:val="single" w:sz="4" w:space="0" w:color="auto"/>
            </w:tcBorders>
            <w:shd w:val="clear" w:color="auto" w:fill="auto"/>
            <w:noWrap/>
            <w:vAlign w:val="bottom"/>
            <w:hideMark/>
          </w:tcPr>
          <w:p w14:paraId="3A226B0D"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-767000</w:t>
            </w:r>
          </w:p>
        </w:tc>
        <w:tc>
          <w:tcPr>
            <w:tcW w:w="1113" w:type="dxa"/>
            <w:tcBorders>
              <w:top w:val="nil"/>
              <w:left w:val="nil"/>
              <w:bottom w:val="single" w:sz="4" w:space="0" w:color="auto"/>
              <w:right w:val="single" w:sz="4" w:space="0" w:color="auto"/>
            </w:tcBorders>
            <w:shd w:val="clear" w:color="auto" w:fill="auto"/>
            <w:noWrap/>
            <w:vAlign w:val="bottom"/>
            <w:hideMark/>
          </w:tcPr>
          <w:p w14:paraId="5571B71A" w14:textId="5B4E773F"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1</w:t>
            </w:r>
            <w:r w:rsidR="003E5B6B">
              <w:rPr>
                <w:rFonts w:eastAsia="Times New Roman"/>
                <w:color w:val="000000"/>
                <w:sz w:val="22"/>
                <w:szCs w:val="22"/>
              </w:rPr>
              <w:t>3</w:t>
            </w:r>
          </w:p>
        </w:tc>
      </w:tr>
      <w:tr w:rsidR="007D7919" w:rsidRPr="00AA7664" w14:paraId="6481C0AC"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7E894418"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Total Shareholder's Equity</w:t>
            </w:r>
          </w:p>
        </w:tc>
        <w:tc>
          <w:tcPr>
            <w:tcW w:w="1201" w:type="dxa"/>
            <w:tcBorders>
              <w:top w:val="nil"/>
              <w:left w:val="nil"/>
              <w:bottom w:val="single" w:sz="4" w:space="0" w:color="auto"/>
              <w:right w:val="single" w:sz="4" w:space="0" w:color="auto"/>
            </w:tcBorders>
            <w:shd w:val="clear" w:color="auto" w:fill="auto"/>
            <w:noWrap/>
            <w:vAlign w:val="bottom"/>
            <w:hideMark/>
          </w:tcPr>
          <w:p w14:paraId="730654A3"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-1490000</w:t>
            </w:r>
          </w:p>
        </w:tc>
        <w:tc>
          <w:tcPr>
            <w:tcW w:w="1201" w:type="dxa"/>
            <w:tcBorders>
              <w:top w:val="nil"/>
              <w:left w:val="nil"/>
              <w:bottom w:val="single" w:sz="4" w:space="0" w:color="auto"/>
              <w:right w:val="single" w:sz="4" w:space="0" w:color="auto"/>
            </w:tcBorders>
            <w:shd w:val="clear" w:color="auto" w:fill="auto"/>
            <w:noWrap/>
            <w:vAlign w:val="bottom"/>
            <w:hideMark/>
          </w:tcPr>
          <w:p w14:paraId="54E9DE3C"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-482000</w:t>
            </w:r>
          </w:p>
        </w:tc>
        <w:tc>
          <w:tcPr>
            <w:tcW w:w="1142" w:type="dxa"/>
            <w:tcBorders>
              <w:top w:val="nil"/>
              <w:left w:val="nil"/>
              <w:bottom w:val="single" w:sz="4" w:space="0" w:color="auto"/>
              <w:right w:val="single" w:sz="4" w:space="0" w:color="auto"/>
            </w:tcBorders>
            <w:shd w:val="clear" w:color="auto" w:fill="auto"/>
            <w:noWrap/>
            <w:vAlign w:val="bottom"/>
            <w:hideMark/>
          </w:tcPr>
          <w:p w14:paraId="2AFF88BA"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-1008000</w:t>
            </w:r>
          </w:p>
        </w:tc>
        <w:tc>
          <w:tcPr>
            <w:tcW w:w="1113" w:type="dxa"/>
            <w:tcBorders>
              <w:top w:val="nil"/>
              <w:left w:val="nil"/>
              <w:bottom w:val="single" w:sz="4" w:space="0" w:color="auto"/>
              <w:right w:val="single" w:sz="4" w:space="0" w:color="auto"/>
            </w:tcBorders>
            <w:shd w:val="clear" w:color="auto" w:fill="auto"/>
            <w:noWrap/>
            <w:vAlign w:val="bottom"/>
            <w:hideMark/>
          </w:tcPr>
          <w:p w14:paraId="282D14C0" w14:textId="6B1184A8"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209</w:t>
            </w:r>
          </w:p>
        </w:tc>
      </w:tr>
      <w:tr w:rsidR="007D7919" w:rsidRPr="00AA7664" w14:paraId="0B1D09E4" w14:textId="77777777" w:rsidTr="007D7919">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60C965CB" w14:textId="314375D6"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Total Liabilities and Stockholder's Equity</w:t>
            </w:r>
          </w:p>
        </w:tc>
        <w:tc>
          <w:tcPr>
            <w:tcW w:w="1201" w:type="dxa"/>
            <w:tcBorders>
              <w:top w:val="nil"/>
              <w:left w:val="nil"/>
              <w:bottom w:val="single" w:sz="4" w:space="0" w:color="auto"/>
              <w:right w:val="single" w:sz="4" w:space="0" w:color="auto"/>
            </w:tcBorders>
            <w:shd w:val="clear" w:color="auto" w:fill="auto"/>
            <w:noWrap/>
            <w:vAlign w:val="bottom"/>
            <w:hideMark/>
          </w:tcPr>
          <w:p w14:paraId="2952F863"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16755000</w:t>
            </w:r>
          </w:p>
        </w:tc>
        <w:tc>
          <w:tcPr>
            <w:tcW w:w="1201" w:type="dxa"/>
            <w:tcBorders>
              <w:top w:val="nil"/>
              <w:left w:val="nil"/>
              <w:bottom w:val="single" w:sz="4" w:space="0" w:color="auto"/>
              <w:right w:val="single" w:sz="4" w:space="0" w:color="auto"/>
            </w:tcBorders>
            <w:shd w:val="clear" w:color="auto" w:fill="auto"/>
            <w:noWrap/>
            <w:vAlign w:val="bottom"/>
            <w:hideMark/>
          </w:tcPr>
          <w:p w14:paraId="6F0FA70F"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14957000</w:t>
            </w:r>
          </w:p>
        </w:tc>
        <w:tc>
          <w:tcPr>
            <w:tcW w:w="1142" w:type="dxa"/>
            <w:tcBorders>
              <w:top w:val="nil"/>
              <w:left w:val="nil"/>
              <w:bottom w:val="single" w:sz="4" w:space="0" w:color="auto"/>
              <w:right w:val="single" w:sz="4" w:space="0" w:color="auto"/>
            </w:tcBorders>
            <w:shd w:val="clear" w:color="auto" w:fill="auto"/>
            <w:noWrap/>
            <w:vAlign w:val="bottom"/>
            <w:hideMark/>
          </w:tcPr>
          <w:p w14:paraId="4688D406" w14:textId="77777777" w:rsidR="007D7919" w:rsidRPr="00AA7664" w:rsidRDefault="007D7919" w:rsidP="00021C8B">
            <w:pPr>
              <w:spacing w:after="0" w:line="240" w:lineRule="auto"/>
              <w:jc w:val="both"/>
              <w:rPr>
                <w:rFonts w:eastAsia="Times New Roman"/>
                <w:color w:val="000000"/>
                <w:sz w:val="22"/>
                <w:szCs w:val="22"/>
              </w:rPr>
            </w:pPr>
            <w:r w:rsidRPr="00AA7664">
              <w:rPr>
                <w:rFonts w:eastAsia="Times New Roman"/>
                <w:color w:val="000000"/>
                <w:sz w:val="22"/>
                <w:szCs w:val="22"/>
              </w:rPr>
              <w:t>1798000</w:t>
            </w:r>
          </w:p>
        </w:tc>
        <w:tc>
          <w:tcPr>
            <w:tcW w:w="1113" w:type="dxa"/>
            <w:tcBorders>
              <w:top w:val="nil"/>
              <w:left w:val="nil"/>
              <w:bottom w:val="single" w:sz="4" w:space="0" w:color="auto"/>
              <w:right w:val="single" w:sz="4" w:space="0" w:color="auto"/>
            </w:tcBorders>
            <w:shd w:val="clear" w:color="auto" w:fill="auto"/>
            <w:noWrap/>
            <w:vAlign w:val="bottom"/>
            <w:hideMark/>
          </w:tcPr>
          <w:p w14:paraId="0A3AC17A" w14:textId="6FB2E10B" w:rsidR="007D7919" w:rsidRPr="00AA7664" w:rsidRDefault="007D7919" w:rsidP="0062287B">
            <w:pPr>
              <w:spacing w:after="0" w:line="240" w:lineRule="auto"/>
              <w:jc w:val="center"/>
              <w:rPr>
                <w:rFonts w:eastAsia="Times New Roman"/>
                <w:color w:val="000000"/>
                <w:sz w:val="22"/>
                <w:szCs w:val="22"/>
              </w:rPr>
            </w:pPr>
            <w:r w:rsidRPr="00AA7664">
              <w:rPr>
                <w:rFonts w:eastAsia="Times New Roman"/>
                <w:color w:val="000000"/>
                <w:sz w:val="22"/>
                <w:szCs w:val="22"/>
              </w:rPr>
              <w:t>12</w:t>
            </w:r>
          </w:p>
        </w:tc>
      </w:tr>
    </w:tbl>
    <w:p w14:paraId="7929AAEF" w14:textId="49AD6545" w:rsidR="0053260F" w:rsidRPr="00AA7664" w:rsidRDefault="0053260F" w:rsidP="00021C8B">
      <w:pPr>
        <w:jc w:val="both"/>
      </w:pPr>
    </w:p>
    <w:p w14:paraId="18F32FAB" w14:textId="20E4D382" w:rsidR="009D0B18" w:rsidRPr="00AA7664" w:rsidRDefault="009D0B18" w:rsidP="00021C8B">
      <w:pPr>
        <w:jc w:val="both"/>
      </w:pPr>
      <w:r w:rsidRPr="00AA7664">
        <w:t xml:space="preserve">Using horizontal ratio </w:t>
      </w:r>
      <w:r w:rsidR="00406F73" w:rsidRPr="00AA7664">
        <w:t>analysis,</w:t>
      </w:r>
      <w:r w:rsidRPr="00AA7664">
        <w:t xml:space="preserve"> we can see, </w:t>
      </w:r>
    </w:p>
    <w:p w14:paraId="5A7886E6" w14:textId="77777777" w:rsidR="00316F20" w:rsidRPr="00AA7664" w:rsidRDefault="009D0B18" w:rsidP="00021C8B">
      <w:pPr>
        <w:pStyle w:val="ListParagraph"/>
        <w:numPr>
          <w:ilvl w:val="0"/>
          <w:numId w:val="2"/>
        </w:numPr>
        <w:jc w:val="both"/>
      </w:pPr>
      <w:r w:rsidRPr="00AA7664">
        <w:t xml:space="preserve">The current Asset increased more than double in 2020 comparing to 2019. The </w:t>
      </w:r>
      <w:r w:rsidR="00316F20" w:rsidRPr="00AA7664">
        <w:t xml:space="preserve">absolute </w:t>
      </w:r>
      <w:r w:rsidRPr="00AA7664">
        <w:t>change was positive 2109000 or 100.76%</w:t>
      </w:r>
      <w:r w:rsidR="00316F20" w:rsidRPr="00AA7664">
        <w:t xml:space="preserve"> in 2020 compared to 2019. </w:t>
      </w:r>
    </w:p>
    <w:p w14:paraId="4087479A" w14:textId="77777777" w:rsidR="00316F20" w:rsidRPr="00AA7664" w:rsidRDefault="00316F20" w:rsidP="00021C8B">
      <w:pPr>
        <w:pStyle w:val="ListParagraph"/>
        <w:numPr>
          <w:ilvl w:val="0"/>
          <w:numId w:val="2"/>
        </w:numPr>
        <w:jc w:val="both"/>
      </w:pPr>
      <w:r w:rsidRPr="00AA7664">
        <w:t>The non-current asset has also increased 25.90% in 2020 compared to 2019. The absolute change was 3252000 increases in non-current assets in 2020</w:t>
      </w:r>
    </w:p>
    <w:p w14:paraId="5D6D043A" w14:textId="77777777" w:rsidR="00316F20" w:rsidRPr="00AA7664" w:rsidRDefault="00316F20" w:rsidP="00021C8B">
      <w:pPr>
        <w:pStyle w:val="ListParagraph"/>
        <w:numPr>
          <w:ilvl w:val="0"/>
          <w:numId w:val="2"/>
        </w:numPr>
        <w:jc w:val="both"/>
      </w:pPr>
      <w:r w:rsidRPr="00AA7664">
        <w:t>Overall, the total asset has increased 1798000 or 12.02% in 2020 than total asset of 2019.</w:t>
      </w:r>
    </w:p>
    <w:p w14:paraId="58CEB28F" w14:textId="77777777" w:rsidR="00625D07" w:rsidRPr="00AA7664" w:rsidRDefault="00625D07" w:rsidP="00021C8B">
      <w:pPr>
        <w:pStyle w:val="ListParagraph"/>
        <w:numPr>
          <w:ilvl w:val="0"/>
          <w:numId w:val="2"/>
        </w:numPr>
        <w:jc w:val="both"/>
      </w:pPr>
      <w:r w:rsidRPr="00AA7664">
        <w:t>On the other hand, we can see a decrease of 15.33% or 440000 in current liabilities in 2020 and increase of 25.90% or 3252000 in non-current liabilities.</w:t>
      </w:r>
    </w:p>
    <w:p w14:paraId="080BF271" w14:textId="77777777" w:rsidR="00A81728" w:rsidRPr="00AA7664" w:rsidRDefault="00625D07" w:rsidP="00021C8B">
      <w:pPr>
        <w:pStyle w:val="ListParagraph"/>
        <w:numPr>
          <w:ilvl w:val="0"/>
          <w:numId w:val="2"/>
        </w:numPr>
        <w:jc w:val="both"/>
      </w:pPr>
      <w:r w:rsidRPr="00AA7664">
        <w:t>Overall, the total liabilities increased about 18.23% or 2812000</w:t>
      </w:r>
      <w:r w:rsidR="00A81728" w:rsidRPr="00AA7664">
        <w:t xml:space="preserve"> in 2020 compared to 2019.</w:t>
      </w:r>
    </w:p>
    <w:p w14:paraId="073022BD" w14:textId="77777777" w:rsidR="00A81728" w:rsidRPr="00AA7664" w:rsidRDefault="00A81728" w:rsidP="00021C8B">
      <w:pPr>
        <w:pStyle w:val="ListParagraph"/>
        <w:numPr>
          <w:ilvl w:val="0"/>
          <w:numId w:val="2"/>
        </w:numPr>
        <w:jc w:val="both"/>
      </w:pPr>
      <w:r w:rsidRPr="00AA7664">
        <w:t>The common stock number didn’t change between the years. This means no new common stock has been issued.</w:t>
      </w:r>
    </w:p>
    <w:p w14:paraId="4677AA19" w14:textId="77777777" w:rsidR="00924751" w:rsidRPr="00AA7664" w:rsidRDefault="00924751" w:rsidP="00021C8B">
      <w:pPr>
        <w:pStyle w:val="ListParagraph"/>
        <w:numPr>
          <w:ilvl w:val="0"/>
          <w:numId w:val="2"/>
        </w:numPr>
        <w:jc w:val="both"/>
      </w:pPr>
      <w:r w:rsidRPr="00AA7664">
        <w:br w:type="page"/>
      </w:r>
    </w:p>
    <w:p w14:paraId="7D7C0E0F" w14:textId="4DC62B4B" w:rsidR="0075590E" w:rsidRPr="00AA7664" w:rsidRDefault="0075590E" w:rsidP="00021C8B">
      <w:pPr>
        <w:pStyle w:val="ListParagraph"/>
        <w:numPr>
          <w:ilvl w:val="0"/>
          <w:numId w:val="2"/>
        </w:numPr>
        <w:jc w:val="both"/>
      </w:pPr>
      <w:r w:rsidRPr="00AA7664">
        <w:lastRenderedPageBreak/>
        <w:t>We can also see an increased retained loss of 767000 in 2020. In other words, the retained loss increased 12.86% more in 2020 than 2019.</w:t>
      </w:r>
    </w:p>
    <w:p w14:paraId="3AFB438A" w14:textId="77777777" w:rsidR="00924751" w:rsidRPr="00AA7664" w:rsidRDefault="0075590E" w:rsidP="00021C8B">
      <w:pPr>
        <w:pStyle w:val="ListParagraph"/>
        <w:numPr>
          <w:ilvl w:val="0"/>
          <w:numId w:val="2"/>
        </w:numPr>
        <w:jc w:val="both"/>
      </w:pPr>
      <w:r w:rsidRPr="00AA7664">
        <w:t xml:space="preserve">Overall total shareholder’s equity </w:t>
      </w:r>
      <w:r w:rsidR="00924751" w:rsidRPr="00AA7664">
        <w:t>has seen a change of -1008000 or 209.13%. This is the item that has changed significantly in 2020. This negative equity increased because the total liabilities are more than shareholder’s equity.</w:t>
      </w:r>
    </w:p>
    <w:p w14:paraId="16488A6C" w14:textId="77777777" w:rsidR="00021C8B" w:rsidRPr="00AA7664" w:rsidRDefault="00924751" w:rsidP="00021C8B">
      <w:pPr>
        <w:pStyle w:val="ListParagraph"/>
        <w:numPr>
          <w:ilvl w:val="0"/>
          <w:numId w:val="2"/>
        </w:numPr>
        <w:jc w:val="both"/>
      </w:pPr>
      <w:r w:rsidRPr="00AA7664">
        <w:t>Lastly, we can see the total liability and shareholder’s equity has increased 12.02% or 1798000 in 2020 compared to 2019. This was mostly because of the increase in non-current liabilities. Also, there was increased retained loss.</w:t>
      </w:r>
      <w:r w:rsidR="00021C8B" w:rsidRPr="00AA7664">
        <w:t xml:space="preserve"> We are assuming this situation has happened because due to covid pandemic the organization had no income, so it had to take long-term loans or other liability options which increased its overall liability.</w:t>
      </w:r>
    </w:p>
    <w:p w14:paraId="10A9ED88" w14:textId="0652ACD8" w:rsidR="00021C8B" w:rsidRPr="001F4DCD" w:rsidRDefault="00021C8B" w:rsidP="00267BFF">
      <w:pPr>
        <w:rPr>
          <w:sz w:val="32"/>
          <w:szCs w:val="32"/>
        </w:rPr>
      </w:pPr>
      <w:r w:rsidRPr="00AA7664">
        <w:br w:type="page"/>
      </w:r>
      <w:bookmarkStart w:id="4" w:name="_Toc103611340"/>
      <w:r w:rsidRPr="001F4DCD">
        <w:rPr>
          <w:color w:val="5B9BD5" w:themeColor="accent5"/>
          <w:sz w:val="32"/>
          <w:szCs w:val="32"/>
        </w:rPr>
        <w:lastRenderedPageBreak/>
        <w:t>Task:2 Importance of Ratio Analysis in Decision Making</w:t>
      </w:r>
      <w:bookmarkEnd w:id="4"/>
    </w:p>
    <w:p w14:paraId="73A031B3" w14:textId="7116BE47" w:rsidR="00FE3773" w:rsidRPr="00AA7664" w:rsidRDefault="00FE3773" w:rsidP="00FE3773">
      <w:pPr>
        <w:jc w:val="both"/>
      </w:pPr>
      <w:r w:rsidRPr="00AA7664">
        <w:t xml:space="preserve">In modern management, decision making is one of the most essential components. Fundamentally, </w:t>
      </w:r>
      <w:proofErr w:type="gramStart"/>
      <w:r w:rsidRPr="00AA7664">
        <w:t>rational</w:t>
      </w:r>
      <w:proofErr w:type="gramEnd"/>
      <w:r w:rsidRPr="00AA7664">
        <w:t xml:space="preserve"> or sound decision making is seen as the most important managerial role. Every manager makes hundreds upon hundreds of decisions, whether unconsciously or deliberately, making it the most important aspect of their job (</w:t>
      </w:r>
      <w:proofErr w:type="spellStart"/>
      <w:r w:rsidRPr="00AA7664">
        <w:t>Juneja</w:t>
      </w:r>
      <w:proofErr w:type="spellEnd"/>
      <w:r w:rsidRPr="00AA7664">
        <w:t xml:space="preserve">, 2022). Important roles are played by decisions since they determine both organizational and management activity. </w:t>
      </w:r>
      <w:r w:rsidR="005E5644" w:rsidRPr="00AA7664">
        <w:t xml:space="preserve">Decision making is the process of gathering information, identify alternatives, </w:t>
      </w:r>
      <w:r w:rsidR="00406F73" w:rsidRPr="00AA7664">
        <w:t>analysing</w:t>
      </w:r>
      <w:r w:rsidR="005E5644" w:rsidRPr="00AA7664">
        <w:t xml:space="preserve"> them and deciding to choose the best alternative </w:t>
      </w:r>
      <w:r w:rsidR="005E5644" w:rsidRPr="00AA7664">
        <w:rPr>
          <w:color w:val="000000"/>
          <w:shd w:val="clear" w:color="auto" w:fill="FFFFFF"/>
        </w:rPr>
        <w:t>(Dartmouth, 2022)</w:t>
      </w:r>
      <w:r w:rsidR="005E5644" w:rsidRPr="00AA7664">
        <w:t xml:space="preserve">. </w:t>
      </w:r>
    </w:p>
    <w:p w14:paraId="45D87224" w14:textId="77777777" w:rsidR="00F8497B" w:rsidRPr="00AA7664" w:rsidRDefault="00FE3773" w:rsidP="00FE3773">
      <w:pPr>
        <w:jc w:val="both"/>
      </w:pPr>
      <w:r w:rsidRPr="00AA7664">
        <w:t>However, managers can’t make essential decision based on just their judgement. There are many tools that can help managers taking decisions. Ratio analysis is one of such tools.</w:t>
      </w:r>
    </w:p>
    <w:p w14:paraId="535B1217" w14:textId="3D5F9932" w:rsidR="00F8497B" w:rsidRPr="00AA7664" w:rsidRDefault="00F8497B" w:rsidP="00F8497B">
      <w:pPr>
        <w:jc w:val="both"/>
      </w:pPr>
      <w:r w:rsidRPr="00AA7664">
        <w:t xml:space="preserve">Ratio analysis is the technique of </w:t>
      </w:r>
      <w:r w:rsidR="00406F73" w:rsidRPr="00AA7664">
        <w:t>analysing</w:t>
      </w:r>
      <w:r w:rsidRPr="00AA7664">
        <w:t xml:space="preserve"> various parts of the financial data contained in a company's financial statements. Usually, analysts employ ratio analysis to identify the company's essential financial elements, such as solvency, liquidity, and profitability. These are some of the essential metrics that enable industry executives to develop more effective company strategies and make timely decisions</w:t>
      </w:r>
      <w:r w:rsidR="008631BB">
        <w:t xml:space="preserve"> </w:t>
      </w:r>
      <w:r w:rsidR="008631BB" w:rsidRPr="008631BB">
        <w:t>(Horngren, 2014)</w:t>
      </w:r>
      <w:r w:rsidR="00406F73">
        <w:t>.</w:t>
      </w:r>
    </w:p>
    <w:p w14:paraId="44A98E68" w14:textId="2B7083A3" w:rsidR="009505DC" w:rsidRPr="00AA7664" w:rsidRDefault="00F8497B" w:rsidP="00F8497B">
      <w:pPr>
        <w:jc w:val="both"/>
      </w:pPr>
      <w:r w:rsidRPr="00AA7664">
        <w:t>Financial statements from the past and present must be used by data analysts to collect data that will allow them to obtain important information about the company's financial performance. With this information, analysts may establish if a company's finances are improving or deteriorating and compare it to its competitors.</w:t>
      </w:r>
      <w:r w:rsidR="00FE3773" w:rsidRPr="00AA7664">
        <w:t xml:space="preserve"> </w:t>
      </w:r>
      <w:r w:rsidR="009505DC" w:rsidRPr="00AA7664">
        <w:t>And comparing these they can take effective decisions</w:t>
      </w:r>
      <w:r w:rsidR="001903B2" w:rsidRPr="00AA7664">
        <w:t xml:space="preserve"> </w:t>
      </w:r>
      <w:r w:rsidR="001903B2" w:rsidRPr="00AA7664">
        <w:rPr>
          <w:color w:val="000000"/>
          <w:sz w:val="20"/>
          <w:szCs w:val="20"/>
          <w:shd w:val="clear" w:color="auto" w:fill="FFFFFF"/>
        </w:rPr>
        <w:t>(BLOOMENTHAL, 2021)</w:t>
      </w:r>
      <w:r w:rsidR="009505DC" w:rsidRPr="00AA7664">
        <w:t>.</w:t>
      </w:r>
    </w:p>
    <w:p w14:paraId="39FDF832" w14:textId="77777777" w:rsidR="001903B2" w:rsidRPr="00AA7664" w:rsidRDefault="009505DC" w:rsidP="00F8497B">
      <w:pPr>
        <w:jc w:val="both"/>
      </w:pPr>
      <w:r w:rsidRPr="00AA7664">
        <w:t>Ratio analysis also helps managers to identify risks. This helps them to avoid taking risky decisions (Banerjee, 2022).</w:t>
      </w:r>
      <w:r w:rsidR="001903B2" w:rsidRPr="00AA7664">
        <w:t xml:space="preserve"> </w:t>
      </w:r>
    </w:p>
    <w:p w14:paraId="0617D284" w14:textId="77777777" w:rsidR="001903B2" w:rsidRPr="00AA7664" w:rsidRDefault="001903B2">
      <w:r w:rsidRPr="00AA7664">
        <w:br w:type="page"/>
      </w:r>
    </w:p>
    <w:p w14:paraId="071F3E50" w14:textId="3C89E307" w:rsidR="001903B2" w:rsidRPr="00AA7664" w:rsidRDefault="001903B2" w:rsidP="001903B2">
      <w:pPr>
        <w:pStyle w:val="Heading1"/>
        <w:rPr>
          <w:rFonts w:cs="Times New Roman"/>
        </w:rPr>
      </w:pPr>
      <w:bookmarkStart w:id="5" w:name="_Toc103611341"/>
      <w:r w:rsidRPr="00AA7664">
        <w:rPr>
          <w:rFonts w:cs="Times New Roman"/>
        </w:rPr>
        <w:lastRenderedPageBreak/>
        <w:t>Task:3.1 Limitations of Ratio Analysis</w:t>
      </w:r>
      <w:bookmarkEnd w:id="5"/>
    </w:p>
    <w:p w14:paraId="10D74A47" w14:textId="11CE5665" w:rsidR="001903B2" w:rsidRPr="00AA7664" w:rsidRDefault="006D7B3F" w:rsidP="001903B2">
      <w:r w:rsidRPr="00AA7664">
        <w:t xml:space="preserve">Although ratio analysis is a very important tool for decision-making </w:t>
      </w:r>
      <w:r w:rsidR="000D7F09" w:rsidRPr="00AA7664">
        <w:t>it has some limitations. They are-</w:t>
      </w:r>
    </w:p>
    <w:p w14:paraId="446B3B65" w14:textId="77777777" w:rsidR="0068616B" w:rsidRPr="00AA7664" w:rsidRDefault="0068616B" w:rsidP="001903B2">
      <w:pPr>
        <w:pStyle w:val="ListParagraph"/>
        <w:numPr>
          <w:ilvl w:val="0"/>
          <w:numId w:val="3"/>
        </w:numPr>
      </w:pPr>
      <w:r w:rsidRPr="00AA7664">
        <w:t>Ratio analysis usually compares historical data. This implies that the result derived in the past may not be same in present. It can only be used to compare past data with present data.</w:t>
      </w:r>
    </w:p>
    <w:p w14:paraId="21E63AAF" w14:textId="57272376" w:rsidR="00793B73" w:rsidRPr="00AA7664" w:rsidRDefault="00793B73" w:rsidP="001903B2">
      <w:pPr>
        <w:pStyle w:val="ListParagraph"/>
        <w:numPr>
          <w:ilvl w:val="0"/>
          <w:numId w:val="3"/>
        </w:numPr>
      </w:pPr>
      <w:r w:rsidRPr="00AA7664">
        <w:t>Ratio analysis cannot be used to compare different companies if their sizes and natures are not comparable</w:t>
      </w:r>
      <w:r w:rsidR="00B25FF5" w:rsidRPr="00AA7664">
        <w:t xml:space="preserve"> (Bragg and Bragg, 2022)</w:t>
      </w:r>
      <w:r w:rsidRPr="00AA7664">
        <w:t>.</w:t>
      </w:r>
    </w:p>
    <w:p w14:paraId="262A059B" w14:textId="77777777" w:rsidR="00793B73" w:rsidRPr="00AA7664" w:rsidRDefault="00793B73" w:rsidP="001903B2">
      <w:pPr>
        <w:pStyle w:val="ListParagraph"/>
        <w:numPr>
          <w:ilvl w:val="0"/>
          <w:numId w:val="3"/>
        </w:numPr>
      </w:pPr>
      <w:r w:rsidRPr="00AA7664">
        <w:t>There is no established ratio norm. Only rules of thumb are recognized and obeyed for all ratios. Therefore, ratio interpretation is challenging.</w:t>
      </w:r>
    </w:p>
    <w:p w14:paraId="542B08BE" w14:textId="77777777" w:rsidR="00793B73" w:rsidRPr="00AA7664" w:rsidRDefault="00793B73" w:rsidP="00793B73">
      <w:pPr>
        <w:pStyle w:val="ListParagraph"/>
        <w:numPr>
          <w:ilvl w:val="0"/>
          <w:numId w:val="3"/>
        </w:numPr>
      </w:pPr>
      <w:r w:rsidRPr="00AA7664">
        <w:t>Information on the income statement is presented in current costs, but some balance sheet items may be stated in historical costs. Due of this discrepancy, it's possible to have strange ratios.</w:t>
      </w:r>
    </w:p>
    <w:p w14:paraId="2C1AD759" w14:textId="6407C4E3" w:rsidR="00A67C34" w:rsidRPr="00AA7664" w:rsidRDefault="00A67C34" w:rsidP="00793B73">
      <w:pPr>
        <w:pStyle w:val="ListParagraph"/>
        <w:numPr>
          <w:ilvl w:val="0"/>
          <w:numId w:val="3"/>
        </w:numPr>
      </w:pPr>
      <w:r w:rsidRPr="00AA7664">
        <w:t>Human element is not considered in ratio analysis</w:t>
      </w:r>
      <w:r w:rsidR="00B25FF5" w:rsidRPr="00AA7664">
        <w:t xml:space="preserve"> (Purpose and limitations of Ratio Analysis - Ratios - Higher Business </w:t>
      </w:r>
      <w:r w:rsidR="00406F73" w:rsidRPr="00AA7664">
        <w:t>Management</w:t>
      </w:r>
      <w:r w:rsidR="00B25FF5" w:rsidRPr="00AA7664">
        <w:t xml:space="preserve"> Revision - BBC Bitesize, 2022)</w:t>
      </w:r>
      <w:r w:rsidRPr="00AA7664">
        <w:t>.</w:t>
      </w:r>
    </w:p>
    <w:p w14:paraId="5FB6DD39" w14:textId="77777777" w:rsidR="00A67C34" w:rsidRPr="00AA7664" w:rsidRDefault="00A67C34" w:rsidP="00793B73">
      <w:pPr>
        <w:pStyle w:val="ListParagraph"/>
        <w:numPr>
          <w:ilvl w:val="0"/>
          <w:numId w:val="3"/>
        </w:numPr>
      </w:pPr>
      <w:r w:rsidRPr="00AA7664">
        <w:t>External variables such as a global recession are not taken into consideration when calculating ratios.</w:t>
      </w:r>
    </w:p>
    <w:p w14:paraId="4015644E" w14:textId="1EC6549F" w:rsidR="00E06469" w:rsidRPr="00AA7664" w:rsidRDefault="00A67C34" w:rsidP="00793B73">
      <w:pPr>
        <w:pStyle w:val="ListParagraph"/>
        <w:numPr>
          <w:ilvl w:val="0"/>
          <w:numId w:val="3"/>
        </w:numPr>
      </w:pPr>
      <w:r w:rsidRPr="00AA7664">
        <w:t xml:space="preserve">Financial statements may have been aggregated in diverse manners in the past, which means that doing a ratio analysis on a </w:t>
      </w:r>
      <w:r w:rsidR="00406F73" w:rsidRPr="00AA7664">
        <w:t>trend line</w:t>
      </w:r>
      <w:r w:rsidRPr="00AA7664">
        <w:t xml:space="preserve"> does not compare </w:t>
      </w:r>
      <w:proofErr w:type="gramStart"/>
      <w:r w:rsidRPr="00AA7664">
        <w:t>exactly the same</w:t>
      </w:r>
      <w:proofErr w:type="gramEnd"/>
      <w:r w:rsidRPr="00AA7664">
        <w:t xml:space="preserve"> information throughout time</w:t>
      </w:r>
      <w:r w:rsidR="00B25FF5" w:rsidRPr="00AA7664">
        <w:t xml:space="preserve"> (Bragg and Bragg, 2022)</w:t>
      </w:r>
      <w:r w:rsidRPr="00AA7664">
        <w:t>.</w:t>
      </w:r>
    </w:p>
    <w:p w14:paraId="5ABE8205" w14:textId="647BE696" w:rsidR="00B25FF5" w:rsidRPr="00AA7664" w:rsidRDefault="00E06469" w:rsidP="00793B73">
      <w:pPr>
        <w:pStyle w:val="ListParagraph"/>
        <w:numPr>
          <w:ilvl w:val="0"/>
          <w:numId w:val="3"/>
        </w:numPr>
      </w:pPr>
      <w:r w:rsidRPr="00AA7664">
        <w:t>In ratio analysis, there is a time lag between calculation and communication. After the end of the accounting year, the financial statements are compiled and audited by a qualified auditor. Financial statements are issued following the conclusion of an annual general body meeting of the corporation. It might take anything from six to nine months to complete. There is no use in using ratios if this is the case</w:t>
      </w:r>
      <w:r w:rsidR="00B25FF5" w:rsidRPr="00AA7664">
        <w:t xml:space="preserve"> </w:t>
      </w:r>
      <w:r w:rsidR="00B25FF5" w:rsidRPr="00AA7664">
        <w:rPr>
          <w:color w:val="000000"/>
          <w:shd w:val="clear" w:color="auto" w:fill="FFFFFF"/>
        </w:rPr>
        <w:t>(C</w:t>
      </w:r>
      <w:r w:rsidR="00406F73">
        <w:rPr>
          <w:color w:val="000000"/>
          <w:shd w:val="clear" w:color="auto" w:fill="FFFFFF"/>
        </w:rPr>
        <w:t>ontents for Management Studies</w:t>
      </w:r>
      <w:r w:rsidR="00B25FF5" w:rsidRPr="00AA7664">
        <w:rPr>
          <w:color w:val="000000"/>
          <w:shd w:val="clear" w:color="auto" w:fill="FFFFFF"/>
        </w:rPr>
        <w:t>, 2022)</w:t>
      </w:r>
      <w:r w:rsidRPr="00AA7664">
        <w:t>.</w:t>
      </w:r>
      <w:r w:rsidR="00B25FF5" w:rsidRPr="00AA7664">
        <w:t xml:space="preserve"> </w:t>
      </w:r>
    </w:p>
    <w:p w14:paraId="58717928" w14:textId="77777777" w:rsidR="00B25FF5" w:rsidRPr="00AA7664" w:rsidRDefault="00B25FF5">
      <w:r w:rsidRPr="00AA7664">
        <w:br w:type="page"/>
      </w:r>
    </w:p>
    <w:p w14:paraId="22CA1FFB" w14:textId="13A33B19" w:rsidR="008B3AA2" w:rsidRPr="00AA7664" w:rsidRDefault="008B3AA2" w:rsidP="008B3AA2">
      <w:pPr>
        <w:pStyle w:val="Heading1"/>
        <w:rPr>
          <w:rFonts w:cs="Times New Roman"/>
        </w:rPr>
      </w:pPr>
      <w:bookmarkStart w:id="6" w:name="_Toc103611342"/>
      <w:r w:rsidRPr="00AA7664">
        <w:rPr>
          <w:rFonts w:cs="Times New Roman"/>
        </w:rPr>
        <w:lastRenderedPageBreak/>
        <w:t>Task:3.2 Importance of Ratio Analysis for Hotel Management</w:t>
      </w:r>
      <w:bookmarkEnd w:id="6"/>
      <w:r w:rsidRPr="00AA7664">
        <w:rPr>
          <w:rFonts w:cs="Times New Roman"/>
        </w:rPr>
        <w:t xml:space="preserve"> </w:t>
      </w:r>
    </w:p>
    <w:p w14:paraId="6A16285D" w14:textId="3BA60024" w:rsidR="00F55C7F" w:rsidRPr="00AA7664" w:rsidRDefault="008B3AA2" w:rsidP="00F55C7F">
      <w:r w:rsidRPr="00AA7664">
        <w:t>Hotel management and hospitality sector is one of the</w:t>
      </w:r>
      <w:r w:rsidR="00F55C7F" w:rsidRPr="00AA7664">
        <w:t xml:space="preserve"> most</w:t>
      </w:r>
      <w:r w:rsidRPr="00AA7664">
        <w:t xml:space="preserve"> booming economic sectors</w:t>
      </w:r>
      <w:r w:rsidR="00F55C7F" w:rsidRPr="00AA7664">
        <w:t xml:space="preserve"> now </w:t>
      </w:r>
      <w:r w:rsidR="00406F73" w:rsidRPr="00AA7664">
        <w:t>a day</w:t>
      </w:r>
      <w:r w:rsidRPr="00AA7664">
        <w:t xml:space="preserve">. </w:t>
      </w:r>
      <w:r w:rsidR="00F55C7F" w:rsidRPr="00AA7664">
        <w:t>Hotels and accommodation, event organizing, theme parks, transportation, cruise lines, and other industries in the tourism business are all part of the hospitality industry. But a successful business cannot run without proper decision making. Ratio analysis can help a hotel management business a lot in decision making</w:t>
      </w:r>
      <w:r w:rsidR="008631BB">
        <w:t xml:space="preserve"> </w:t>
      </w:r>
      <w:r w:rsidR="008631BB" w:rsidRPr="008631BB">
        <w:t>(</w:t>
      </w:r>
      <w:proofErr w:type="spellStart"/>
      <w:r w:rsidR="008631BB" w:rsidRPr="008631BB">
        <w:t>Kieso</w:t>
      </w:r>
      <w:proofErr w:type="spellEnd"/>
      <w:r w:rsidR="008631BB" w:rsidRPr="008631BB">
        <w:t>, Weygandt and Warfield, 2018)</w:t>
      </w:r>
      <w:r w:rsidR="00F55C7F" w:rsidRPr="00AA7664">
        <w:t>. As a result of the vast number of sub-sectors that comprise the hospitality sector, it is hard to compare businesses within it</w:t>
      </w:r>
      <w:r w:rsidR="00EA32D8" w:rsidRPr="00AA7664">
        <w:t xml:space="preserve"> (Tarver, 2022)</w:t>
      </w:r>
      <w:r w:rsidR="00F55C7F" w:rsidRPr="00AA7664">
        <w:t>. The following ratios can be used for an apple-to-apple comparison.</w:t>
      </w:r>
    </w:p>
    <w:p w14:paraId="1F617975" w14:textId="0600F87C" w:rsidR="00837C88" w:rsidRPr="00AA7664" w:rsidRDefault="00837C88" w:rsidP="00F55C7F">
      <w:pPr>
        <w:pStyle w:val="ListParagraph"/>
        <w:numPr>
          <w:ilvl w:val="0"/>
          <w:numId w:val="5"/>
        </w:numPr>
      </w:pPr>
      <w:r w:rsidRPr="00AA7664">
        <w:rPr>
          <w:b/>
          <w:bCs/>
        </w:rPr>
        <w:t>Liquidity Ratios:</w:t>
      </w:r>
      <w:r w:rsidRPr="00AA7664">
        <w:t xml:space="preserve"> Liquidity ratios provide information on a company's capacity to satisfy its short-term financial obligations to its stakeholders. Since the hotel business requires a substantial quantity of working capital and has numerous short-term financial obligations to meet, liquidity ratios are an essential part of its assessment.</w:t>
      </w:r>
    </w:p>
    <w:p w14:paraId="2274B8B9" w14:textId="6C17B83E" w:rsidR="00837C88" w:rsidRPr="00AA7664" w:rsidRDefault="00837C88" w:rsidP="00837C88">
      <w:pPr>
        <w:pStyle w:val="ListParagraph"/>
        <w:numPr>
          <w:ilvl w:val="0"/>
          <w:numId w:val="5"/>
        </w:numPr>
        <w:rPr>
          <w:b/>
          <w:bCs/>
        </w:rPr>
      </w:pPr>
      <w:r w:rsidRPr="00AA7664">
        <w:rPr>
          <w:b/>
          <w:bCs/>
        </w:rPr>
        <w:t xml:space="preserve">Financial Leverage Ratios:  </w:t>
      </w:r>
      <w:r w:rsidRPr="00AA7664">
        <w:t>Financial leverage ratios show stakeholders a hotel's long-term solvency. These ratios assess a firm's capacity to repay long-term debt.</w:t>
      </w:r>
      <w:r w:rsidR="00EA32D8" w:rsidRPr="00AA7664">
        <w:t xml:space="preserve"> </w:t>
      </w:r>
      <w:r w:rsidRPr="00AA7664">
        <w:t xml:space="preserve">Hospitality companies require a lot of long-term assets and long-term debt </w:t>
      </w:r>
      <w:r w:rsidR="00EA32D8" w:rsidRPr="00AA7664">
        <w:t>funding. The</w:t>
      </w:r>
      <w:r w:rsidRPr="00AA7664">
        <w:t xml:space="preserve"> debt ratio assesses a firm's capacity to service long-term debt. Hospitality firms need low debt ratios, suggesting their long-term assets surpass their debt</w:t>
      </w:r>
      <w:r w:rsidR="00EA32D8" w:rsidRPr="00AA7664">
        <w:t xml:space="preserve"> (Tarver, 2022)</w:t>
      </w:r>
      <w:r w:rsidRPr="00AA7664">
        <w:t>.</w:t>
      </w:r>
    </w:p>
    <w:p w14:paraId="59514DE6" w14:textId="77777777" w:rsidR="00D926DD" w:rsidRPr="00AA7664" w:rsidRDefault="00837C88" w:rsidP="00EA32D8">
      <w:pPr>
        <w:pStyle w:val="ListParagraph"/>
        <w:numPr>
          <w:ilvl w:val="0"/>
          <w:numId w:val="5"/>
        </w:numPr>
      </w:pPr>
      <w:r w:rsidRPr="00AA7664">
        <w:rPr>
          <w:b/>
          <w:bCs/>
        </w:rPr>
        <w:t>Profitability Ratios:</w:t>
      </w:r>
      <w:r w:rsidR="00EA32D8" w:rsidRPr="00AA7664">
        <w:rPr>
          <w:b/>
          <w:bCs/>
        </w:rPr>
        <w:t xml:space="preserve">  </w:t>
      </w:r>
      <w:r w:rsidR="00EA32D8" w:rsidRPr="00AA7664">
        <w:t>Profitability ratios quantify a company's gross profit, operational profit, and net profit levels of profitability. The hotel business generates billions of dollars, and many enterprises are well-established, implying that profit margins at all levels should be substantial. This ratio is also used for comparing profits with competitors.</w:t>
      </w:r>
      <w:r w:rsidR="00D926DD" w:rsidRPr="00AA7664">
        <w:t xml:space="preserve"> </w:t>
      </w:r>
    </w:p>
    <w:p w14:paraId="1F0E87AE" w14:textId="77777777" w:rsidR="00D926DD" w:rsidRPr="00AA7664" w:rsidRDefault="00D926DD">
      <w:r w:rsidRPr="00AA7664">
        <w:br w:type="page"/>
      </w:r>
    </w:p>
    <w:p w14:paraId="5F4318DF" w14:textId="77777777" w:rsidR="00D926DD" w:rsidRPr="00AA7664" w:rsidRDefault="00D926DD" w:rsidP="00D926DD">
      <w:pPr>
        <w:pStyle w:val="Heading1"/>
      </w:pPr>
      <w:bookmarkStart w:id="7" w:name="_Toc103611343"/>
      <w:r w:rsidRPr="00AA7664">
        <w:lastRenderedPageBreak/>
        <w:t>Conclusion</w:t>
      </w:r>
      <w:bookmarkEnd w:id="7"/>
    </w:p>
    <w:p w14:paraId="3C1B1CDA" w14:textId="509517B3" w:rsidR="00D926DD" w:rsidRPr="00AA7664" w:rsidRDefault="00D926DD" w:rsidP="00791492">
      <w:pPr>
        <w:spacing w:after="0"/>
        <w:jc w:val="both"/>
        <w:rPr>
          <w:rFonts w:eastAsia="Times New Roman"/>
          <w:color w:val="000000"/>
          <w:sz w:val="22"/>
          <w:szCs w:val="22"/>
        </w:rPr>
      </w:pPr>
      <w:r w:rsidRPr="00AA7664">
        <w:t xml:space="preserve">From the report we can see ratio analysis is a very important tool for decision making in businesses despite having many limitations. In this report we have computed horizontal ratios of Income statement and balance sheet of </w:t>
      </w:r>
      <w:r w:rsidRPr="00AA7664">
        <w:rPr>
          <w:rFonts w:eastAsia="Times New Roman"/>
          <w:color w:val="000000"/>
          <w:sz w:val="22"/>
          <w:szCs w:val="22"/>
        </w:rPr>
        <w:t xml:space="preserve">Hilton Worldwide Holdings Inc. (HLT). We have also discussed the importance of ratio analysis and limitations of it. Lastly, we tried to highlight the importance of understanding ratio analysis in terms of hotel management industry. We hope this report will give a student a basic idea of ratio analysis and its importance for business. </w:t>
      </w:r>
    </w:p>
    <w:p w14:paraId="2EB7A5F4" w14:textId="77777777" w:rsidR="00267BFF" w:rsidRDefault="00267BFF" w:rsidP="00267BFF">
      <w:pPr>
        <w:jc w:val="both"/>
      </w:pPr>
      <w:bookmarkStart w:id="8" w:name="_Toc103611344"/>
    </w:p>
    <w:p w14:paraId="2E96FD74" w14:textId="77777777" w:rsidR="00267BFF" w:rsidRDefault="00267BFF" w:rsidP="00267BFF">
      <w:pPr>
        <w:jc w:val="both"/>
      </w:pPr>
    </w:p>
    <w:p w14:paraId="4087F6E7" w14:textId="77777777" w:rsidR="00267BFF" w:rsidRDefault="00267BFF" w:rsidP="00267BFF">
      <w:pPr>
        <w:jc w:val="both"/>
      </w:pPr>
    </w:p>
    <w:p w14:paraId="7C42276B" w14:textId="7186195D" w:rsidR="008631BB" w:rsidRPr="00267BFF" w:rsidRDefault="00533613" w:rsidP="00267BFF">
      <w:pPr>
        <w:jc w:val="both"/>
        <w:rPr>
          <w:sz w:val="28"/>
          <w:szCs w:val="28"/>
        </w:rPr>
      </w:pPr>
      <w:r w:rsidRPr="001F4DCD">
        <w:rPr>
          <w:color w:val="4472C4" w:themeColor="accent1"/>
          <w:sz w:val="28"/>
          <w:szCs w:val="28"/>
        </w:rPr>
        <w:t>Reference</w:t>
      </w:r>
      <w:bookmarkEnd w:id="8"/>
    </w:p>
    <w:p w14:paraId="10EF22FE" w14:textId="4F2D70B5" w:rsidR="008631BB" w:rsidRPr="002D59AB" w:rsidRDefault="008631BB" w:rsidP="00791492">
      <w:pPr>
        <w:rPr>
          <w:sz w:val="22"/>
          <w:szCs w:val="22"/>
        </w:rPr>
      </w:pPr>
      <w:r w:rsidRPr="002D59AB">
        <w:rPr>
          <w:color w:val="000000"/>
          <w:sz w:val="22"/>
          <w:szCs w:val="22"/>
          <w:shd w:val="clear" w:color="auto" w:fill="FFFFFF"/>
        </w:rPr>
        <w:t xml:space="preserve">Accountlearning.com.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 xml:space="preserve">Limitations of Ratio Analysis – </w:t>
      </w:r>
      <w:proofErr w:type="spellStart"/>
      <w:r w:rsidRPr="002D59AB">
        <w:rPr>
          <w:i/>
          <w:iCs/>
          <w:color w:val="000000"/>
          <w:sz w:val="22"/>
          <w:szCs w:val="22"/>
          <w:shd w:val="clear" w:color="auto" w:fill="FFFFFF"/>
        </w:rPr>
        <w:t>Accountlearning</w:t>
      </w:r>
      <w:proofErr w:type="spellEnd"/>
      <w:r w:rsidRPr="002D59AB">
        <w:rPr>
          <w:i/>
          <w:iCs/>
          <w:color w:val="000000"/>
          <w:sz w:val="22"/>
          <w:szCs w:val="22"/>
          <w:shd w:val="clear" w:color="auto" w:fill="FFFFFF"/>
        </w:rPr>
        <w:t xml:space="preserve"> | Contents for Management Studies |</w:t>
      </w:r>
      <w:r w:rsidRPr="002D59AB">
        <w:rPr>
          <w:color w:val="000000"/>
          <w:sz w:val="22"/>
          <w:szCs w:val="22"/>
          <w:shd w:val="clear" w:color="auto" w:fill="FFFFFF"/>
        </w:rPr>
        <w:t>. [online] Available at: &lt;https://accountlearning.com/limitations-of-ratio-analysis/&gt; [Accessed 16 May 2022].</w:t>
      </w:r>
    </w:p>
    <w:p w14:paraId="411E2C23" w14:textId="52E14EF7"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t xml:space="preserve">Banerjee, P.,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Importance of Ratio Analysis</w:t>
      </w:r>
      <w:r w:rsidRPr="002D59AB">
        <w:rPr>
          <w:color w:val="000000"/>
          <w:sz w:val="22"/>
          <w:szCs w:val="22"/>
          <w:shd w:val="clear" w:color="auto" w:fill="FFFFFF"/>
        </w:rPr>
        <w:t xml:space="preserve">. [online] </w:t>
      </w:r>
      <w:proofErr w:type="spellStart"/>
      <w:r w:rsidRPr="002D59AB">
        <w:rPr>
          <w:color w:val="000000"/>
          <w:sz w:val="22"/>
          <w:szCs w:val="22"/>
          <w:shd w:val="clear" w:color="auto" w:fill="FFFFFF"/>
        </w:rPr>
        <w:t>WallStreetMojo</w:t>
      </w:r>
      <w:proofErr w:type="spellEnd"/>
      <w:r w:rsidRPr="002D59AB">
        <w:rPr>
          <w:color w:val="000000"/>
          <w:sz w:val="22"/>
          <w:szCs w:val="22"/>
          <w:shd w:val="clear" w:color="auto" w:fill="FFFFFF"/>
        </w:rPr>
        <w:t>. Available at: &lt;https://www.wallstreetmojo.com/importance-of-ratio-analysis/&gt; [Accessed 15 May 2022].</w:t>
      </w:r>
    </w:p>
    <w:p w14:paraId="3D900797" w14:textId="6A056838"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t xml:space="preserve">BBC Bitesize.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Purpose and limitations of Ratio Analysis - Ratios - Higher Business management Revision - BBC Bitesize</w:t>
      </w:r>
      <w:r w:rsidRPr="002D59AB">
        <w:rPr>
          <w:color w:val="000000"/>
          <w:sz w:val="22"/>
          <w:szCs w:val="22"/>
          <w:shd w:val="clear" w:color="auto" w:fill="FFFFFF"/>
        </w:rPr>
        <w:t>. [online] Available at: &lt;https://www.bbc.co.uk/bitesize/guides/zrxn47h/revision/5#:~:text=ratio%20analysis%20does%20not%20measure,willing%20to%20share%20the%20information&gt; [Accessed 16 May 2022].</w:t>
      </w:r>
    </w:p>
    <w:p w14:paraId="598013A1" w14:textId="5A381C8A"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t xml:space="preserve">BLOOMENTHAL, A., </w:t>
      </w:r>
      <w:r w:rsidR="002D59AB" w:rsidRPr="002D59AB">
        <w:rPr>
          <w:color w:val="000000"/>
          <w:sz w:val="22"/>
          <w:szCs w:val="22"/>
          <w:shd w:val="clear" w:color="auto" w:fill="FFFFFF"/>
        </w:rPr>
        <w:t>(</w:t>
      </w:r>
      <w:r w:rsidRPr="002D59AB">
        <w:rPr>
          <w:color w:val="000000"/>
          <w:sz w:val="22"/>
          <w:szCs w:val="22"/>
          <w:shd w:val="clear" w:color="auto" w:fill="FFFFFF"/>
        </w:rPr>
        <w:t>2021</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Ratio Analysis</w:t>
      </w:r>
      <w:r w:rsidRPr="002D59AB">
        <w:rPr>
          <w:color w:val="000000"/>
          <w:sz w:val="22"/>
          <w:szCs w:val="22"/>
          <w:shd w:val="clear" w:color="auto" w:fill="FFFFFF"/>
        </w:rPr>
        <w:t>. [online] Investopedia. Available at: &lt;https://www.investopedia.com/terms/r/ratioanalysis.asp&gt; [Accessed 15 May 2022].</w:t>
      </w:r>
    </w:p>
    <w:p w14:paraId="217DF749" w14:textId="2DA77ACB"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t xml:space="preserve">Bragg, S. and Bragg, S.,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 xml:space="preserve">Limitations of ratio analysis — </w:t>
      </w:r>
      <w:proofErr w:type="spellStart"/>
      <w:r w:rsidRPr="002D59AB">
        <w:rPr>
          <w:i/>
          <w:iCs/>
          <w:color w:val="000000"/>
          <w:sz w:val="22"/>
          <w:szCs w:val="22"/>
          <w:shd w:val="clear" w:color="auto" w:fill="FFFFFF"/>
        </w:rPr>
        <w:t>AccountingTools</w:t>
      </w:r>
      <w:proofErr w:type="spellEnd"/>
      <w:r w:rsidRPr="002D59AB">
        <w:rPr>
          <w:color w:val="000000"/>
          <w:sz w:val="22"/>
          <w:szCs w:val="22"/>
          <w:shd w:val="clear" w:color="auto" w:fill="FFFFFF"/>
        </w:rPr>
        <w:t xml:space="preserve">. [online] </w:t>
      </w:r>
      <w:proofErr w:type="spellStart"/>
      <w:r w:rsidRPr="002D59AB">
        <w:rPr>
          <w:color w:val="000000"/>
          <w:sz w:val="22"/>
          <w:szCs w:val="22"/>
          <w:shd w:val="clear" w:color="auto" w:fill="FFFFFF"/>
        </w:rPr>
        <w:t>AccountingTools</w:t>
      </w:r>
      <w:proofErr w:type="spellEnd"/>
      <w:r w:rsidRPr="002D59AB">
        <w:rPr>
          <w:color w:val="000000"/>
          <w:sz w:val="22"/>
          <w:szCs w:val="22"/>
          <w:shd w:val="clear" w:color="auto" w:fill="FFFFFF"/>
        </w:rPr>
        <w:t>. Available at: &lt;https://www.accountingtools.com/articles/what-are-the-limitations-of-ratio-analysis.html&gt; [Accessed 16 May 2022].</w:t>
      </w:r>
    </w:p>
    <w:p w14:paraId="78845F4B" w14:textId="5F3396A1"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t xml:space="preserve">Corporate Finance Institute.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Horizontal Analysis</w:t>
      </w:r>
      <w:r w:rsidRPr="002D59AB">
        <w:rPr>
          <w:color w:val="000000"/>
          <w:sz w:val="22"/>
          <w:szCs w:val="22"/>
          <w:shd w:val="clear" w:color="auto" w:fill="FFFFFF"/>
        </w:rPr>
        <w:t>. [online] Available at: &lt;https://corporatefinanceinstitute.com/resources/knowledge/finance/horizontal-analysis/&gt; [Accessed 15 May 2022].</w:t>
      </w:r>
    </w:p>
    <w:p w14:paraId="0948ADCC" w14:textId="0C5C18B8"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lastRenderedPageBreak/>
        <w:t xml:space="preserve">Corporate Vision Magazine.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Why is Ratio Analysis so Important? - Corporate Vision Magazine</w:t>
      </w:r>
      <w:r w:rsidRPr="002D59AB">
        <w:rPr>
          <w:color w:val="000000"/>
          <w:sz w:val="22"/>
          <w:szCs w:val="22"/>
          <w:shd w:val="clear" w:color="auto" w:fill="FFFFFF"/>
        </w:rPr>
        <w:t>. [online] Available at: &lt;https://www.corporatevision-news.com/why-is-ratio-analysis-so-important/&gt; [Accessed 15 May 2022].</w:t>
      </w:r>
    </w:p>
    <w:p w14:paraId="44400DCD" w14:textId="00109596" w:rsidR="008631BB" w:rsidRPr="002D59AB" w:rsidRDefault="008631BB" w:rsidP="00791492">
      <w:pPr>
        <w:rPr>
          <w:color w:val="000000"/>
          <w:sz w:val="22"/>
          <w:szCs w:val="22"/>
          <w:shd w:val="clear" w:color="auto" w:fill="FFFFFF"/>
        </w:rPr>
      </w:pPr>
      <w:r w:rsidRPr="002D59AB">
        <w:rPr>
          <w:color w:val="000000"/>
          <w:sz w:val="22"/>
          <w:szCs w:val="22"/>
          <w:shd w:val="clear" w:color="auto" w:fill="FFFFFF"/>
        </w:rPr>
        <w:t xml:space="preserve">Dartmouth, U.,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Decision-making process</w:t>
      </w:r>
      <w:r w:rsidRPr="002D59AB">
        <w:rPr>
          <w:color w:val="000000"/>
          <w:sz w:val="22"/>
          <w:szCs w:val="22"/>
          <w:shd w:val="clear" w:color="auto" w:fill="FFFFFF"/>
        </w:rPr>
        <w:t>. [online] Umassd.edu. Available at: &lt;https://www.umassd.edu/fycm/decision-making/process/&gt; [Accessed 15 May 2022].</w:t>
      </w:r>
    </w:p>
    <w:p w14:paraId="685E4F22" w14:textId="77777777" w:rsidR="008631BB" w:rsidRPr="002D59AB" w:rsidRDefault="008631BB" w:rsidP="008631BB">
      <w:pPr>
        <w:rPr>
          <w:color w:val="000000"/>
          <w:sz w:val="22"/>
          <w:szCs w:val="22"/>
          <w:shd w:val="clear" w:color="auto" w:fill="FFFFFF"/>
        </w:rPr>
      </w:pPr>
      <w:r w:rsidRPr="002D59AB">
        <w:rPr>
          <w:color w:val="000000"/>
          <w:sz w:val="22"/>
          <w:szCs w:val="22"/>
          <w:shd w:val="clear" w:color="auto" w:fill="FFFFFF"/>
        </w:rPr>
        <w:t>Horngren, C.T. (2014). Accounting. Toronto: Pearson Canada.</w:t>
      </w:r>
    </w:p>
    <w:p w14:paraId="050EA725" w14:textId="272F6FD5" w:rsidR="008631BB" w:rsidRPr="002D59AB" w:rsidRDefault="008631BB" w:rsidP="00791492">
      <w:pPr>
        <w:rPr>
          <w:color w:val="000000"/>
          <w:sz w:val="22"/>
          <w:szCs w:val="22"/>
          <w:shd w:val="clear" w:color="auto" w:fill="FFFFFF"/>
        </w:rPr>
      </w:pPr>
      <w:proofErr w:type="spellStart"/>
      <w:r w:rsidRPr="002D59AB">
        <w:rPr>
          <w:color w:val="000000"/>
          <w:sz w:val="22"/>
          <w:szCs w:val="22"/>
          <w:shd w:val="clear" w:color="auto" w:fill="FFFFFF"/>
        </w:rPr>
        <w:t>Juneja</w:t>
      </w:r>
      <w:proofErr w:type="spellEnd"/>
      <w:r w:rsidRPr="002D59AB">
        <w:rPr>
          <w:color w:val="000000"/>
          <w:sz w:val="22"/>
          <w:szCs w:val="22"/>
          <w:shd w:val="clear" w:color="auto" w:fill="FFFFFF"/>
        </w:rPr>
        <w:t xml:space="preserve">, P.,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 xml:space="preserve">What is Decision </w:t>
      </w:r>
      <w:proofErr w:type="gramStart"/>
      <w:r w:rsidRPr="002D59AB">
        <w:rPr>
          <w:i/>
          <w:iCs/>
          <w:color w:val="000000"/>
          <w:sz w:val="22"/>
          <w:szCs w:val="22"/>
          <w:shd w:val="clear" w:color="auto" w:fill="FFFFFF"/>
        </w:rPr>
        <w:t>Making ?</w:t>
      </w:r>
      <w:proofErr w:type="gramEnd"/>
      <w:r w:rsidRPr="002D59AB">
        <w:rPr>
          <w:color w:val="000000"/>
          <w:sz w:val="22"/>
          <w:szCs w:val="22"/>
          <w:shd w:val="clear" w:color="auto" w:fill="FFFFFF"/>
        </w:rPr>
        <w:t>. [online] Managementstudyguide.com. Available at: &lt;https://www.managementstudyguide.com/what-is-decision-making.htm&gt; [Accessed 15 May 2022].</w:t>
      </w:r>
    </w:p>
    <w:p w14:paraId="1E2ED71D" w14:textId="77777777" w:rsidR="008631BB" w:rsidRPr="002D59AB" w:rsidRDefault="008631BB" w:rsidP="008631BB">
      <w:pPr>
        <w:rPr>
          <w:color w:val="000000"/>
          <w:sz w:val="22"/>
          <w:szCs w:val="22"/>
          <w:shd w:val="clear" w:color="auto" w:fill="FFFFFF"/>
        </w:rPr>
      </w:pPr>
      <w:proofErr w:type="spellStart"/>
      <w:r w:rsidRPr="002D59AB">
        <w:rPr>
          <w:color w:val="000000"/>
          <w:sz w:val="22"/>
          <w:szCs w:val="22"/>
          <w:shd w:val="clear" w:color="auto" w:fill="FFFFFF"/>
        </w:rPr>
        <w:t>Kieso</w:t>
      </w:r>
      <w:proofErr w:type="spellEnd"/>
      <w:r w:rsidRPr="002D59AB">
        <w:rPr>
          <w:color w:val="000000"/>
          <w:sz w:val="22"/>
          <w:szCs w:val="22"/>
          <w:shd w:val="clear" w:color="auto" w:fill="FFFFFF"/>
        </w:rPr>
        <w:t>, D.E., Weygandt, J.J. and Warfield, T.D. (2018). Intermediate accounting. Hoboken, Nj Wiley.</w:t>
      </w:r>
    </w:p>
    <w:p w14:paraId="05FF2E82" w14:textId="0366CCF7" w:rsidR="008631BB" w:rsidRPr="002D59AB" w:rsidRDefault="008631BB" w:rsidP="00791492">
      <w:pPr>
        <w:rPr>
          <w:sz w:val="22"/>
          <w:szCs w:val="22"/>
        </w:rPr>
      </w:pPr>
      <w:r w:rsidRPr="002D59AB">
        <w:rPr>
          <w:color w:val="000000"/>
          <w:sz w:val="22"/>
          <w:szCs w:val="22"/>
          <w:shd w:val="clear" w:color="auto" w:fill="FFFFFF"/>
        </w:rPr>
        <w:t xml:space="preserve">Tarver, E., </w:t>
      </w:r>
      <w:r w:rsidR="002D59AB" w:rsidRPr="002D59AB">
        <w:rPr>
          <w:color w:val="000000"/>
          <w:sz w:val="22"/>
          <w:szCs w:val="22"/>
          <w:shd w:val="clear" w:color="auto" w:fill="FFFFFF"/>
        </w:rPr>
        <w:t>(</w:t>
      </w:r>
      <w:r w:rsidRPr="002D59AB">
        <w:rPr>
          <w:color w:val="000000"/>
          <w:sz w:val="22"/>
          <w:szCs w:val="22"/>
          <w:shd w:val="clear" w:color="auto" w:fill="FFFFFF"/>
        </w:rPr>
        <w:t>2022</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 xml:space="preserve">Key Financial Ratios to </w:t>
      </w:r>
      <w:proofErr w:type="spellStart"/>
      <w:r w:rsidRPr="002D59AB">
        <w:rPr>
          <w:i/>
          <w:iCs/>
          <w:color w:val="000000"/>
          <w:sz w:val="22"/>
          <w:szCs w:val="22"/>
          <w:shd w:val="clear" w:color="auto" w:fill="FFFFFF"/>
        </w:rPr>
        <w:t>Analyze</w:t>
      </w:r>
      <w:proofErr w:type="spellEnd"/>
      <w:r w:rsidRPr="002D59AB">
        <w:rPr>
          <w:i/>
          <w:iCs/>
          <w:color w:val="000000"/>
          <w:sz w:val="22"/>
          <w:szCs w:val="22"/>
          <w:shd w:val="clear" w:color="auto" w:fill="FFFFFF"/>
        </w:rPr>
        <w:t xml:space="preserve"> the Hospitality Industry</w:t>
      </w:r>
      <w:r w:rsidRPr="002D59AB">
        <w:rPr>
          <w:color w:val="000000"/>
          <w:sz w:val="22"/>
          <w:szCs w:val="22"/>
          <w:shd w:val="clear" w:color="auto" w:fill="FFFFFF"/>
        </w:rPr>
        <w:t>. [online] Investopedia. Available at: &lt;https://www.investopedia.com/articles/active-trading/082615/key-financial-ratios-analyze-hospitality-industry.asp&gt; [Accessed 16 May 2022].</w:t>
      </w:r>
    </w:p>
    <w:p w14:paraId="29A7E2D5" w14:textId="2A056A11" w:rsidR="008631BB" w:rsidRPr="002D59AB" w:rsidRDefault="008631BB" w:rsidP="00791492">
      <w:pPr>
        <w:rPr>
          <w:color w:val="000000"/>
          <w:sz w:val="22"/>
          <w:szCs w:val="22"/>
          <w:shd w:val="clear" w:color="auto" w:fill="FFFFFF"/>
        </w:rPr>
      </w:pPr>
      <w:proofErr w:type="spellStart"/>
      <w:r w:rsidRPr="002D59AB">
        <w:rPr>
          <w:color w:val="000000"/>
          <w:sz w:val="22"/>
          <w:szCs w:val="22"/>
          <w:shd w:val="clear" w:color="auto" w:fill="FFFFFF"/>
        </w:rPr>
        <w:t>Tuovila</w:t>
      </w:r>
      <w:proofErr w:type="spellEnd"/>
      <w:r w:rsidRPr="002D59AB">
        <w:rPr>
          <w:color w:val="000000"/>
          <w:sz w:val="22"/>
          <w:szCs w:val="22"/>
          <w:shd w:val="clear" w:color="auto" w:fill="FFFFFF"/>
        </w:rPr>
        <w:t xml:space="preserve">, A., </w:t>
      </w:r>
      <w:r w:rsidR="002D59AB" w:rsidRPr="002D59AB">
        <w:rPr>
          <w:color w:val="000000"/>
          <w:sz w:val="22"/>
          <w:szCs w:val="22"/>
          <w:shd w:val="clear" w:color="auto" w:fill="FFFFFF"/>
        </w:rPr>
        <w:t>(</w:t>
      </w:r>
      <w:r w:rsidRPr="002D59AB">
        <w:rPr>
          <w:color w:val="000000"/>
          <w:sz w:val="22"/>
          <w:szCs w:val="22"/>
          <w:shd w:val="clear" w:color="auto" w:fill="FFFFFF"/>
        </w:rPr>
        <w:t>2021</w:t>
      </w:r>
      <w:r w:rsidR="002D59AB" w:rsidRPr="002D59AB">
        <w:rPr>
          <w:color w:val="000000"/>
          <w:sz w:val="22"/>
          <w:szCs w:val="22"/>
          <w:shd w:val="clear" w:color="auto" w:fill="FFFFFF"/>
        </w:rPr>
        <w:t>)</w:t>
      </w:r>
      <w:r w:rsidRPr="002D59AB">
        <w:rPr>
          <w:color w:val="000000"/>
          <w:sz w:val="22"/>
          <w:szCs w:val="22"/>
          <w:shd w:val="clear" w:color="auto" w:fill="FFFFFF"/>
        </w:rPr>
        <w:t> </w:t>
      </w:r>
      <w:r w:rsidRPr="002D59AB">
        <w:rPr>
          <w:i/>
          <w:iCs/>
          <w:color w:val="000000"/>
          <w:sz w:val="22"/>
          <w:szCs w:val="22"/>
          <w:shd w:val="clear" w:color="auto" w:fill="FFFFFF"/>
        </w:rPr>
        <w:t>Horizontal Analysis</w:t>
      </w:r>
      <w:r w:rsidRPr="002D59AB">
        <w:rPr>
          <w:color w:val="000000"/>
          <w:sz w:val="22"/>
          <w:szCs w:val="22"/>
          <w:shd w:val="clear" w:color="auto" w:fill="FFFFFF"/>
        </w:rPr>
        <w:t>. [online] Investopedia. Available at: &lt;https://www.investopedia.com/terms/h/horizontalanalysis.asp#:~:text=Horizontal%20analysis%20is%20used%20in%20the%20review%20of%20a%20company's,spot%20trends%20and%20growth%20patterns.&gt; [Accessed 15 May 2022].</w:t>
      </w:r>
    </w:p>
    <w:sectPr w:rsidR="008631BB" w:rsidRPr="002D59A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C5ED6" w14:textId="77777777" w:rsidR="00AF37F5" w:rsidRDefault="00AF37F5" w:rsidP="00FE0146">
      <w:pPr>
        <w:spacing w:after="0" w:line="240" w:lineRule="auto"/>
      </w:pPr>
      <w:r>
        <w:separator/>
      </w:r>
    </w:p>
  </w:endnote>
  <w:endnote w:type="continuationSeparator" w:id="0">
    <w:p w14:paraId="30042336" w14:textId="77777777" w:rsidR="00AF37F5" w:rsidRDefault="00AF37F5" w:rsidP="00FE0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3EBE" w14:textId="77777777" w:rsidR="00FE0146" w:rsidRDefault="00FE01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63B5A" w14:textId="77777777" w:rsidR="00FE0146" w:rsidRDefault="00FE01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13B88" w14:textId="77777777" w:rsidR="00FE0146" w:rsidRDefault="00FE0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CA48F" w14:textId="77777777" w:rsidR="00AF37F5" w:rsidRDefault="00AF37F5" w:rsidP="00FE0146">
      <w:pPr>
        <w:spacing w:after="0" w:line="240" w:lineRule="auto"/>
      </w:pPr>
      <w:r>
        <w:separator/>
      </w:r>
    </w:p>
  </w:footnote>
  <w:footnote w:type="continuationSeparator" w:id="0">
    <w:p w14:paraId="205B785E" w14:textId="77777777" w:rsidR="00AF37F5" w:rsidRDefault="00AF37F5" w:rsidP="00FE0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12727" w14:textId="77777777" w:rsidR="00FE0146" w:rsidRDefault="00FE01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F7D3D" w14:textId="77777777" w:rsidR="00FE0146" w:rsidRDefault="00FE01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F2193" w14:textId="77777777" w:rsidR="00FE0146" w:rsidRDefault="00FE0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80937"/>
    <w:multiLevelType w:val="hybridMultilevel"/>
    <w:tmpl w:val="818E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72452B"/>
    <w:multiLevelType w:val="hybridMultilevel"/>
    <w:tmpl w:val="9372F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233473"/>
    <w:multiLevelType w:val="hybridMultilevel"/>
    <w:tmpl w:val="B038E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C0D5D43"/>
    <w:multiLevelType w:val="hybridMultilevel"/>
    <w:tmpl w:val="318C44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78F5FD5"/>
    <w:multiLevelType w:val="hybridMultilevel"/>
    <w:tmpl w:val="10366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52653512">
    <w:abstractNumId w:val="4"/>
  </w:num>
  <w:num w:numId="2" w16cid:durableId="1665089456">
    <w:abstractNumId w:val="0"/>
  </w:num>
  <w:num w:numId="3" w16cid:durableId="1171287380">
    <w:abstractNumId w:val="2"/>
  </w:num>
  <w:num w:numId="4" w16cid:durableId="1394310172">
    <w:abstractNumId w:val="3"/>
  </w:num>
  <w:num w:numId="5" w16cid:durableId="686829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EIgNDIyMjCwMTSyUdpeDU4uLM/DyQAqNaAEa6oycsAAAA"/>
  </w:docVars>
  <w:rsids>
    <w:rsidRoot w:val="00A16DD1"/>
    <w:rsid w:val="00021C8B"/>
    <w:rsid w:val="0003363F"/>
    <w:rsid w:val="000C22F1"/>
    <w:rsid w:val="000D7F09"/>
    <w:rsid w:val="00153B42"/>
    <w:rsid w:val="00155A3D"/>
    <w:rsid w:val="001903B2"/>
    <w:rsid w:val="001B2737"/>
    <w:rsid w:val="001E2720"/>
    <w:rsid w:val="001F4DCD"/>
    <w:rsid w:val="002662D9"/>
    <w:rsid w:val="00267BFF"/>
    <w:rsid w:val="002D59AB"/>
    <w:rsid w:val="003010DE"/>
    <w:rsid w:val="0030416D"/>
    <w:rsid w:val="00316F20"/>
    <w:rsid w:val="003E5B6B"/>
    <w:rsid w:val="00406F73"/>
    <w:rsid w:val="004D3DB3"/>
    <w:rsid w:val="005002AC"/>
    <w:rsid w:val="0053260F"/>
    <w:rsid w:val="00533613"/>
    <w:rsid w:val="005E5644"/>
    <w:rsid w:val="0062287B"/>
    <w:rsid w:val="00625D07"/>
    <w:rsid w:val="0068616B"/>
    <w:rsid w:val="006D407A"/>
    <w:rsid w:val="006D7B3F"/>
    <w:rsid w:val="006F2A97"/>
    <w:rsid w:val="0075590E"/>
    <w:rsid w:val="00791492"/>
    <w:rsid w:val="00793B73"/>
    <w:rsid w:val="007D7919"/>
    <w:rsid w:val="00837C88"/>
    <w:rsid w:val="008631BB"/>
    <w:rsid w:val="008B3AA2"/>
    <w:rsid w:val="00924751"/>
    <w:rsid w:val="009505DC"/>
    <w:rsid w:val="009B0520"/>
    <w:rsid w:val="009D0B18"/>
    <w:rsid w:val="009D3C0B"/>
    <w:rsid w:val="00A16DD1"/>
    <w:rsid w:val="00A67C34"/>
    <w:rsid w:val="00A81728"/>
    <w:rsid w:val="00AA7664"/>
    <w:rsid w:val="00AB0268"/>
    <w:rsid w:val="00AB6D12"/>
    <w:rsid w:val="00AF37F5"/>
    <w:rsid w:val="00B25FF5"/>
    <w:rsid w:val="00C04A8C"/>
    <w:rsid w:val="00C17927"/>
    <w:rsid w:val="00CD403C"/>
    <w:rsid w:val="00CD6388"/>
    <w:rsid w:val="00D926DD"/>
    <w:rsid w:val="00E06469"/>
    <w:rsid w:val="00E422DC"/>
    <w:rsid w:val="00E95D8C"/>
    <w:rsid w:val="00EA32D8"/>
    <w:rsid w:val="00ED4ECD"/>
    <w:rsid w:val="00F55C7F"/>
    <w:rsid w:val="00F57C1B"/>
    <w:rsid w:val="00F8497B"/>
    <w:rsid w:val="00FE0146"/>
    <w:rsid w:val="00FE377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46A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16DD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6DD1"/>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6D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DD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16DD1"/>
    <w:rPr>
      <w:rFonts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A16DD1"/>
    <w:pPr>
      <w:outlineLvl w:val="9"/>
    </w:pPr>
  </w:style>
  <w:style w:type="character" w:customStyle="1" w:styleId="Heading2Char">
    <w:name w:val="Heading 2 Char"/>
    <w:basedOn w:val="DefaultParagraphFont"/>
    <w:link w:val="Heading2"/>
    <w:uiPriority w:val="9"/>
    <w:rsid w:val="00A16DD1"/>
    <w:rPr>
      <w:rFonts w:eastAsiaTheme="majorEastAsia" w:cstheme="majorBidi"/>
      <w:color w:val="2F5496" w:themeColor="accent1" w:themeShade="BF"/>
      <w:sz w:val="28"/>
      <w:szCs w:val="26"/>
    </w:rPr>
  </w:style>
  <w:style w:type="paragraph" w:styleId="TOC1">
    <w:name w:val="toc 1"/>
    <w:basedOn w:val="Normal"/>
    <w:next w:val="Normal"/>
    <w:autoRedefine/>
    <w:uiPriority w:val="39"/>
    <w:unhideWhenUsed/>
    <w:rsid w:val="001E2720"/>
    <w:pPr>
      <w:spacing w:after="100"/>
    </w:pPr>
  </w:style>
  <w:style w:type="character" w:styleId="Hyperlink">
    <w:name w:val="Hyperlink"/>
    <w:basedOn w:val="DefaultParagraphFont"/>
    <w:uiPriority w:val="99"/>
    <w:unhideWhenUsed/>
    <w:rsid w:val="001E2720"/>
    <w:rPr>
      <w:color w:val="0563C1" w:themeColor="hyperlink"/>
      <w:u w:val="single"/>
    </w:rPr>
  </w:style>
  <w:style w:type="paragraph" w:styleId="ListParagraph">
    <w:name w:val="List Paragraph"/>
    <w:basedOn w:val="Normal"/>
    <w:uiPriority w:val="34"/>
    <w:qFormat/>
    <w:rsid w:val="009D0B18"/>
    <w:pPr>
      <w:ind w:left="720"/>
      <w:contextualSpacing/>
    </w:pPr>
  </w:style>
  <w:style w:type="paragraph" w:styleId="TOC2">
    <w:name w:val="toc 2"/>
    <w:basedOn w:val="Normal"/>
    <w:next w:val="Normal"/>
    <w:autoRedefine/>
    <w:uiPriority w:val="39"/>
    <w:unhideWhenUsed/>
    <w:rsid w:val="009D0B18"/>
    <w:pPr>
      <w:spacing w:after="100"/>
      <w:ind w:left="240"/>
    </w:pPr>
  </w:style>
  <w:style w:type="paragraph" w:styleId="Header">
    <w:name w:val="header"/>
    <w:basedOn w:val="Normal"/>
    <w:link w:val="HeaderChar"/>
    <w:uiPriority w:val="99"/>
    <w:unhideWhenUsed/>
    <w:rsid w:val="00FE0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146"/>
  </w:style>
  <w:style w:type="paragraph" w:styleId="Footer">
    <w:name w:val="footer"/>
    <w:basedOn w:val="Normal"/>
    <w:link w:val="FooterChar"/>
    <w:uiPriority w:val="99"/>
    <w:unhideWhenUsed/>
    <w:rsid w:val="00FE0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62572">
      <w:bodyDiv w:val="1"/>
      <w:marLeft w:val="0"/>
      <w:marRight w:val="0"/>
      <w:marTop w:val="0"/>
      <w:marBottom w:val="0"/>
      <w:divBdr>
        <w:top w:val="none" w:sz="0" w:space="0" w:color="auto"/>
        <w:left w:val="none" w:sz="0" w:space="0" w:color="auto"/>
        <w:bottom w:val="none" w:sz="0" w:space="0" w:color="auto"/>
        <w:right w:val="none" w:sz="0" w:space="0" w:color="auto"/>
      </w:divBdr>
    </w:div>
    <w:div w:id="10358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F4772-7F39-42BB-99E6-0EDBB9038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2022-05-31T00:02:00Z</dcterms:created>
  <dcterms:modified xsi:type="dcterms:W3CDTF">2022-05-31T00:02:00Z</dcterms:modified>
</cp:coreProperties>
</file>