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E2D00" w14:textId="77777777" w:rsidR="007357DC" w:rsidRDefault="007357DC">
      <w:pPr>
        <w:pStyle w:val="Title"/>
      </w:pPr>
    </w:p>
    <w:p w14:paraId="29BEBCCA" w14:textId="117B00EE" w:rsidR="00DE50A2" w:rsidRPr="00822E6E" w:rsidRDefault="00DE50A2">
      <w:r w:rsidRPr="00DE50A2">
        <w:rPr>
          <w:b/>
          <w:bCs/>
          <w:sz w:val="28"/>
          <w:szCs w:val="28"/>
        </w:rPr>
        <w:t>Acknowledgement of the use of AI tools</w:t>
      </w:r>
    </w:p>
    <w:p w14:paraId="2C2D87E2" w14:textId="2BC66B51" w:rsidR="00DE50A2" w:rsidRDefault="00DE50A2" w:rsidP="00DE50A2">
      <w:r>
        <w:t xml:space="preserve">I acknowledge the use of (https://Elicit.com/) on </w:t>
      </w:r>
      <w:r w:rsidR="00C74C2E">
        <w:t>4th</w:t>
      </w:r>
      <w:r>
        <w:t xml:space="preserve"> November 2025 to find academic research papers covering my research </w:t>
      </w:r>
      <w:r w:rsidR="00526E8F">
        <w:t>area, using the prompt:</w:t>
      </w:r>
    </w:p>
    <w:p w14:paraId="6CF7692A" w14:textId="31F0C4E1" w:rsidR="00DE50A2" w:rsidRDefault="00526E8F" w:rsidP="00526E8F">
      <w:pPr>
        <w:pStyle w:val="ListParagraph"/>
        <w:numPr>
          <w:ilvl w:val="0"/>
          <w:numId w:val="14"/>
        </w:numPr>
      </w:pPr>
      <w:r w:rsidRPr="00526E8F">
        <w:t>Locate peer-reviewed academic research examining the use of interactive, simulation-based instruction compared with traditional lectures in undergraduate economic theory between 2015 and 2025. Include relevant studies from other theory-based disciplines with transferable instructional approaches, emphasizing how ideas and empirical findings evolved over time.</w:t>
      </w:r>
    </w:p>
    <w:p w14:paraId="3C1AF90D" w14:textId="49F68F34" w:rsidR="00DE50A2" w:rsidRDefault="00DE50A2" w:rsidP="00DE50A2">
      <w:r>
        <w:t>I confirm that I have not presented any AI generated text as my own work. I confirm I have copies of my drafts, notes, and other resources I used before, and after the use of AI tools which I may be asked to provide in evidence.</w:t>
      </w:r>
    </w:p>
    <w:p w14:paraId="0F0E7567" w14:textId="77777777" w:rsidR="00526E8F" w:rsidRDefault="00526E8F" w:rsidP="00526E8F"/>
    <w:p w14:paraId="1B018BFD" w14:textId="244BE7F5" w:rsidR="00526E8F" w:rsidRDefault="00526E8F" w:rsidP="00526E8F">
      <w:r>
        <w:t>I acknowledge the use of Grammarly (https://www.grammarly.com/) on 31</w:t>
      </w:r>
      <w:r w:rsidRPr="00526E8F">
        <w:rPr>
          <w:vertAlign w:val="superscript"/>
        </w:rPr>
        <w:t>st</w:t>
      </w:r>
      <w:r>
        <w:t xml:space="preserve"> December 2025 to check my work using the prompt:</w:t>
      </w:r>
    </w:p>
    <w:p w14:paraId="6ED0BEA0" w14:textId="592DE534" w:rsidR="00526E8F" w:rsidRDefault="00526E8F" w:rsidP="00526E8F">
      <w:pPr>
        <w:pStyle w:val="ListParagraph"/>
        <w:numPr>
          <w:ilvl w:val="0"/>
          <w:numId w:val="12"/>
        </w:numPr>
      </w:pPr>
      <w:r>
        <w:t>Please check the following text for readability, grammar and syntax.</w:t>
      </w:r>
    </w:p>
    <w:p w14:paraId="66C4E772" w14:textId="5B5576D6" w:rsidR="00526E8F" w:rsidRDefault="00526E8F" w:rsidP="00526E8F">
      <w:r>
        <w:t>I confirm that I have not presented any AI generated text as my own work. I confirm I have copies of my drafts, notes, and other resources I used before, and after the use of AI tools which I may be asked to provide in evidence.</w:t>
      </w:r>
    </w:p>
    <w:p w14:paraId="041D7F5E" w14:textId="77777777" w:rsidR="00DE50A2" w:rsidRDefault="00DE50A2"/>
    <w:p w14:paraId="308A88D5" w14:textId="77777777" w:rsidR="00DE50A2" w:rsidRDefault="00DE50A2"/>
    <w:p w14:paraId="79E918D7" w14:textId="77777777" w:rsidR="00DE50A2" w:rsidRDefault="00DE50A2"/>
    <w:p w14:paraId="68720E5B" w14:textId="77777777" w:rsidR="00DE50A2" w:rsidRDefault="00DE50A2"/>
    <w:p w14:paraId="0EA85EB9" w14:textId="77777777" w:rsidR="00DE50A2" w:rsidRDefault="00DE50A2"/>
    <w:p w14:paraId="6C9DFC6A" w14:textId="77777777" w:rsidR="00DE50A2" w:rsidRDefault="00DE50A2"/>
    <w:p w14:paraId="29A5B7C4" w14:textId="77777777" w:rsidR="00DE50A2" w:rsidRDefault="00DE50A2"/>
    <w:p w14:paraId="51ED7D59" w14:textId="77777777" w:rsidR="00DE50A2" w:rsidRDefault="00DE50A2"/>
    <w:p w14:paraId="44AD452E" w14:textId="77777777" w:rsidR="00DE50A2" w:rsidRDefault="00DE50A2"/>
    <w:p w14:paraId="317E5168" w14:textId="77777777" w:rsidR="00DE50A2" w:rsidRDefault="00DE50A2"/>
    <w:p w14:paraId="19F28F5D" w14:textId="77777777" w:rsidR="00822E6E" w:rsidRDefault="00822E6E">
      <w:pPr>
        <w:pStyle w:val="Heading1"/>
      </w:pPr>
    </w:p>
    <w:p w14:paraId="0825F31A" w14:textId="32BD0EEE" w:rsidR="00327829" w:rsidRDefault="00AE123A">
      <w:pPr>
        <w:pStyle w:val="Heading1"/>
      </w:pPr>
      <w:r>
        <w:t>Abstract</w:t>
      </w:r>
    </w:p>
    <w:p w14:paraId="32EBE192" w14:textId="77777777" w:rsidR="00327829" w:rsidRDefault="00AE123A">
      <w:r>
        <w:t>This review examines how interactive, simulation-based instruction has been conceptualised, tested, and debated in comparison with traditional lectures in the teaching of undergraduate economic theory between 2015 and 2025. Drawing exclusively on fourteen foundational review papers spanning education, business, and health disciplines, the paper traces the chronological development of ideas and evidence. It highlights shifts from early enthusiasm for serious games and simulations to more nuanced understandings of pedagogical design, assessment, educator roles, and cognitive mechanisms. The review argues that while simulation-based approaches generally improve engagement, motivation, and applied reasoning compared with lectures, the magnitude and stability of learning gains depend heavily on scaffolding, alignment with learning outcomes, and thoughtful integration rather than substitution. The review concludes by identifying enduring truths, ongoing debates, methodological limitations, and fertile directions for future research on undergraduate economic theory instruction.</w:t>
      </w:r>
    </w:p>
    <w:p w14:paraId="1E396F90" w14:textId="77777777" w:rsidR="00327829" w:rsidRDefault="00AE123A">
      <w:pPr>
        <w:pStyle w:val="Heading1"/>
      </w:pPr>
      <w:r>
        <w:t>1. Introduction</w:t>
      </w:r>
    </w:p>
    <w:p w14:paraId="5C85C548" w14:textId="54644951" w:rsidR="00E8723E" w:rsidRDefault="00E8723E" w:rsidP="00E8723E">
      <w:r>
        <w:t>Simulation-based learning and game-based pedagogies have become increasingly prominent in higher education over the past decade, reflecting broader shifts towards active, student-</w:t>
      </w:r>
      <w:r w:rsidR="00DE50A2">
        <w:t>cent</w:t>
      </w:r>
      <w:r w:rsidR="003B69DE">
        <w:t>r</w:t>
      </w:r>
      <w:r w:rsidR="00DE50A2">
        <w:t>ed</w:t>
      </w:r>
      <w:r>
        <w:t xml:space="preserve"> learning and the integration of digital technologies within curricula. In economics education, where abstract theoretical concepts such as market equilibrium, strategic interaction, and macroeconomic policy are central, traditional lectures often struggle to engage students or facilitate the transfer of theoretical knowledge to practical applications. Consequently, educators have increasingly adopted interactive tools</w:t>
      </w:r>
      <w:r w:rsidR="00F75E09">
        <w:t xml:space="preserve"> - </w:t>
      </w:r>
      <w:r>
        <w:t>including market simulations, policy scenario exercises, and strategic games</w:t>
      </w:r>
      <w:r w:rsidR="00F75E09">
        <w:t xml:space="preserve"> </w:t>
      </w:r>
      <w:r>
        <w:t>to provide experiential learning opportunities that allow students to explore models dynamically, test assumptions, and experience the consequences of decisions in a controlled, risk-free environment (Boyle et al., 2016; Faisal et al., 2022; Brandl &amp; Schrader, 2024).</w:t>
      </w:r>
    </w:p>
    <w:p w14:paraId="59C6F189" w14:textId="5267C51F" w:rsidR="00E8723E" w:rsidRDefault="00E8723E" w:rsidP="00E8723E">
      <w:r>
        <w:t>Traditional lectures, however, remain the backbone of undergraduate economic theory instruction due to their efficiency in transmitting structured knowledge, standardisation across courses, and the institutional expectation that lectures provide a coherent and comprehensive presentation of core concepts. While lectures are effective for explaining derivations, definitions, and formal modelling, they often limit opportunities for active engagement, collaborative problem-solving, and experiential exploration of complex systems. This contrast raises a central and contested question: to what extent do interactive, simulation-based instructional approaches enhance student learning compared with traditional lecture formats in undergraduate economic theory?</w:t>
      </w:r>
    </w:p>
    <w:p w14:paraId="1B1D568E" w14:textId="72020A67" w:rsidR="00E8723E" w:rsidRDefault="00E8723E" w:rsidP="00E8723E">
      <w:r>
        <w:t xml:space="preserve">For the purposes of this review, economic theory encompasses the foundational principles underpinning microeconomics, macroeconomics, and related analytical frameworks, </w:t>
      </w:r>
      <w:r>
        <w:lastRenderedPageBreak/>
        <w:t>including models of markets, optimisation, strategic interaction, and policy intervention. Teaching at the undergraduate level typically combines conceptual explanation, formal model derivation, and guided problem-solving, frequently assessed through exams or coursework. Simulation-based learning represents a methodological shift, enabling students to engage directly with model dynamics through participation rather than passive observation. These approaches are not limited to factual recall; they aim to develop higher-order thinking, decision-making, and applied reasoning, skills increasingly valued in modern economics education.</w:t>
      </w:r>
    </w:p>
    <w:p w14:paraId="64D06DEA" w14:textId="4F8E5143" w:rsidR="00E8723E" w:rsidRDefault="00E8723E" w:rsidP="00E8723E">
      <w:r>
        <w:t>This review focuses on developments between 2015 and 2025, a period marked by a dramatic acceleration in serious games, virtual simulations, gamified learning, and data-informed pedagogy. Rather than summarising individual empirical studies, the review synthesises fourteen foundational systematic reviews, meta-analyses, and integrative evaluations spanning education, business, and health disciplines. While only a subset of these works directly addresses economics, their cumulative insights regarding learning mechanisms, instructional design, assessment strategies, and educator roles are highly transferable to theory-based disciplines. By tracing the chronological evolution of research, identifying recurring methodological approaches, highlighting key debates, and distilling emerging “truths,” this review provides a comprehensive overview of the comparative effectiveness of simulation-based versus lecture-based instruction in undergraduate economic theory, and identifies directions for future inquiry and pedagogical innovation.</w:t>
      </w:r>
    </w:p>
    <w:p w14:paraId="03CBDFAD" w14:textId="77777777" w:rsidR="00327829" w:rsidRDefault="00AE123A">
      <w:pPr>
        <w:pStyle w:val="Heading1"/>
      </w:pPr>
      <w:r>
        <w:t>2. Scope, Inclusion Criteria and Review Objectives</w:t>
      </w:r>
    </w:p>
    <w:p w14:paraId="62798CD1" w14:textId="23013ED0" w:rsidR="00A54B48" w:rsidRDefault="00A54B48" w:rsidP="00A54B48">
      <w:r>
        <w:t>This review focuses on the role of simulation-based learning, serious games, and virtual simulation environments in comparison with traditional lecture-based instruction, with particular relevance to undergraduate economic theory. The scope deliberately concentrates on studies published between 2015 and 2025, a period characterised by rapid technological development, the mainstreaming of digital learning tools, and increasing scholarly attention to experiential and active learning approaches. Rather than analysing isolated classroom experiments, the review synthesises findings from systematic reviews, meta-analyses, and integrative reviews, as these sources provide stronger evidence bases, broader coverage, and greater methodological robustness.</w:t>
      </w:r>
    </w:p>
    <w:p w14:paraId="0B6E0FDA" w14:textId="3F849BB4" w:rsidR="00A54B48" w:rsidRDefault="00A54B48" w:rsidP="00A54B48">
      <w:r>
        <w:t xml:space="preserve">Although few reviews focus exclusively on economics, research from education, nursing, business, and professional training environments was included where the pedagogical mechanisms are </w:t>
      </w:r>
      <w:r w:rsidR="008909DD">
        <w:t xml:space="preserve">transferable, </w:t>
      </w:r>
      <w:r>
        <w:t>particularly studies examining conceptual learning, decision-making, reasoning, and performance in complex environments. Studies were included where they:</w:t>
      </w:r>
    </w:p>
    <w:p w14:paraId="635D3FE4" w14:textId="282267ED" w:rsidR="00A54B48" w:rsidRDefault="00A54B48" w:rsidP="00A54B48">
      <w:pPr>
        <w:pStyle w:val="ListParagraph"/>
        <w:numPr>
          <w:ilvl w:val="0"/>
          <w:numId w:val="10"/>
        </w:numPr>
      </w:pPr>
      <w:r>
        <w:t>examined simulation-based or game-based learning in higher education or professional training.</w:t>
      </w:r>
    </w:p>
    <w:p w14:paraId="40E4501B" w14:textId="664C0529" w:rsidR="00A54B48" w:rsidRDefault="00A54B48" w:rsidP="00A54B48">
      <w:pPr>
        <w:pStyle w:val="ListParagraph"/>
        <w:numPr>
          <w:ilvl w:val="0"/>
          <w:numId w:val="10"/>
        </w:numPr>
      </w:pPr>
      <w:r>
        <w:t>reported empirical outcomes related to knowledge, skills, reasoning, attitudes, or performance.</w:t>
      </w:r>
    </w:p>
    <w:p w14:paraId="564F489C" w14:textId="77777777" w:rsidR="00A54B48" w:rsidRDefault="00A54B48" w:rsidP="00A54B48">
      <w:pPr>
        <w:pStyle w:val="ListParagraph"/>
        <w:numPr>
          <w:ilvl w:val="0"/>
          <w:numId w:val="10"/>
        </w:numPr>
      </w:pPr>
      <w:r>
        <w:lastRenderedPageBreak/>
        <w:t>used systematic, transparent review or meta-analytic methods; and</w:t>
      </w:r>
    </w:p>
    <w:p w14:paraId="3AC53442" w14:textId="3C4E4D88" w:rsidR="00A54B48" w:rsidRDefault="00A54B48" w:rsidP="00A54B48">
      <w:pPr>
        <w:pStyle w:val="ListParagraph"/>
        <w:numPr>
          <w:ilvl w:val="0"/>
          <w:numId w:val="10"/>
        </w:numPr>
      </w:pPr>
      <w:r>
        <w:t>provided implications relevant to theory-based disciplines.</w:t>
      </w:r>
    </w:p>
    <w:p w14:paraId="2A270BFD" w14:textId="3A729561" w:rsidR="00A54B48" w:rsidRDefault="00A54B48" w:rsidP="00A54B48">
      <w:r>
        <w:t>Excluded materials included single classroom case studies, purely descriptive articles, editorial commentaries, and tools-based technical reports lacking learning outcomes. This approach ensures that the review draws on cumulative, critically appraised evidence rather than anecdotal success stories.</w:t>
      </w:r>
    </w:p>
    <w:p w14:paraId="115D526F" w14:textId="77777777" w:rsidR="00327829" w:rsidRDefault="00AE123A">
      <w:pPr>
        <w:pStyle w:val="Heading1"/>
      </w:pPr>
      <w:r>
        <w:t>3. Chronological Development of Ideas (2015–2025)</w:t>
      </w:r>
    </w:p>
    <w:p w14:paraId="443029B1" w14:textId="77777777" w:rsidR="00327829" w:rsidRDefault="00AE123A">
      <w:pPr>
        <w:pStyle w:val="Heading2"/>
      </w:pPr>
      <w:r>
        <w:t>3.1 Early Renewed Optimism about Serious Games (2015–2016)</w:t>
      </w:r>
    </w:p>
    <w:p w14:paraId="06BC3C14" w14:textId="77777777" w:rsidR="00327829" w:rsidRDefault="00AE123A">
      <w:r>
        <w:t>Boyle et al. (2016) offered one of the earliest comprehensive updates on the impacts of computer and serious games across education. Their synthesis reported positive effects particularly in motivation and certain learning outcomes, though they warned that results were uneven and often dependent on careful alignment between gameplay and curriculum. Importantly, Boyle and colleagues framed games as potentially complementary to existing pedagogies rather than wholesale replacements. In the context of economics, this perspective suggested that simulations might enrich rather than supplant lectures. The optimism of this period stemmed from expanding technology, but also from dissatisfaction with passive lectures and recognition that students struggled to transfer theoretical knowledge into applied reasoning.</w:t>
      </w:r>
    </w:p>
    <w:p w14:paraId="3AC55B26" w14:textId="2E1DC406" w:rsidR="001735FC" w:rsidRDefault="001735FC" w:rsidP="001735FC">
      <w:r>
        <w:t>A key strength of the study is its transparent methodology: the authors clearly outline their search strategy, screening process, and inclusion criteria, which strengthens credibility and replicability. Because it builds on earlier work, the review also shows how the field has evolved over time. Another strength lies in its scope. Synthesizing 143 empirical studies across multiple disciplines, age groups, and types of games, the authors offer a broad overview of where and how games are being applied.</w:t>
      </w:r>
    </w:p>
    <w:p w14:paraId="6FD57B8B" w14:textId="6C712DB7" w:rsidR="001735FC" w:rsidRDefault="001735FC" w:rsidP="001735FC">
      <w:r>
        <w:t>The structured framework used to categorize outcomes</w:t>
      </w:r>
      <w:r w:rsidR="00F13A12">
        <w:t xml:space="preserve"> - </w:t>
      </w:r>
      <w:r>
        <w:t>knowledge, affective, behavioral, cognitive, and physiological</w:t>
      </w:r>
      <w:r w:rsidR="00F13A12">
        <w:t xml:space="preserve"> - </w:t>
      </w:r>
      <w:r>
        <w:t>helps reveal meaningful patterns. For instance, serious games most consistently support knowledge acquisition, while entertainment games show broader psychological and cognitive effects. Importantly, the tone remains balanced: the review recognizes promising findings while highlighting uncertainty. It also identifies clear research gaps, calling for stronger experimental designs, more longitudinal studies, and analyses that isolate which game features actually drive learning and engagement.</w:t>
      </w:r>
    </w:p>
    <w:p w14:paraId="27232C25" w14:textId="63DBBE48" w:rsidR="001735FC" w:rsidRDefault="001735FC" w:rsidP="001735FC">
      <w:r>
        <w:t>Nevertheless, important limitations exist. The extreme diversity of the included studies makes comparison difficult and prevents strong causal conclusions. Many studies are short-term or quasi-experimental, limiting insight into long-term effects or transfer of learning. Publication bias may further skew results toward positive findings. Outcome measures are also inconsistent, and some coding decisions inevitably involve subjective judgment. Finally, potential negative or unintended consequences receive comparatively little attention.</w:t>
      </w:r>
    </w:p>
    <w:p w14:paraId="18D9BDEE" w14:textId="56F34714" w:rsidR="001735FC" w:rsidRDefault="001735FC" w:rsidP="001735FC">
      <w:r>
        <w:lastRenderedPageBreak/>
        <w:t>Contradictions appear less within the review itself than across the studies it synthesizes. Some research reports clear motivational and learning benefits, while others find little or no advantage over traditional methods. Evidence of transfer beyond the game environment is especially mixed. Overall, Boyle et al. conclude that games can support learning, particularly knowledge gains</w:t>
      </w:r>
      <w:r w:rsidR="00F13A12">
        <w:t xml:space="preserve"> - </w:t>
      </w:r>
      <w:r>
        <w:t>but effectiveness depends heavily on design, context, and research quality, underscoring the need for more rigorous and theory-driven work.</w:t>
      </w:r>
    </w:p>
    <w:p w14:paraId="7E597765" w14:textId="77777777" w:rsidR="00327829" w:rsidRDefault="00AE123A">
      <w:pPr>
        <w:pStyle w:val="Heading2"/>
      </w:pPr>
      <w:r>
        <w:t>3.2 Expanding Scope to Higher Education (2017)</w:t>
      </w:r>
    </w:p>
    <w:p w14:paraId="164FC0E0" w14:textId="2C875E2C" w:rsidR="001F47E4" w:rsidRDefault="00AE123A">
      <w:r>
        <w:t xml:space="preserve">Vlachopoulos and Makri (2017) produced a systematic review focused specifically on higher education. Their analysis confirmed that games and simulations generally supported active learning, improved motivation, and in some cases enhanced conceptual understanding. </w:t>
      </w:r>
    </w:p>
    <w:p w14:paraId="10A43D6D" w14:textId="594FCCC8" w:rsidR="001F47E4" w:rsidRDefault="001F47E4" w:rsidP="001F47E4">
      <w:r>
        <w:t>Vlachopoulos and Makri (2017) describe their search strategy, inclusion criteria, and thematic analysis transparently, allowing readers to understand how findings were derived. The review also synthesizes evidence across diverse disciplines, showing consistent benefits in motivation, engagement, and some learning outcomes.</w:t>
      </w:r>
    </w:p>
    <w:p w14:paraId="185F1B0B" w14:textId="14FDC4C3" w:rsidR="001F47E4" w:rsidRDefault="001F47E4" w:rsidP="001F47E4">
      <w:r>
        <w:t>However, several weaknesses and limitations reduce the strength of its conclusions. The included studies are highly heterogeneous, making direct comparison difficult. Many rely on small samples, self-report measures, and short-term interventions, limiting claims about long-term learning or transfer. Publication bias and the omission of gray literature may also overrepresent positive outcomes. The review largely emphasizes benefits, with less attention to negative or mixed results.</w:t>
      </w:r>
    </w:p>
    <w:p w14:paraId="7D7ABBFC" w14:textId="66723345" w:rsidR="001F47E4" w:rsidRDefault="001F47E4">
      <w:r>
        <w:t>Contradictions arise mainly across the underlying studies: while many report enhanced engagement, others find no significant improvement in performance compared with traditional instruction, highlighting contextual variability</w:t>
      </w:r>
    </w:p>
    <w:p w14:paraId="03E8C871" w14:textId="5B4D90FA" w:rsidR="00B44B86" w:rsidRDefault="002F523E" w:rsidP="00B44B86">
      <w:r w:rsidRPr="002F523E">
        <w:t>In parallel, Hegland et al. (2017) offered meta-analytic evidence from nursing education showing that simulation-based training significantly outperformed traditional instructional approaches on measures of knowledge, practical skills, and clinical performance. Although focused on healthcare, the review strengthened wider claims that experiential learning technologies can support complex reasoning and decision-making in ways that lectures alone may not. A</w:t>
      </w:r>
      <w:r>
        <w:t xml:space="preserve"> key strength of the study </w:t>
      </w:r>
      <w:r w:rsidR="00B44B86">
        <w:t>being the combination of qualitative synthesis and quantitative meta-analysis. This dual approach allows a more rigorous assessment of effects on knowledge, skills, and clinical performance. The study is methodologically transparent, clearly detailing search strategies, inclusion criteria, and quality appraisal of studies. Additionally, focusing specifically on nursing education ensures practical relevance for healthcare training.</w:t>
      </w:r>
    </w:p>
    <w:p w14:paraId="00105236" w14:textId="5D324388" w:rsidR="00B44B86" w:rsidRDefault="00B44B86" w:rsidP="00B44B86">
      <w:r>
        <w:t>However, the review has limitations. The included studies vary in design, sample size, and simulation modalities, introducing heterogeneity that complicates effect interpretation. Many studies are short-term, and few assess long-term retention or transfer to real clinical settings. Publication bias and reliance on published studies may overstate benefits.</w:t>
      </w:r>
    </w:p>
    <w:p w14:paraId="4C7F0469" w14:textId="3AB4CE9B" w:rsidR="00B44B86" w:rsidRDefault="00B44B86">
      <w:r>
        <w:lastRenderedPageBreak/>
        <w:t>Contradictions primarily arise across the included studies: some report significant improvements in skill and knowledge after simulation, while others show minimal differences compared to traditional training, suggesting outcomes depend on context, fidelity, and implementation quality.</w:t>
      </w:r>
    </w:p>
    <w:p w14:paraId="2B78CCC5" w14:textId="77777777" w:rsidR="00327829" w:rsidRDefault="00AE123A">
      <w:pPr>
        <w:pStyle w:val="Heading2"/>
      </w:pPr>
      <w:r>
        <w:t>3.3 Consolidating Meta-Analytic Evidence (2018)</w:t>
      </w:r>
    </w:p>
    <w:p w14:paraId="243AB956" w14:textId="5F9D7031" w:rsidR="00B44B86" w:rsidRDefault="00AE123A">
      <w:r>
        <w:t xml:space="preserve">The emergence of meta-analyses in 2018 marked a methodological maturation. Lamb et al. (2018) explored moderators influencing outcomes in serious games and simulations, revealing that design features, context, and learner characteristics mediated success. </w:t>
      </w:r>
      <w:r w:rsidR="00DC3524">
        <w:t xml:space="preserve">Lamb et al. (2018) </w:t>
      </w:r>
      <w:r w:rsidR="00DC3524" w:rsidRPr="00DC3524">
        <w:t>conclude that serious educational games, serious games, and educational simulations can positively influence student cognition and affect (motivation, attitudes), and under favo</w:t>
      </w:r>
      <w:r w:rsidR="00DC3524">
        <w:t>u</w:t>
      </w:r>
      <w:r w:rsidR="00DC3524" w:rsidRPr="00DC3524">
        <w:t>rable conditions skills or behavior.</w:t>
      </w:r>
    </w:p>
    <w:p w14:paraId="21F534C2" w14:textId="7D724425" w:rsidR="00B44B86" w:rsidRDefault="00B44B86" w:rsidP="00B44B86">
      <w:r>
        <w:t>Lamb et al. (2018) present a meta-analysis examining the effects of serious educational games, games, and simulations on student cognition, affect, and learning outcomes. A key strength is the quantitative synthesis of multiple studies, which allows estimation of overall effect sizes and assessment of moderators such as subject area, grade level, and study design. This systematic approach provides clarity on which conditions enhance learning and engagement, making the findings highly useful for educators and researchers.</w:t>
      </w:r>
    </w:p>
    <w:p w14:paraId="2E540FF6" w14:textId="23AD4CD5" w:rsidR="00B44B86" w:rsidRDefault="00B44B86" w:rsidP="00B44B86">
      <w:r>
        <w:t>However, the study has limitations. The included studies are heterogeneous in terms of game type, duration, and outcome measures, which complicates direct comparison. Many rely on short-term assessments and self-reported affective measures, limiting insight into long-term retention and behavioral transfer. Publication bias may overrepresent positive results, and some contextual variables, like classroom integration or teacher support, are underexplored.</w:t>
      </w:r>
    </w:p>
    <w:p w14:paraId="7E294BAA" w14:textId="1148AB07" w:rsidR="002F523E" w:rsidRDefault="00B44B86" w:rsidP="00B44B86">
      <w:r>
        <w:t>Contradictions appear primarily across the included studies: while most report positive effects on cognition and engagement, a subset finds minimal or no differences compared to traditional instruction, highlighting variability in effectiveness based on context and implementation fidelity.</w:t>
      </w:r>
    </w:p>
    <w:p w14:paraId="33E78596" w14:textId="5D2B7931" w:rsidR="00DC3524" w:rsidRDefault="002F523E" w:rsidP="002F523E">
      <w:r>
        <w:t xml:space="preserve">Subhash and Cudney (2018) shifted the discussion toward gamification, showing that elements such as points, badges, and leaderboards can meaningfully enhance engagement when they are intentionally aligned with learning goals. </w:t>
      </w:r>
      <w:r w:rsidR="00DC3524" w:rsidRPr="00DC3524">
        <w:t>Subhash and Cudney (2018) conclude that gamified learning (via gamification or game-based learning/simulations) holds substantial promise in higher education: it can improve student engagement, motivation, attitudes, and often academic performance or perceived learning. They suggest that gamification/game-based learning can and should be considered as an effective alternative or complement to traditional lectures in higher education settings.</w:t>
      </w:r>
    </w:p>
    <w:p w14:paraId="5C3661CF" w14:textId="1385BEFD" w:rsidR="002F523E" w:rsidRDefault="002F523E" w:rsidP="002F523E">
      <w:r>
        <w:t xml:space="preserve">Their contribution helped move the debate from the simple question of whether simulations and game-like approaches work to the more nuanced issue of under what conditions they work best. This is particularly relevant in economics education, where </w:t>
      </w:r>
      <w:r>
        <w:lastRenderedPageBreak/>
        <w:t>abstract theoretical content often requires structured scaffolding rather than immersion alone.</w:t>
      </w:r>
    </w:p>
    <w:p w14:paraId="1C53C4A7" w14:textId="0E3ECC50" w:rsidR="002F523E" w:rsidRDefault="002F523E" w:rsidP="002F523E">
      <w:r>
        <w:t>Their systematic review is notable for its breadth, synthesising empirical research across a wide range of disciplines, course contexts, and gamification strategies. The authors clearly outline their search procedures, inclusion criteria, and data extraction methods, which strengthens transparency and replicability. They identify consistent outcomes</w:t>
      </w:r>
      <w:r w:rsidR="00F13A12">
        <w:t xml:space="preserve"> </w:t>
      </w:r>
      <w:r>
        <w:t xml:space="preserve">most notably increases in motivation, engagement, and, in many cases, improved </w:t>
      </w:r>
      <w:r w:rsidR="00CE1A8C">
        <w:t xml:space="preserve">performance, </w:t>
      </w:r>
      <w:r>
        <w:t>while also cataloguing the design features most frequently associated with positive effects. As a result, the review offers both conceptual clarity and practical guidance for educators considering gamified approaches.</w:t>
      </w:r>
    </w:p>
    <w:p w14:paraId="5397F0A0" w14:textId="51707D96" w:rsidR="00B44B86" w:rsidRDefault="00B44B86" w:rsidP="00B44B86">
      <w:r>
        <w:t>However, the study has limitations. The reviewed studies vary widely in sample size, gamification implementation, and assessment methods, making cross-study comparisons difficult. Many studies are short-term, with limited exploration of long-term learning retention or transfer. Publication bias toward positive findings may inflate reported benefits.</w:t>
      </w:r>
    </w:p>
    <w:p w14:paraId="5ED7AD73" w14:textId="06F71F18" w:rsidR="00B44B86" w:rsidRDefault="00B44B86" w:rsidP="00B44B86">
      <w:r>
        <w:t>Contradictions emerge across studies: while most report enhanced motivation and engagement, a few show negligible effects on actual learning outcomes, suggesting that gamification’s impact depends on design quality, context, and student characteristics.</w:t>
      </w:r>
    </w:p>
    <w:p w14:paraId="4690C7A7" w14:textId="77777777" w:rsidR="00327829" w:rsidRDefault="00AE123A">
      <w:pPr>
        <w:pStyle w:val="Heading2"/>
      </w:pPr>
      <w:r>
        <w:t>3.4 Educator Roles and Facilitation (2019)</w:t>
      </w:r>
    </w:p>
    <w:p w14:paraId="411B7613" w14:textId="77BA4078" w:rsidR="002F523E" w:rsidRDefault="002F523E" w:rsidP="002F523E">
      <w:r>
        <w:t>Scholtz and Hughes (2019) emphasised the pivotal role of the instructor, arguing that the effectiveness of simulation-based learning depends critically on facilitation, briefing, and debriefing. Their review highlights that poorly guided simulations risk becoming superficial exercises, disconnected from intended learning outcomes. This challenges the assumption that interactive tools automatically outperform traditional lectures; rather, simulations require at least as much pedagogical expertise as conventional methods, underscoring that lecturer competence</w:t>
      </w:r>
      <w:r w:rsidR="00F13A12">
        <w:t xml:space="preserve"> </w:t>
      </w:r>
      <w:r>
        <w:t>not technology alone</w:t>
      </w:r>
      <w:r w:rsidR="00F13A12">
        <w:t xml:space="preserve"> </w:t>
      </w:r>
      <w:r>
        <w:t>is central to successful learning.</w:t>
      </w:r>
    </w:p>
    <w:p w14:paraId="6D55A9E8" w14:textId="42104850" w:rsidR="002F523E" w:rsidRDefault="002F523E" w:rsidP="00B44B86">
      <w:r>
        <w:t>Scholtz and Hughes (2019) systematic review specifically examines educator interventions in facilitating simulation-based learning, with a key strength being its focus on the often-overlooked role of instructors. The authors synthesise evidence on strategies such as scaffolding, feedback, and structured debriefing, demonstrating their influence on learner outcomes, including skill development, critical thinking, and confidence. The methodology is transparent, with clearly defined inclusion criteria and a structured data extraction process, which enhances the credibility and replicability of the findings.</w:t>
      </w:r>
    </w:p>
    <w:p w14:paraId="7FD54455" w14:textId="1C5CE430" w:rsidR="00B44B86" w:rsidRDefault="00B44B86" w:rsidP="00B44B86">
      <w:r>
        <w:t>However, the study has limitations. The included research is heterogeneous, varying in simulation type, learner population, and intervention duration, making synthesis challenging and limiting generalizability. Many studies rely on short-term assessments and self-reported measures, providing limited insight into long-term skill retention or transfer. Publication bias toward positive outcomes may overrepresent effective interventions.</w:t>
      </w:r>
    </w:p>
    <w:p w14:paraId="202073B5" w14:textId="33AB69AA" w:rsidR="00B44B86" w:rsidRDefault="00B44B86" w:rsidP="00B44B86">
      <w:r>
        <w:lastRenderedPageBreak/>
        <w:t>Contradictions primarily appear across the included studies: while most indicate that structured educator interventions improve outcomes, a few report minimal differences compared to unguided simulations, suggesting that effectiveness depends on context, educator expertise, and simulation fidelity.</w:t>
      </w:r>
    </w:p>
    <w:p w14:paraId="5C4F39A9" w14:textId="77777777" w:rsidR="00327829" w:rsidRDefault="00AE123A">
      <w:pPr>
        <w:pStyle w:val="Heading2"/>
      </w:pPr>
      <w:r>
        <w:t>3.5 Towards Nuanced Understanding (2020)</w:t>
      </w:r>
    </w:p>
    <w:p w14:paraId="5B3101AE" w14:textId="780B5118" w:rsidR="004A642D" w:rsidRDefault="00AE123A">
      <w:r>
        <w:t xml:space="preserve">Chernikova et al. (2020) conducted a major meta-analysis across higher education. </w:t>
      </w:r>
      <w:r w:rsidR="004A642D" w:rsidRPr="004A642D">
        <w:t>The study aims to assess how effective simulation based learning is in higher education for fostering complex skills (beyond simple factual knowledge), and to examine how different design features — especially scaffolding or instructional support and technology use</w:t>
      </w:r>
      <w:r w:rsidR="004A642D">
        <w:t xml:space="preserve"> </w:t>
      </w:r>
      <w:r w:rsidR="004A642D" w:rsidRPr="004A642D">
        <w:t>moderate its effectiveness.</w:t>
      </w:r>
    </w:p>
    <w:p w14:paraId="66640287" w14:textId="0BFDE5C8" w:rsidR="00327829" w:rsidRDefault="004A642D">
      <w:r>
        <w:t>Chernikova et al. (2020)</w:t>
      </w:r>
      <w:r w:rsidR="00AE123A">
        <w:t xml:space="preserve"> concluded that simulation-based learning generally produces moderate positive effects on knowledge and skills, but they also emphasised heterogeneity. Some simulations matched or exceeded lecture-based instruction, while others showed minimal advantage. Importantly, they identified representational fidelity, feedback mechanisms, and structured reflection as critical components. For economic theory teaching, the implication is that simulations must explicitly connect student decisions to underlying models through guided interpretation rather than leaving learning implicit.</w:t>
      </w:r>
    </w:p>
    <w:p w14:paraId="01CE4256" w14:textId="649AC5C3" w:rsidR="00860913" w:rsidRDefault="00860913" w:rsidP="00B44B86">
      <w:r w:rsidRPr="00860913">
        <w:t>The meta-analysis stands out for its quantitative synthesis of multiple studies, calculating effect sizes to provide robust evidence on the impact of simulations on cognitive, skill-based, and affective outcomes. It further examines moderators such as simulation type, discipline, and learner level, offering insights into the conditions under which simulations are most effective. This systematic and rigorous approach strengthens both the reliability and generalizability of the findings.</w:t>
      </w:r>
    </w:p>
    <w:p w14:paraId="5ADBD26F" w14:textId="11DD6CD6" w:rsidR="00B44B86" w:rsidRDefault="00B44B86" w:rsidP="00B44B86">
      <w:r>
        <w:t>However, limitations exist. The included studies are heterogeneous in design, intervention duration, and outcome measures, complicating interpretation. Many rely on short-term assessments and self-reported data, limiting insights into long-term learning and transfer to real-world practice. Publication bias may overrepresent positive outcomes, and contextual factors like instructor facilitation are not consistently reported.</w:t>
      </w:r>
    </w:p>
    <w:p w14:paraId="6654D401" w14:textId="3E24C57D" w:rsidR="00B44B86" w:rsidRDefault="00B44B86" w:rsidP="00B44B86">
      <w:r>
        <w:t>Contradictions mainly appear across the primary studies: while most indicate that simulations improve learning and engagement, some show little or no advantage over traditional instruction, highlighting variability depending on fidelity, implementation, and student context.</w:t>
      </w:r>
    </w:p>
    <w:p w14:paraId="25C1D1BB" w14:textId="77777777" w:rsidR="00327829" w:rsidRDefault="00AE123A">
      <w:pPr>
        <w:pStyle w:val="Heading2"/>
      </w:pPr>
      <w:r>
        <w:t>3.6 Broadening Evaluation Perspectives (2022)</w:t>
      </w:r>
    </w:p>
    <w:p w14:paraId="4BF8F1B5" w14:textId="129FD299" w:rsidR="00746D49" w:rsidRDefault="00AE123A">
      <w:r>
        <w:t xml:space="preserve">In 2022, several publications deepened the discussion around assessment and practice. Duchatelet et al. (2022) highlighted persistent difficulties in evaluating simulation-based learning, cautioning that overly narrow tests might underestimate conceptual gains. </w:t>
      </w:r>
      <w:r w:rsidR="00C92310" w:rsidRPr="00C92310">
        <w:t xml:space="preserve">The article concludes that simulation-based learning holds significant potential across higher education and professional </w:t>
      </w:r>
      <w:r w:rsidR="00CE1A8C" w:rsidRPr="00C92310">
        <w:t>training but</w:t>
      </w:r>
      <w:r w:rsidR="00C92310" w:rsidRPr="00C92310">
        <w:t xml:space="preserve"> reali</w:t>
      </w:r>
      <w:r w:rsidR="00CE1A8C">
        <w:t>s</w:t>
      </w:r>
      <w:r w:rsidR="00C92310" w:rsidRPr="00C92310">
        <w:t xml:space="preserve">ing that potential requires careful design, </w:t>
      </w:r>
      <w:r w:rsidR="00C92310" w:rsidRPr="00C92310">
        <w:lastRenderedPageBreak/>
        <w:t>thoughtful assessment, and rigorous evaluation. Simulations aren’t automatically effective; success depends on matching design/assessment/implementation to learning goals,</w:t>
      </w:r>
    </w:p>
    <w:p w14:paraId="39A4A9FE" w14:textId="6BF22303" w:rsidR="00746D49" w:rsidRDefault="00746D49" w:rsidP="00746D49">
      <w:r w:rsidRPr="00746D49">
        <w:t>Duchatelet et al. (2022) provide a comprehensive overview of assessment and evaluation practices in simulation-based learning (SBL) within higher education and professional training.</w:t>
      </w:r>
      <w:r>
        <w:t xml:space="preserve"> A key strength is the paper’s focus on evaluation methodology, highlighting how assessment strategies impact the measurement of learning outcomes, skill acquisition, and professional competence. The study synthesizes existing literature systematically, offering practical insights for educators and researchers seeking to design effective SBL assessment frameworks.</w:t>
      </w:r>
    </w:p>
    <w:p w14:paraId="73D2EECB" w14:textId="43360880" w:rsidR="00746D49" w:rsidRDefault="00746D49" w:rsidP="00746D49">
      <w:r>
        <w:t>However, the study has limitations. It is largely descriptive and does not include a formal meta-analysis, which limits its ability to quantify the overall effectiveness of different SBL approaches. The included studies vary widely in context, simulation fidelity, and assessment metrics, making comparisons challenging. Many studies focus on short-term outcomes, providing limited evidence on long-term learning transfer or retention.</w:t>
      </w:r>
    </w:p>
    <w:p w14:paraId="242C733A" w14:textId="2A245A8A" w:rsidR="00746D49" w:rsidRDefault="00746D49">
      <w:r>
        <w:t>Contradictions appear primarily across the literature reviewed: while structured, well-designed assessments generally enhance learning measurement, some studies report minimal differences in learner outcomes, suggesting that the impact of assessment depends on context, implementation quality, and the alignment between simulation and evaluation methods.</w:t>
      </w:r>
    </w:p>
    <w:p w14:paraId="577D9412" w14:textId="3740FBC8" w:rsidR="00746D49" w:rsidRDefault="00CE1A8C">
      <w:r w:rsidRPr="00CE1A8C">
        <w:t xml:space="preserve">Bauer et al. (2022) </w:t>
      </w:r>
      <w:r w:rsidR="00AE123A">
        <w:t xml:space="preserve">proposed representational scaffolding as a framework whereby simulations approximate professional practice while remaining educationally manageable. </w:t>
      </w:r>
    </w:p>
    <w:p w14:paraId="6435ACC0" w14:textId="6F0E9921" w:rsidR="00DE30CF" w:rsidRDefault="00BD34F3" w:rsidP="00746D49">
      <w:r w:rsidRPr="00BD34F3">
        <w:t>Bauer et al. (2022) examine how simulation-based learning is used in universities and professional training, highlighting a method called ‘representational scaffolding,’ which helps students practice real-world tasks in a simplified, guided way</w:t>
      </w:r>
      <w:r w:rsidR="00746D49">
        <w:t>.</w:t>
      </w:r>
      <w:r w:rsidR="00C92310" w:rsidRPr="00C92310">
        <w:t xml:space="preserve"> </w:t>
      </w:r>
      <w:r w:rsidR="00C92310" w:rsidRPr="00BD34F3">
        <w:t xml:space="preserve">Bauer et al. (2022) </w:t>
      </w:r>
      <w:r w:rsidR="00C92310" w:rsidRPr="00C92310">
        <w:t>conclude that simulation-based learning can be much more effective when designed via representational scaffolding: by adjusting the representation of practice to match learner needs and educational goals, simulations can better approximate real professional practice, support learning of complex skills, and avoid overburdening learners.</w:t>
      </w:r>
      <w:r w:rsidR="00746D49">
        <w:t xml:space="preserve"> </w:t>
      </w:r>
      <w:r w:rsidR="00DE30CF" w:rsidRPr="00DE30CF">
        <w:t>Implications for economics education are significant: scaffolding ensures abstract models are meaningfully interpreted, enhancing transfer from interactive exercises to theoretical understanding.</w:t>
      </w:r>
    </w:p>
    <w:p w14:paraId="14E81F74" w14:textId="30FC9039" w:rsidR="00746D49" w:rsidRDefault="00746D49" w:rsidP="00746D49">
      <w:r>
        <w:t>A major strength of the study is its theoretical grounding, linking simulation design to educational theory and emphasizing how scaffolding supports skill development and cognitive transfer. The paper systematically synthesizes empirical and conceptual literature, providing valuable guidance on how simulations can be structured to optimize learning outcomes.</w:t>
      </w:r>
    </w:p>
    <w:p w14:paraId="567E9521" w14:textId="786BD839" w:rsidR="00746D49" w:rsidRDefault="00746D49" w:rsidP="00746D49">
      <w:r>
        <w:t xml:space="preserve">However, the study has limitations. The analysis is largely conceptual and descriptive, lacking quantitative synthesis or meta-analytic evidence to evaluate the effectiveness of different scaffolding approaches. The included studies are heterogeneous in terms of discipline, simulation fidelity, and learner populations, limiting generalizability. </w:t>
      </w:r>
      <w:r>
        <w:lastRenderedPageBreak/>
        <w:t>Additionally, evidence on long-term transfer and retention remains scarce, and practical implementation challenges are underexplored.</w:t>
      </w:r>
    </w:p>
    <w:p w14:paraId="4434CEC6" w14:textId="5C52F2E0" w:rsidR="00746D49" w:rsidRDefault="00746D49">
      <w:r>
        <w:t>Contradictions mainly arise across the reviewed studies: while scaffolding is generally linked to improved learner outcomes, some research reports minimal differences in performance compared to less-structured simulations, suggesting that effectiveness depends on learner expertise, context, and alignment between simulation design and learning objectives.</w:t>
      </w:r>
    </w:p>
    <w:p w14:paraId="08BDB529" w14:textId="364A0080" w:rsidR="00746D49" w:rsidRDefault="00AE123A">
      <w:r>
        <w:t xml:space="preserve">Meanwhile, Faisal et al. (2022) reviewed business simulation games, offering discipline-relevant insights for economics. They reported consistent benefits for experiential understanding of strategic and managerial concepts, though not always stronger than traditional instruction in factual recall. </w:t>
      </w:r>
      <w:r w:rsidR="004F0BE4" w:rsidRPr="004F0BE4">
        <w:t xml:space="preserve">Faisal et al. (2022) conclude that business simulation games are a promising pedagogical tool in higher education, with empirical evidence indicating they can improve knowledge, skills, and </w:t>
      </w:r>
      <w:r w:rsidR="009A5050" w:rsidRPr="004F0BE4">
        <w:t>behavioral</w:t>
      </w:r>
      <w:r w:rsidR="004F0BE4" w:rsidRPr="004F0BE4">
        <w:t xml:space="preserve"> outcomes for students. However, due to variation in study designs, assessment methods, and contexts, results are uneven and there are substantial gaps. They call for more rigorous, standardized, and theoretically grounded studies especially concerning long-term learning outcomes, consistent assessment methods, integration within curricula, and the role of instructors/facilitation</w:t>
      </w:r>
    </w:p>
    <w:p w14:paraId="19188B51" w14:textId="49D2356D" w:rsidR="00746D49" w:rsidRDefault="00746D49" w:rsidP="00746D49">
      <w:r>
        <w:t>Faisal et al. (2022) provide a systematic review of business simulation games in higher education, with a key strength being its focused scope on empirical studies in business education. The study uses a transparent methodology, including clearly defined search strategies and inclusion criteria, which enhances credibility and replicability. It synthesizes evidence on learning outcomes, skill development, and engagement, offering insights into how simulation games support decision-making, strategic thinking, and applied knowledge in business contexts.</w:t>
      </w:r>
    </w:p>
    <w:p w14:paraId="5DA5693B" w14:textId="77777777" w:rsidR="00746D49" w:rsidRDefault="00746D49" w:rsidP="00746D49">
      <w:r>
        <w:t>However, the review has limitations. The included studies are highly heterogeneous in terms of game type, duration, assessment methods, and participant profiles, making comparisons challenging. Many studies rely on short-term interventions and self-reported measures, limiting evidence for long-term skill retention or real-world application. Publication bias may also overrepresent positive outcomes.</w:t>
      </w:r>
    </w:p>
    <w:p w14:paraId="36BB254C" w14:textId="47850F66" w:rsidR="00746D49" w:rsidRDefault="00746D49">
      <w:r>
        <w:t>Contradictions primarily emerge across the studies reviewed</w:t>
      </w:r>
      <w:r w:rsidR="009A5050">
        <w:t xml:space="preserve">, </w:t>
      </w:r>
      <w:r>
        <w:t>while most indicate enhanced engagement and cognitive skills, a few report minimal impact on academic performance or decision-making, suggesting effectiveness depends on game design, context, and instructional integration.</w:t>
      </w:r>
    </w:p>
    <w:p w14:paraId="1797C0DD" w14:textId="67CC63E5" w:rsidR="00327829" w:rsidRDefault="00AE123A">
      <w:r>
        <w:t>Sim et al. (2022) added further meta-analytic evidence from nursing, reinforcing that virtual simulations can strengthen clinical reasoning when carefully designed.</w:t>
      </w:r>
      <w:r w:rsidR="004F0BE4">
        <w:t xml:space="preserve"> </w:t>
      </w:r>
      <w:r w:rsidR="004F0BE4" w:rsidRPr="004F0BE4">
        <w:t>The meta-analysis found a significant improvement in clinical reasoning among learners using virtual simulation compared with control groups.</w:t>
      </w:r>
    </w:p>
    <w:p w14:paraId="1E2482F9" w14:textId="7C33B87E" w:rsidR="00746D49" w:rsidRDefault="00746D49" w:rsidP="00746D49">
      <w:r>
        <w:lastRenderedPageBreak/>
        <w:t>Sim et al. (2022) conduct a systematic review and meta-analysis on virtual simulation for enhancing clinical reasoning in nursing education. A major strength of the study is the combination of systematic review and quantitative meta-analysis, allowing both a broad synthesis of the literature and estimation of effect sizes. The methodology is transparent, with clearly defined inclusion criteria, quality appraisal of studies, and statistical analysis of outcomes, enhancing reliability. The focus on clinical reasoning provides practical relevance for nursing education and supports evidence-based instructional design.</w:t>
      </w:r>
    </w:p>
    <w:p w14:paraId="09D898CE" w14:textId="6739A43F" w:rsidR="00746D49" w:rsidRDefault="00746D49" w:rsidP="00746D49">
      <w:r>
        <w:t>However, the study has limitations. The included studies are heterogeneous regarding simulation platforms, intervention duration, participant characteristics, and outcome measures, complicating direct comparison. Many rely on short-term assessments, limiting insight into long-term retention and application in clinical practice. Publication bias may overrepresent positive effects, and contextual factors such as instructor support or curriculum integration are inconsistently reported.</w:t>
      </w:r>
    </w:p>
    <w:p w14:paraId="37722A6A" w14:textId="3E08EEC3" w:rsidR="00746D49" w:rsidRDefault="00746D49" w:rsidP="00746D49">
      <w:r>
        <w:t>Contradictions arise across studies</w:t>
      </w:r>
      <w:r w:rsidR="0092640D">
        <w:t xml:space="preserve">, </w:t>
      </w:r>
      <w:r>
        <w:t>while most report improved clinical reasoning through virtual simulation, a few show no significant advantage over traditional teaching methods, suggesting that effectiveness depends on simulation fidelity, implementation quality, and learner experience.</w:t>
      </w:r>
    </w:p>
    <w:p w14:paraId="33CE8E2A" w14:textId="77777777" w:rsidR="00327829" w:rsidRDefault="00AE123A">
      <w:pPr>
        <w:pStyle w:val="Heading2"/>
      </w:pPr>
      <w:r>
        <w:t>3.7 Recent Directions and Updating Trends (2023–2025)</w:t>
      </w:r>
    </w:p>
    <w:p w14:paraId="602CFEF6" w14:textId="025DC9DA" w:rsidR="00693647" w:rsidRDefault="00AE123A">
      <w:bookmarkStart w:id="0" w:name="_Hlk217998176"/>
      <w:r>
        <w:t xml:space="preserve">Din et al. (2023) </w:t>
      </w:r>
      <w:bookmarkEnd w:id="0"/>
      <w:r>
        <w:t xml:space="preserve">synthesised serious games literature from 2015–2023. </w:t>
      </w:r>
      <w:r w:rsidR="00693647" w:rsidRPr="00693647">
        <w:t xml:space="preserve">Al Hamad et al. </w:t>
      </w:r>
      <w:r w:rsidR="00AE2020">
        <w:t>(</w:t>
      </w:r>
      <w:r w:rsidR="00693647" w:rsidRPr="00693647">
        <w:t>2025)</w:t>
      </w:r>
      <w:r w:rsidR="00693647">
        <w:t xml:space="preserve"> define seri</w:t>
      </w:r>
      <w:r w:rsidR="00C74C2E">
        <w:t>ou</w:t>
      </w:r>
      <w:r w:rsidR="00693647">
        <w:t xml:space="preserve">s games as </w:t>
      </w:r>
      <w:r w:rsidR="00693647" w:rsidRPr="00693647">
        <w:t>interactive tools designed primarily for education and skill development,</w:t>
      </w:r>
      <w:r w:rsidR="00693647">
        <w:t xml:space="preserve"> </w:t>
      </w:r>
      <w:r w:rsidR="00693647" w:rsidRPr="00693647">
        <w:t>they focus on helping students reach specific learning goals while still using fun elements like rewards, challenges, and stories to keep them engaged.</w:t>
      </w:r>
    </w:p>
    <w:p w14:paraId="72B352D2" w14:textId="77777777" w:rsidR="00C74C2E" w:rsidRDefault="00C74C2E" w:rsidP="00BF14F6">
      <w:r w:rsidRPr="00C74C2E">
        <w:t>Din et al. (2023) found that serious games generally improve students’ knowledge, skills, and attitudes; however, their effectiveness varies considerably depending on the learning context, the quality of game design, and how outcomes are assessed.</w:t>
      </w:r>
    </w:p>
    <w:p w14:paraId="25D74592" w14:textId="79920AC0" w:rsidR="00BF14F6" w:rsidRDefault="00BF14F6" w:rsidP="00BF14F6">
      <w:r w:rsidRPr="00BF14F6">
        <w:t xml:space="preserve">Din et al. (2023) </w:t>
      </w:r>
      <w:r>
        <w:t>provide an updated systematic literature review on serious games from 2015 to 2023, with the strength of covering recent developments in both educational and training contexts. The study systematically identifies and synthesizes empirical evidence, offering insights into learning outcomes, engagement, motivation, and skill acquisition. Its structured approach, including defined inclusion criteria and thematic categorization, enhances transparency and allows readers to understand trends and gaps in serious games research.</w:t>
      </w:r>
    </w:p>
    <w:p w14:paraId="397BB528" w14:textId="0054A0D1" w:rsidR="00BF14F6" w:rsidRDefault="00BF14F6" w:rsidP="00BF14F6">
      <w:r>
        <w:t>However, the study has limitations. The included literature is heterogeneous in game type, context, methodology, and measured outcomes, making cross-study comparisons challenging. Many studies rely on self-reported or short-term assessments, limiting conclusions about long-term learning or behavioral transfer. As an arXiv preprint, it may not have undergone rigorous peer review, and publication bias could overrepresent positive findings.</w:t>
      </w:r>
    </w:p>
    <w:p w14:paraId="2E010634" w14:textId="77777777" w:rsidR="00746D49" w:rsidRDefault="00AE123A">
      <w:bookmarkStart w:id="1" w:name="_Hlk218069694"/>
      <w:r>
        <w:lastRenderedPageBreak/>
        <w:t xml:space="preserve">Alharbi et al. (2024) </w:t>
      </w:r>
      <w:bookmarkEnd w:id="1"/>
      <w:r>
        <w:t xml:space="preserve">confirmed continuing effectiveness of simulation-based learning in nursing, while drawing attention to the need for longitudinal evaluation. </w:t>
      </w:r>
    </w:p>
    <w:p w14:paraId="10387C96" w14:textId="381E0E14" w:rsidR="00A5583C" w:rsidRDefault="00A5583C">
      <w:r w:rsidRPr="00A5583C">
        <w:t xml:space="preserve">Alharbi et al. (2024) </w:t>
      </w:r>
      <w:r>
        <w:t>findings show that a</w:t>
      </w:r>
      <w:r w:rsidRPr="00A5583C">
        <w:t>cross the included studies, there was a consistent and significant improvement in both knowledge and practical skills among students exposed to simulation-based learning compared to control/traditional groups.</w:t>
      </w:r>
    </w:p>
    <w:p w14:paraId="199FA2B9" w14:textId="49AA355C" w:rsidR="00746D49" w:rsidRDefault="00746D49" w:rsidP="00746D49">
      <w:r>
        <w:t>Alharbi et al. (2024) present a systematic review evaluating the effectiveness of simulation-based learning (SBL) on knowledge and skills in nursing programs. A key strength of the study is its comprehensive scope, synthesizing recent empirical evidence across multiple nursing programs and educational contexts. The methodology is clearly described, including systematic search strategies, inclusion criteria, and quality assessment of studies, enhancing transparency and reliability. The review highlights consistent positive outcomes, such as improved knowledge acquisition, clinical skills, and learner confidence, providing practical guidance for curriculum development.</w:t>
      </w:r>
    </w:p>
    <w:p w14:paraId="4ED184A0" w14:textId="7E62C32C" w:rsidR="00746D49" w:rsidRDefault="00746D49" w:rsidP="00746D49">
      <w:r>
        <w:t>However, the study has limitations. The included studies vary widely in simulation type, duration, and assessment methods, limiting comparability and generalizability. Most studies focus on short-term outcomes and use self-reported measures, offering limited evidence for long-term retention or clinical application. Publication bias may overrepresent positive results.</w:t>
      </w:r>
    </w:p>
    <w:p w14:paraId="4CED3E9B" w14:textId="12B2B01B" w:rsidR="0094778C" w:rsidRDefault="00AE123A">
      <w:r>
        <w:t>Brandl and Schrader (2024) positioned serious games within Education 4.0, emphasising digital transformation and adaptive learning ecosystems.</w:t>
      </w:r>
      <w:r w:rsidR="0094778C" w:rsidRPr="0094778C">
        <w:t xml:space="preserve"> Brandl and Schrader (2024) provide a systematized review of serious games in higher education within the context of the Education 4.0 paradigm.</w:t>
      </w:r>
      <w:r w:rsidR="0094778C">
        <w:t xml:space="preserve"> </w:t>
      </w:r>
      <w:r w:rsidR="0094778C" w:rsidRPr="0094778C">
        <w:t>Chaka (2022) states</w:t>
      </w:r>
      <w:r w:rsidR="0094778C">
        <w:t xml:space="preserve"> that</w:t>
      </w:r>
      <w:r>
        <w:t xml:space="preserve"> </w:t>
      </w:r>
      <w:r w:rsidR="0094778C" w:rsidRPr="0094778C">
        <w:t>Education 4.0 is an evolving educational paradigm that aligns teaching and learning with the Fourth Industrial Revolution (4IR). It focuses on shifting from a teacher-centered model to a learner-centric, personalized approach that utilizes smart technologies like artificial intelligence (AI), robotics, and the Internet of Things (IoT)</w:t>
      </w:r>
    </w:p>
    <w:p w14:paraId="1630BDB9" w14:textId="1284A786" w:rsidR="00327829" w:rsidRDefault="0094778C">
      <w:r w:rsidRPr="0094778C">
        <w:t>Brandl and Schrader (2024)</w:t>
      </w:r>
      <w:r>
        <w:t xml:space="preserve"> review finds that c</w:t>
      </w:r>
      <w:r w:rsidR="00AE123A">
        <w:t>ollectively, post‑2020 literature argues less for radical replacement of lectures and more for deliberate integration and alignment with learning outcomes</w:t>
      </w:r>
      <w:r>
        <w:t>.</w:t>
      </w:r>
    </w:p>
    <w:p w14:paraId="0531D43D" w14:textId="65A6493B" w:rsidR="00BF14F6" w:rsidRDefault="00BF14F6" w:rsidP="00BF14F6">
      <w:r>
        <w:t>A major strength of the study is its contemporary focus on the integration of digital technologies, gamification, and interactive learning, offering insights into how serious games support student engagement, motivation, and competency development in modern educational environments. The review systematically categorizes findings across disciplines and highlights trends in pedagogical design, learning outcomes, and technological integration, providing practical guidance for educators.</w:t>
      </w:r>
    </w:p>
    <w:p w14:paraId="2345C72D" w14:textId="166F89D9" w:rsidR="00BD12B0" w:rsidRDefault="00BF14F6" w:rsidP="00BF14F6">
      <w:r>
        <w:t xml:space="preserve">However, the study has limitations. The reviewed literature is heterogeneous regarding game type, discipline, assessment measures, and study quality, which complicates cross-study comparisons. Many studies are short-term and rely on self-reported outcomes, limiting evidence on long-term learning or skill transfer. Publication bias may </w:t>
      </w:r>
      <w:r>
        <w:lastRenderedPageBreak/>
        <w:t>overrepresent positive results, and practical challenges in implementation are only briefly discussed.</w:t>
      </w:r>
    </w:p>
    <w:p w14:paraId="5D048091" w14:textId="76E5D583" w:rsidR="00B725F8" w:rsidRPr="00B725F8" w:rsidRDefault="00AE123A" w:rsidP="00B725F8">
      <w:pPr>
        <w:pStyle w:val="Heading1"/>
      </w:pPr>
      <w:bookmarkStart w:id="2" w:name="_Hlk217998507"/>
      <w:r>
        <w:t xml:space="preserve">4. </w:t>
      </w:r>
      <w:r w:rsidR="00BD12B0">
        <w:t>Overview summary of research articles used showing the evolution of the topic area over the time period 2015 - 2025</w:t>
      </w:r>
    </w:p>
    <w:p w14:paraId="0433F8D3" w14:textId="77777777" w:rsidR="00B725F8" w:rsidRPr="00B725F8" w:rsidRDefault="00B725F8" w:rsidP="00B725F8">
      <w:pPr>
        <w:rPr>
          <w:rFonts w:ascii="Aptos" w:hAnsi="Aptos"/>
          <w:vanish/>
          <w:sz w:val="16"/>
          <w:szCs w:val="16"/>
          <w:lang w:val="en-GB"/>
        </w:rPr>
      </w:pPr>
    </w:p>
    <w:p w14:paraId="0E38923F" w14:textId="77777777" w:rsidR="00BD12B0" w:rsidRDefault="00BD12B0" w:rsidP="00BD12B0"/>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0"/>
        <w:gridCol w:w="1050"/>
        <w:gridCol w:w="1013"/>
        <w:gridCol w:w="2238"/>
        <w:gridCol w:w="1608"/>
        <w:gridCol w:w="2321"/>
      </w:tblGrid>
      <w:tr w:rsidR="00B725F8" w:rsidRPr="00B725F8" w14:paraId="10463860" w14:textId="77777777" w:rsidTr="001E6732">
        <w:trPr>
          <w:tblHeader/>
          <w:tblCellSpacing w:w="15" w:type="dxa"/>
        </w:trPr>
        <w:tc>
          <w:tcPr>
            <w:tcW w:w="0" w:type="auto"/>
            <w:vAlign w:val="center"/>
            <w:hideMark/>
          </w:tcPr>
          <w:p w14:paraId="66C4E811"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Year</w:t>
            </w:r>
          </w:p>
        </w:tc>
        <w:tc>
          <w:tcPr>
            <w:tcW w:w="0" w:type="auto"/>
            <w:vAlign w:val="center"/>
            <w:hideMark/>
          </w:tcPr>
          <w:p w14:paraId="2B07BCB4"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Study / Authors</w:t>
            </w:r>
          </w:p>
        </w:tc>
        <w:tc>
          <w:tcPr>
            <w:tcW w:w="0" w:type="auto"/>
            <w:vAlign w:val="center"/>
            <w:hideMark/>
          </w:tcPr>
          <w:p w14:paraId="62DF07C6"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Focus / Discipline</w:t>
            </w:r>
          </w:p>
        </w:tc>
        <w:tc>
          <w:tcPr>
            <w:tcW w:w="0" w:type="auto"/>
            <w:vAlign w:val="center"/>
            <w:hideMark/>
          </w:tcPr>
          <w:p w14:paraId="213A3496"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Key Findings</w:t>
            </w:r>
          </w:p>
        </w:tc>
        <w:tc>
          <w:tcPr>
            <w:tcW w:w="0" w:type="auto"/>
            <w:vAlign w:val="center"/>
            <w:hideMark/>
          </w:tcPr>
          <w:p w14:paraId="5100296B"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Strengths</w:t>
            </w:r>
          </w:p>
        </w:tc>
        <w:tc>
          <w:tcPr>
            <w:tcW w:w="0" w:type="auto"/>
            <w:vAlign w:val="center"/>
            <w:hideMark/>
          </w:tcPr>
          <w:p w14:paraId="0E41E04A" w14:textId="77777777" w:rsidR="00B725F8" w:rsidRPr="00B725F8" w:rsidRDefault="00B725F8" w:rsidP="00B725F8">
            <w:pPr>
              <w:spacing w:after="160" w:line="259" w:lineRule="auto"/>
              <w:rPr>
                <w:rFonts w:ascii="Aptos Display" w:eastAsia="Aptos" w:hAnsi="Aptos Display" w:cs="Times New Roman"/>
                <w:b/>
                <w:bCs/>
                <w:kern w:val="2"/>
                <w:sz w:val="16"/>
                <w:szCs w:val="16"/>
                <w:lang w:val="en-GB"/>
                <w14:ligatures w14:val="standardContextual"/>
              </w:rPr>
            </w:pPr>
            <w:r w:rsidRPr="00B725F8">
              <w:rPr>
                <w:rFonts w:ascii="Aptos Display" w:eastAsia="Aptos" w:hAnsi="Aptos Display" w:cs="Times New Roman"/>
                <w:b/>
                <w:bCs/>
                <w:kern w:val="2"/>
                <w:sz w:val="16"/>
                <w:szCs w:val="16"/>
                <w:lang w:val="en-GB"/>
                <w14:ligatures w14:val="standardContextual"/>
              </w:rPr>
              <w:t>Limitations / Notes</w:t>
            </w:r>
          </w:p>
        </w:tc>
      </w:tr>
      <w:tr w:rsidR="00B725F8" w:rsidRPr="00B725F8" w14:paraId="15375B93" w14:textId="77777777" w:rsidTr="001E6732">
        <w:trPr>
          <w:tblCellSpacing w:w="15" w:type="dxa"/>
        </w:trPr>
        <w:tc>
          <w:tcPr>
            <w:tcW w:w="0" w:type="auto"/>
            <w:vAlign w:val="center"/>
            <w:hideMark/>
          </w:tcPr>
          <w:p w14:paraId="70ED64E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2016</w:t>
            </w:r>
          </w:p>
        </w:tc>
        <w:tc>
          <w:tcPr>
            <w:tcW w:w="0" w:type="auto"/>
            <w:vAlign w:val="center"/>
            <w:hideMark/>
          </w:tcPr>
          <w:p w14:paraId="5E4514A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Boyle et al.</w:t>
            </w:r>
          </w:p>
        </w:tc>
        <w:tc>
          <w:tcPr>
            <w:tcW w:w="0" w:type="auto"/>
            <w:vAlign w:val="center"/>
            <w:hideMark/>
          </w:tcPr>
          <w:p w14:paraId="1B36855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General education</w:t>
            </w:r>
          </w:p>
        </w:tc>
        <w:tc>
          <w:tcPr>
            <w:tcW w:w="0" w:type="auto"/>
            <w:vAlign w:val="center"/>
            <w:hideMark/>
          </w:tcPr>
          <w:p w14:paraId="15A539D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Early synthesis of serious/computer games; positive effects on motivation and knowledge acquisition; games seen as complementary to lectures</w:t>
            </w:r>
          </w:p>
        </w:tc>
        <w:tc>
          <w:tcPr>
            <w:tcW w:w="0" w:type="auto"/>
            <w:vAlign w:val="center"/>
            <w:hideMark/>
          </w:tcPr>
          <w:p w14:paraId="7EA79BA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Large-scale review (143 studies), structured outcome framework, transparent methodology</w:t>
            </w:r>
          </w:p>
        </w:tc>
        <w:tc>
          <w:tcPr>
            <w:tcW w:w="0" w:type="auto"/>
            <w:vAlign w:val="center"/>
            <w:hideMark/>
          </w:tcPr>
          <w:p w14:paraId="7F0C481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 study heterogeneity; short-term/quasi-experimental; mixed results on learning transfer; publication bias</w:t>
            </w:r>
          </w:p>
        </w:tc>
      </w:tr>
      <w:tr w:rsidR="00B725F8" w:rsidRPr="00B725F8" w14:paraId="686DC635" w14:textId="77777777" w:rsidTr="001E6732">
        <w:trPr>
          <w:tblCellSpacing w:w="15" w:type="dxa"/>
        </w:trPr>
        <w:tc>
          <w:tcPr>
            <w:tcW w:w="0" w:type="auto"/>
            <w:vAlign w:val="center"/>
            <w:hideMark/>
          </w:tcPr>
          <w:p w14:paraId="07C0E48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2017</w:t>
            </w:r>
          </w:p>
        </w:tc>
        <w:tc>
          <w:tcPr>
            <w:tcW w:w="0" w:type="auto"/>
            <w:vAlign w:val="center"/>
            <w:hideMark/>
          </w:tcPr>
          <w:p w14:paraId="0E0CE06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Vlachopoulos &amp; Makri</w:t>
            </w:r>
          </w:p>
        </w:tc>
        <w:tc>
          <w:tcPr>
            <w:tcW w:w="0" w:type="auto"/>
            <w:vAlign w:val="center"/>
            <w:hideMark/>
          </w:tcPr>
          <w:p w14:paraId="1F086C9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w:t>
            </w:r>
          </w:p>
        </w:tc>
        <w:tc>
          <w:tcPr>
            <w:tcW w:w="0" w:type="auto"/>
            <w:vAlign w:val="center"/>
            <w:hideMark/>
          </w:tcPr>
          <w:p w14:paraId="213B7D2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Games/simulations generally improve engagement, motivation, some conceptual understanding</w:t>
            </w:r>
          </w:p>
        </w:tc>
        <w:tc>
          <w:tcPr>
            <w:tcW w:w="0" w:type="auto"/>
            <w:vAlign w:val="center"/>
            <w:hideMark/>
          </w:tcPr>
          <w:p w14:paraId="023E25C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Transparent search strategy, thematic analysis across disciplines</w:t>
            </w:r>
          </w:p>
        </w:tc>
        <w:tc>
          <w:tcPr>
            <w:tcW w:w="0" w:type="auto"/>
            <w:vAlign w:val="center"/>
            <w:hideMark/>
          </w:tcPr>
          <w:p w14:paraId="253B210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small samples, reliance on self-report, short-term interventions; mixed results</w:t>
            </w:r>
          </w:p>
        </w:tc>
      </w:tr>
      <w:tr w:rsidR="00B725F8" w:rsidRPr="00B725F8" w14:paraId="2D09A0AF" w14:textId="77777777" w:rsidTr="001E6732">
        <w:trPr>
          <w:tblCellSpacing w:w="15" w:type="dxa"/>
        </w:trPr>
        <w:tc>
          <w:tcPr>
            <w:tcW w:w="0" w:type="auto"/>
            <w:vAlign w:val="center"/>
            <w:hideMark/>
          </w:tcPr>
          <w:p w14:paraId="5659BB7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2017</w:t>
            </w:r>
          </w:p>
        </w:tc>
        <w:tc>
          <w:tcPr>
            <w:tcW w:w="0" w:type="auto"/>
            <w:vAlign w:val="center"/>
            <w:hideMark/>
          </w:tcPr>
          <w:p w14:paraId="4B7A9B4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Hegland et al.</w:t>
            </w:r>
          </w:p>
        </w:tc>
        <w:tc>
          <w:tcPr>
            <w:tcW w:w="0" w:type="auto"/>
            <w:vAlign w:val="center"/>
            <w:hideMark/>
          </w:tcPr>
          <w:p w14:paraId="39A2D53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Nursing education</w:t>
            </w:r>
          </w:p>
        </w:tc>
        <w:tc>
          <w:tcPr>
            <w:tcW w:w="0" w:type="auto"/>
            <w:vAlign w:val="center"/>
            <w:hideMark/>
          </w:tcPr>
          <w:p w14:paraId="36DA9F8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Simulation-based training outperforms traditional instruction in knowledge, skills, clinical performance</w:t>
            </w:r>
          </w:p>
        </w:tc>
        <w:tc>
          <w:tcPr>
            <w:tcW w:w="0" w:type="auto"/>
            <w:vAlign w:val="center"/>
            <w:hideMark/>
          </w:tcPr>
          <w:p w14:paraId="7C27FF1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Combines qualitative synthesis with meta-analysis, rigorous methodology</w:t>
            </w:r>
          </w:p>
        </w:tc>
        <w:tc>
          <w:tcPr>
            <w:tcW w:w="0" w:type="auto"/>
            <w:vAlign w:val="center"/>
            <w:hideMark/>
          </w:tcPr>
          <w:p w14:paraId="25724D3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 focus, few longitudinal assessments; context-dependent outcomes</w:t>
            </w:r>
          </w:p>
        </w:tc>
      </w:tr>
      <w:tr w:rsidR="00B725F8" w:rsidRPr="00B725F8" w14:paraId="587608CE" w14:textId="77777777" w:rsidTr="001E6732">
        <w:trPr>
          <w:tblCellSpacing w:w="15" w:type="dxa"/>
        </w:trPr>
        <w:tc>
          <w:tcPr>
            <w:tcW w:w="0" w:type="auto"/>
            <w:vAlign w:val="center"/>
            <w:hideMark/>
          </w:tcPr>
          <w:p w14:paraId="656621A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2018</w:t>
            </w:r>
          </w:p>
        </w:tc>
        <w:tc>
          <w:tcPr>
            <w:tcW w:w="0" w:type="auto"/>
            <w:vAlign w:val="center"/>
            <w:hideMark/>
          </w:tcPr>
          <w:p w14:paraId="1A25F9D5"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Lamb et al.</w:t>
            </w:r>
          </w:p>
        </w:tc>
        <w:tc>
          <w:tcPr>
            <w:tcW w:w="0" w:type="auto"/>
            <w:vAlign w:val="center"/>
            <w:hideMark/>
          </w:tcPr>
          <w:p w14:paraId="3DEE250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General education</w:t>
            </w:r>
          </w:p>
        </w:tc>
        <w:tc>
          <w:tcPr>
            <w:tcW w:w="0" w:type="auto"/>
            <w:vAlign w:val="center"/>
            <w:hideMark/>
          </w:tcPr>
          <w:p w14:paraId="740ECC9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Meta-analysis of serious games and simulations; effects moderated by design, context, learner characteristics</w:t>
            </w:r>
          </w:p>
        </w:tc>
        <w:tc>
          <w:tcPr>
            <w:tcW w:w="0" w:type="auto"/>
            <w:vAlign w:val="center"/>
            <w:hideMark/>
          </w:tcPr>
          <w:p w14:paraId="76CC8BC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Quantitative effect size estimates, moderator analysis</w:t>
            </w:r>
          </w:p>
        </w:tc>
        <w:tc>
          <w:tcPr>
            <w:tcW w:w="0" w:type="auto"/>
            <w:vAlign w:val="center"/>
            <w:hideMark/>
          </w:tcPr>
          <w:p w14:paraId="201B757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interventions, short-term/self-report outcomes, publication bias</w:t>
            </w:r>
          </w:p>
        </w:tc>
      </w:tr>
      <w:tr w:rsidR="00B725F8" w:rsidRPr="00B725F8" w14:paraId="5B61B92D" w14:textId="77777777" w:rsidTr="001E6732">
        <w:trPr>
          <w:tblCellSpacing w:w="15" w:type="dxa"/>
        </w:trPr>
        <w:tc>
          <w:tcPr>
            <w:tcW w:w="0" w:type="auto"/>
            <w:vAlign w:val="center"/>
            <w:hideMark/>
          </w:tcPr>
          <w:p w14:paraId="433CB7F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2018</w:t>
            </w:r>
          </w:p>
        </w:tc>
        <w:tc>
          <w:tcPr>
            <w:tcW w:w="0" w:type="auto"/>
            <w:vAlign w:val="center"/>
            <w:hideMark/>
          </w:tcPr>
          <w:p w14:paraId="0B6AD64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Subhash &amp; Cudney</w:t>
            </w:r>
          </w:p>
        </w:tc>
        <w:tc>
          <w:tcPr>
            <w:tcW w:w="0" w:type="auto"/>
            <w:vAlign w:val="center"/>
            <w:hideMark/>
          </w:tcPr>
          <w:p w14:paraId="1CAC11B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gamification</w:t>
            </w:r>
          </w:p>
        </w:tc>
        <w:tc>
          <w:tcPr>
            <w:tcW w:w="0" w:type="auto"/>
            <w:vAlign w:val="center"/>
            <w:hideMark/>
          </w:tcPr>
          <w:p w14:paraId="102FF60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Gamification elements (points, badges, leaderboards) improve engagement and motivation; nuanced conditions for success</w:t>
            </w:r>
          </w:p>
        </w:tc>
        <w:tc>
          <w:tcPr>
            <w:tcW w:w="0" w:type="auto"/>
            <w:vAlign w:val="center"/>
            <w:hideMark/>
          </w:tcPr>
          <w:p w14:paraId="1AFEBAB2"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Broad, multi-disciplinary synthesis; clear methods</w:t>
            </w:r>
          </w:p>
        </w:tc>
        <w:tc>
          <w:tcPr>
            <w:tcW w:w="0" w:type="auto"/>
            <w:vAlign w:val="center"/>
            <w:hideMark/>
          </w:tcPr>
          <w:p w14:paraId="394D0912"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 focus, variable implementation, publication bias; mixed effects on actual learning</w:t>
            </w:r>
          </w:p>
        </w:tc>
      </w:tr>
      <w:tr w:rsidR="00B725F8" w:rsidRPr="00B725F8" w14:paraId="0F740260" w14:textId="77777777" w:rsidTr="001E6732">
        <w:trPr>
          <w:tblCellSpacing w:w="15" w:type="dxa"/>
        </w:trPr>
        <w:tc>
          <w:tcPr>
            <w:tcW w:w="0" w:type="auto"/>
            <w:vAlign w:val="center"/>
            <w:hideMark/>
          </w:tcPr>
          <w:p w14:paraId="4F09D1A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2019</w:t>
            </w:r>
          </w:p>
        </w:tc>
        <w:tc>
          <w:tcPr>
            <w:tcW w:w="0" w:type="auto"/>
            <w:vAlign w:val="center"/>
            <w:hideMark/>
          </w:tcPr>
          <w:p w14:paraId="46BDF45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Scholtz &amp; Hughes</w:t>
            </w:r>
          </w:p>
        </w:tc>
        <w:tc>
          <w:tcPr>
            <w:tcW w:w="0" w:type="auto"/>
            <w:vAlign w:val="center"/>
            <w:hideMark/>
          </w:tcPr>
          <w:p w14:paraId="0053E90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educator roles</w:t>
            </w:r>
          </w:p>
        </w:tc>
        <w:tc>
          <w:tcPr>
            <w:tcW w:w="0" w:type="auto"/>
            <w:vAlign w:val="center"/>
            <w:hideMark/>
          </w:tcPr>
          <w:p w14:paraId="2E1E89B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Instructor facilitation critical; guided simulations more effective than unguided</w:t>
            </w:r>
          </w:p>
        </w:tc>
        <w:tc>
          <w:tcPr>
            <w:tcW w:w="0" w:type="auto"/>
            <w:vAlign w:val="center"/>
            <w:hideMark/>
          </w:tcPr>
          <w:p w14:paraId="64959D06"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Focus on overlooked educator role, structured methodology</w:t>
            </w:r>
          </w:p>
        </w:tc>
        <w:tc>
          <w:tcPr>
            <w:tcW w:w="0" w:type="auto"/>
            <w:vAlign w:val="center"/>
            <w:hideMark/>
          </w:tcPr>
          <w:p w14:paraId="5AB5E73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outcomes, context-dependent results</w:t>
            </w:r>
          </w:p>
        </w:tc>
      </w:tr>
      <w:tr w:rsidR="00B725F8" w:rsidRPr="00B725F8" w14:paraId="3A960077" w14:textId="77777777" w:rsidTr="001E6732">
        <w:trPr>
          <w:tblCellSpacing w:w="15" w:type="dxa"/>
        </w:trPr>
        <w:tc>
          <w:tcPr>
            <w:tcW w:w="0" w:type="auto"/>
            <w:vAlign w:val="center"/>
            <w:hideMark/>
          </w:tcPr>
          <w:p w14:paraId="708BC4B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2020</w:t>
            </w:r>
          </w:p>
        </w:tc>
        <w:tc>
          <w:tcPr>
            <w:tcW w:w="0" w:type="auto"/>
            <w:vAlign w:val="center"/>
            <w:hideMark/>
          </w:tcPr>
          <w:p w14:paraId="3D07526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Chernikova et al.</w:t>
            </w:r>
          </w:p>
        </w:tc>
        <w:tc>
          <w:tcPr>
            <w:tcW w:w="0" w:type="auto"/>
            <w:vAlign w:val="center"/>
            <w:hideMark/>
          </w:tcPr>
          <w:p w14:paraId="5CF1788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w:t>
            </w:r>
          </w:p>
        </w:tc>
        <w:tc>
          <w:tcPr>
            <w:tcW w:w="0" w:type="auto"/>
            <w:vAlign w:val="center"/>
            <w:hideMark/>
          </w:tcPr>
          <w:p w14:paraId="36AAEDC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Meta-analysis: moderate positive effects on knowledge/skills; effectiveness depends on fidelity, feedback, scaffolding</w:t>
            </w:r>
          </w:p>
        </w:tc>
        <w:tc>
          <w:tcPr>
            <w:tcW w:w="0" w:type="auto"/>
            <w:vAlign w:val="center"/>
            <w:hideMark/>
          </w:tcPr>
          <w:p w14:paraId="5671A1D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Quantitative synthesis with effect sizes, moderator analysis</w:t>
            </w:r>
          </w:p>
        </w:tc>
        <w:tc>
          <w:tcPr>
            <w:tcW w:w="0" w:type="auto"/>
            <w:vAlign w:val="center"/>
            <w:hideMark/>
          </w:tcPr>
          <w:p w14:paraId="605BBE0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interventions/outcomes, short-term/self-report, limited data on instructor facilitation</w:t>
            </w:r>
          </w:p>
        </w:tc>
      </w:tr>
      <w:tr w:rsidR="00B725F8" w:rsidRPr="00B725F8" w14:paraId="51DE40BA" w14:textId="77777777" w:rsidTr="001E6732">
        <w:trPr>
          <w:tblCellSpacing w:w="15" w:type="dxa"/>
        </w:trPr>
        <w:tc>
          <w:tcPr>
            <w:tcW w:w="0" w:type="auto"/>
            <w:vAlign w:val="center"/>
            <w:hideMark/>
          </w:tcPr>
          <w:p w14:paraId="279C9A9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2022</w:t>
            </w:r>
          </w:p>
        </w:tc>
        <w:tc>
          <w:tcPr>
            <w:tcW w:w="0" w:type="auto"/>
            <w:vAlign w:val="center"/>
            <w:hideMark/>
          </w:tcPr>
          <w:p w14:paraId="3DE45A8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Duchatelet et al.</w:t>
            </w:r>
          </w:p>
        </w:tc>
        <w:tc>
          <w:tcPr>
            <w:tcW w:w="0" w:type="auto"/>
            <w:vAlign w:val="center"/>
            <w:hideMark/>
          </w:tcPr>
          <w:p w14:paraId="7C715FD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assessment</w:t>
            </w:r>
          </w:p>
        </w:tc>
        <w:tc>
          <w:tcPr>
            <w:tcW w:w="0" w:type="auto"/>
            <w:vAlign w:val="center"/>
            <w:hideMark/>
          </w:tcPr>
          <w:p w14:paraId="24772F9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Highlights challenges in evaluating simulation-based learning; assessment design crucial</w:t>
            </w:r>
          </w:p>
        </w:tc>
        <w:tc>
          <w:tcPr>
            <w:tcW w:w="0" w:type="auto"/>
            <w:vAlign w:val="center"/>
            <w:hideMark/>
          </w:tcPr>
          <w:p w14:paraId="0B69CEB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Focus on evaluation methodology, systematic synthesis</w:t>
            </w:r>
          </w:p>
        </w:tc>
        <w:tc>
          <w:tcPr>
            <w:tcW w:w="0" w:type="auto"/>
            <w:vAlign w:val="center"/>
            <w:hideMark/>
          </w:tcPr>
          <w:p w14:paraId="752CC71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Descriptive, no meta-analysis; heterogeneous studies, short-term outcomes</w:t>
            </w:r>
          </w:p>
        </w:tc>
      </w:tr>
      <w:tr w:rsidR="00B725F8" w:rsidRPr="00B725F8" w14:paraId="7B464166" w14:textId="77777777" w:rsidTr="001E6732">
        <w:trPr>
          <w:tblCellSpacing w:w="15" w:type="dxa"/>
        </w:trPr>
        <w:tc>
          <w:tcPr>
            <w:tcW w:w="0" w:type="auto"/>
            <w:vAlign w:val="center"/>
            <w:hideMark/>
          </w:tcPr>
          <w:p w14:paraId="5666002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2022</w:t>
            </w:r>
          </w:p>
        </w:tc>
        <w:tc>
          <w:tcPr>
            <w:tcW w:w="0" w:type="auto"/>
            <w:vAlign w:val="center"/>
            <w:hideMark/>
          </w:tcPr>
          <w:p w14:paraId="2220B72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Bauer, Heitzmann &amp; Fischer</w:t>
            </w:r>
          </w:p>
        </w:tc>
        <w:tc>
          <w:tcPr>
            <w:tcW w:w="0" w:type="auto"/>
            <w:vAlign w:val="center"/>
            <w:hideMark/>
          </w:tcPr>
          <w:p w14:paraId="5C201F7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scaffolding</w:t>
            </w:r>
          </w:p>
        </w:tc>
        <w:tc>
          <w:tcPr>
            <w:tcW w:w="0" w:type="auto"/>
            <w:vAlign w:val="center"/>
            <w:hideMark/>
          </w:tcPr>
          <w:p w14:paraId="576454E6"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Propose “representational scaffolding” to align simulations with learning goals; improves skill transfer</w:t>
            </w:r>
          </w:p>
        </w:tc>
        <w:tc>
          <w:tcPr>
            <w:tcW w:w="0" w:type="auto"/>
            <w:vAlign w:val="center"/>
            <w:hideMark/>
          </w:tcPr>
          <w:p w14:paraId="3F19E3A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Theoretical grounding, systematic synthesis</w:t>
            </w:r>
          </w:p>
        </w:tc>
        <w:tc>
          <w:tcPr>
            <w:tcW w:w="0" w:type="auto"/>
            <w:vAlign w:val="center"/>
            <w:hideMark/>
          </w:tcPr>
          <w:p w14:paraId="5F3E7CC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Largely conceptual; heterogeneous studies; limited quantitative evidence</w:t>
            </w:r>
          </w:p>
        </w:tc>
      </w:tr>
      <w:tr w:rsidR="00B725F8" w:rsidRPr="00B725F8" w14:paraId="3674C722" w14:textId="77777777" w:rsidTr="001E6732">
        <w:trPr>
          <w:tblCellSpacing w:w="15" w:type="dxa"/>
        </w:trPr>
        <w:tc>
          <w:tcPr>
            <w:tcW w:w="0" w:type="auto"/>
            <w:vAlign w:val="center"/>
            <w:hideMark/>
          </w:tcPr>
          <w:p w14:paraId="5147D51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lastRenderedPageBreak/>
              <w:t>2022</w:t>
            </w:r>
          </w:p>
        </w:tc>
        <w:tc>
          <w:tcPr>
            <w:tcW w:w="0" w:type="auto"/>
            <w:vAlign w:val="center"/>
            <w:hideMark/>
          </w:tcPr>
          <w:p w14:paraId="4BC7016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Faisal et al.</w:t>
            </w:r>
          </w:p>
        </w:tc>
        <w:tc>
          <w:tcPr>
            <w:tcW w:w="0" w:type="auto"/>
            <w:vAlign w:val="center"/>
            <w:hideMark/>
          </w:tcPr>
          <w:p w14:paraId="2C8E177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Business education</w:t>
            </w:r>
          </w:p>
        </w:tc>
        <w:tc>
          <w:tcPr>
            <w:tcW w:w="0" w:type="auto"/>
            <w:vAlign w:val="center"/>
            <w:hideMark/>
          </w:tcPr>
          <w:p w14:paraId="6227603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Business simulation games improve decision-making, strategic understanding; mixed effect on factual recall</w:t>
            </w:r>
          </w:p>
        </w:tc>
        <w:tc>
          <w:tcPr>
            <w:tcW w:w="0" w:type="auto"/>
            <w:vAlign w:val="center"/>
            <w:hideMark/>
          </w:tcPr>
          <w:p w14:paraId="1BA3D17D"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Discipline-relevant insights, systematic review</w:t>
            </w:r>
          </w:p>
        </w:tc>
        <w:tc>
          <w:tcPr>
            <w:tcW w:w="0" w:type="auto"/>
            <w:vAlign w:val="center"/>
            <w:hideMark/>
          </w:tcPr>
          <w:p w14:paraId="76A86D4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outcomes; implementation-dependent</w:t>
            </w:r>
          </w:p>
        </w:tc>
      </w:tr>
      <w:tr w:rsidR="00B725F8" w:rsidRPr="00B725F8" w14:paraId="14B8D798" w14:textId="77777777" w:rsidTr="001E6732">
        <w:trPr>
          <w:tblCellSpacing w:w="15" w:type="dxa"/>
        </w:trPr>
        <w:tc>
          <w:tcPr>
            <w:tcW w:w="0" w:type="auto"/>
            <w:vAlign w:val="center"/>
            <w:hideMark/>
          </w:tcPr>
          <w:p w14:paraId="39083FE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2022</w:t>
            </w:r>
          </w:p>
        </w:tc>
        <w:tc>
          <w:tcPr>
            <w:tcW w:w="0" w:type="auto"/>
            <w:vAlign w:val="center"/>
            <w:hideMark/>
          </w:tcPr>
          <w:p w14:paraId="0C87CDD2"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Sim et al.</w:t>
            </w:r>
          </w:p>
        </w:tc>
        <w:tc>
          <w:tcPr>
            <w:tcW w:w="0" w:type="auto"/>
            <w:vAlign w:val="center"/>
            <w:hideMark/>
          </w:tcPr>
          <w:p w14:paraId="50EFA969"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Nursing / virtual simulation</w:t>
            </w:r>
          </w:p>
        </w:tc>
        <w:tc>
          <w:tcPr>
            <w:tcW w:w="0" w:type="auto"/>
            <w:vAlign w:val="center"/>
            <w:hideMark/>
          </w:tcPr>
          <w:p w14:paraId="1542FCD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Meta-analysis: virtual simulations improve clinical reasoning</w:t>
            </w:r>
          </w:p>
        </w:tc>
        <w:tc>
          <w:tcPr>
            <w:tcW w:w="0" w:type="auto"/>
            <w:vAlign w:val="center"/>
            <w:hideMark/>
          </w:tcPr>
          <w:p w14:paraId="45EB43F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Combines systematic review with quantitative synthesis</w:t>
            </w:r>
          </w:p>
        </w:tc>
        <w:tc>
          <w:tcPr>
            <w:tcW w:w="0" w:type="auto"/>
            <w:vAlign w:val="center"/>
            <w:hideMark/>
          </w:tcPr>
          <w:p w14:paraId="6D9BFFFF"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 focus, context-dependent</w:t>
            </w:r>
          </w:p>
        </w:tc>
      </w:tr>
      <w:tr w:rsidR="00B725F8" w:rsidRPr="00B725F8" w14:paraId="2214C174" w14:textId="77777777" w:rsidTr="001E6732">
        <w:trPr>
          <w:tblCellSpacing w:w="15" w:type="dxa"/>
        </w:trPr>
        <w:tc>
          <w:tcPr>
            <w:tcW w:w="0" w:type="auto"/>
            <w:vAlign w:val="center"/>
            <w:hideMark/>
          </w:tcPr>
          <w:p w14:paraId="1233A2B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2023</w:t>
            </w:r>
          </w:p>
        </w:tc>
        <w:tc>
          <w:tcPr>
            <w:tcW w:w="0" w:type="auto"/>
            <w:vAlign w:val="center"/>
            <w:hideMark/>
          </w:tcPr>
          <w:p w14:paraId="61F6C8D5"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Din et al.</w:t>
            </w:r>
          </w:p>
        </w:tc>
        <w:tc>
          <w:tcPr>
            <w:tcW w:w="0" w:type="auto"/>
            <w:vAlign w:val="center"/>
            <w:hideMark/>
          </w:tcPr>
          <w:p w14:paraId="5383789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General education / serious games</w:t>
            </w:r>
          </w:p>
        </w:tc>
        <w:tc>
          <w:tcPr>
            <w:tcW w:w="0" w:type="auto"/>
            <w:vAlign w:val="center"/>
            <w:hideMark/>
          </w:tcPr>
          <w:p w14:paraId="75B6BB5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Updated review: serious games improve knowledge, skills, attitudes; effectiveness context-dependent</w:t>
            </w:r>
          </w:p>
        </w:tc>
        <w:tc>
          <w:tcPr>
            <w:tcW w:w="0" w:type="auto"/>
            <w:vAlign w:val="center"/>
            <w:hideMark/>
          </w:tcPr>
          <w:p w14:paraId="7E3E853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Covers 2015–2023, transparent methodology</w:t>
            </w:r>
          </w:p>
        </w:tc>
        <w:tc>
          <w:tcPr>
            <w:tcW w:w="0" w:type="auto"/>
            <w:vAlign w:val="center"/>
            <w:hideMark/>
          </w:tcPr>
          <w:p w14:paraId="3F89BC9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preprint status, potential publication bias</w:t>
            </w:r>
          </w:p>
        </w:tc>
      </w:tr>
      <w:tr w:rsidR="00B725F8" w:rsidRPr="00B725F8" w14:paraId="06C1F44B" w14:textId="77777777" w:rsidTr="001E6732">
        <w:trPr>
          <w:tblCellSpacing w:w="15" w:type="dxa"/>
        </w:trPr>
        <w:tc>
          <w:tcPr>
            <w:tcW w:w="0" w:type="auto"/>
            <w:vAlign w:val="center"/>
            <w:hideMark/>
          </w:tcPr>
          <w:p w14:paraId="114E3564"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2024</w:t>
            </w:r>
          </w:p>
        </w:tc>
        <w:tc>
          <w:tcPr>
            <w:tcW w:w="0" w:type="auto"/>
            <w:vAlign w:val="center"/>
            <w:hideMark/>
          </w:tcPr>
          <w:p w14:paraId="0063044A"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Alharbi et al.</w:t>
            </w:r>
          </w:p>
        </w:tc>
        <w:tc>
          <w:tcPr>
            <w:tcW w:w="0" w:type="auto"/>
            <w:vAlign w:val="center"/>
            <w:hideMark/>
          </w:tcPr>
          <w:p w14:paraId="71A83EE1"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Nursing / SBL</w:t>
            </w:r>
          </w:p>
        </w:tc>
        <w:tc>
          <w:tcPr>
            <w:tcW w:w="0" w:type="auto"/>
            <w:vAlign w:val="center"/>
            <w:hideMark/>
          </w:tcPr>
          <w:p w14:paraId="5E814030"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Simulation-based learning improves knowledge and practical skills; longitudinal evaluation needed</w:t>
            </w:r>
          </w:p>
        </w:tc>
        <w:tc>
          <w:tcPr>
            <w:tcW w:w="0" w:type="auto"/>
            <w:vAlign w:val="center"/>
            <w:hideMark/>
          </w:tcPr>
          <w:p w14:paraId="1F8862C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Recent empirical evidence, comprehensive scope</w:t>
            </w:r>
          </w:p>
        </w:tc>
        <w:tc>
          <w:tcPr>
            <w:tcW w:w="0" w:type="auto"/>
            <w:vAlign w:val="center"/>
            <w:hideMark/>
          </w:tcPr>
          <w:p w14:paraId="4E434BDB"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outcomes; limited long-term data</w:t>
            </w:r>
          </w:p>
        </w:tc>
      </w:tr>
      <w:tr w:rsidR="00B725F8" w:rsidRPr="00B725F8" w14:paraId="7C430B9F" w14:textId="77777777" w:rsidTr="001E6732">
        <w:trPr>
          <w:tblCellSpacing w:w="15" w:type="dxa"/>
        </w:trPr>
        <w:tc>
          <w:tcPr>
            <w:tcW w:w="0" w:type="auto"/>
            <w:vAlign w:val="center"/>
            <w:hideMark/>
          </w:tcPr>
          <w:p w14:paraId="59C58BA7"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2024</w:t>
            </w:r>
          </w:p>
        </w:tc>
        <w:tc>
          <w:tcPr>
            <w:tcW w:w="0" w:type="auto"/>
            <w:vAlign w:val="center"/>
            <w:hideMark/>
          </w:tcPr>
          <w:p w14:paraId="0A8B7E8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Brandl &amp; Schrader</w:t>
            </w:r>
          </w:p>
        </w:tc>
        <w:tc>
          <w:tcPr>
            <w:tcW w:w="0" w:type="auto"/>
            <w:vAlign w:val="center"/>
            <w:hideMark/>
          </w:tcPr>
          <w:p w14:paraId="2481DA5C"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Higher education / Education 4.0</w:t>
            </w:r>
          </w:p>
        </w:tc>
        <w:tc>
          <w:tcPr>
            <w:tcW w:w="0" w:type="auto"/>
            <w:vAlign w:val="center"/>
            <w:hideMark/>
          </w:tcPr>
          <w:p w14:paraId="24A2C2AE"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Emphasise deliberate integration of serious games into curricula; alignment with learning outcomes</w:t>
            </w:r>
          </w:p>
        </w:tc>
        <w:tc>
          <w:tcPr>
            <w:tcW w:w="0" w:type="auto"/>
            <w:vAlign w:val="center"/>
            <w:hideMark/>
          </w:tcPr>
          <w:p w14:paraId="13135D16"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Contemporary focus on digital transformation and adaptive learning</w:t>
            </w:r>
          </w:p>
        </w:tc>
        <w:tc>
          <w:tcPr>
            <w:tcW w:w="0" w:type="auto"/>
            <w:vAlign w:val="center"/>
            <w:hideMark/>
          </w:tcPr>
          <w:p w14:paraId="68E6E098" w14:textId="77777777" w:rsidR="00B725F8" w:rsidRPr="00B725F8" w:rsidRDefault="00B725F8" w:rsidP="00B725F8">
            <w:pPr>
              <w:spacing w:after="160" w:line="259" w:lineRule="auto"/>
              <w:rPr>
                <w:rFonts w:ascii="Aptos Display" w:eastAsia="Aptos" w:hAnsi="Aptos Display" w:cs="Times New Roman"/>
                <w:kern w:val="2"/>
                <w:sz w:val="16"/>
                <w:szCs w:val="16"/>
                <w:lang w:val="en-GB"/>
                <w14:ligatures w14:val="standardContextual"/>
              </w:rPr>
            </w:pPr>
            <w:r w:rsidRPr="00B725F8">
              <w:rPr>
                <w:rFonts w:ascii="Aptos Display" w:eastAsia="Aptos" w:hAnsi="Aptos Display" w:cs="Times New Roman"/>
                <w:kern w:val="2"/>
                <w:sz w:val="16"/>
                <w:szCs w:val="16"/>
                <w:lang w:val="en-GB"/>
                <w14:ligatures w14:val="standardContextual"/>
              </w:rPr>
              <w:t>Heterogeneous studies, short-term/self-report outcomes, limited cross-study comparison</w:t>
            </w:r>
          </w:p>
        </w:tc>
      </w:tr>
    </w:tbl>
    <w:p w14:paraId="3AC02F6E" w14:textId="77777777" w:rsidR="00B725F8" w:rsidRPr="00BD12B0" w:rsidRDefault="00B725F8" w:rsidP="00BD12B0"/>
    <w:p w14:paraId="66EB1B3A" w14:textId="12BBEB1E" w:rsidR="00327829" w:rsidRDefault="00BD12B0">
      <w:pPr>
        <w:pStyle w:val="Heading1"/>
      </w:pPr>
      <w:r>
        <w:t xml:space="preserve">5. </w:t>
      </w:r>
      <w:r w:rsidR="00AE123A">
        <w:t>Comparative Effectiveness: Simulations versus Lectures</w:t>
      </w:r>
    </w:p>
    <w:bookmarkEnd w:id="2"/>
    <w:p w14:paraId="4E6E0AD4" w14:textId="7272A41E" w:rsidR="004254B2" w:rsidRDefault="004254B2" w:rsidP="004254B2">
      <w:r>
        <w:t>Across the past decade, the comparative literature consistently suggests that simulation-based and game-based instruction often surpasses traditional lectures in promoting engagement, motivation, and applied reasoning, though not uniformly across all outcomes. Boyle et al. (2016) emphasised that games and simulations most consistently improve knowledge acquisition and cognitive engagement, yet the magnitude of these gains is highly contingent on alignment with learning objectives. Their findings resonate with later reviews arguing that simulations are most powerful when they are not treated as add-ons, but deliberately positioned within a structured learning sequence.</w:t>
      </w:r>
    </w:p>
    <w:p w14:paraId="5FDE7767" w14:textId="2B5D1BAC" w:rsidR="004254B2" w:rsidRDefault="004254B2" w:rsidP="004254B2">
      <w:r>
        <w:t xml:space="preserve">Meta-analytic evidence from Chernikova et al. (2020) further indicates that simulation-based learning produces moderate positive effects on knowledge and skills, but effectiveness varies according to fidelity, feedback structures, and contextual support. In undergraduate economics, this implies that simulations are particularly effective for illustrating dynamic models, strategic interactions, and policy trade-offs, whereas lectures remain efficient for formal explanation of core definitions and derivations. </w:t>
      </w:r>
      <w:r w:rsidR="00F13A12" w:rsidRPr="00F13A12">
        <w:t>Simulations appear to support conceptual transfer, as students begin to recognise how theoretical constructs operate in practice, while lectures remain crucial for building foundational understanding</w:t>
      </w:r>
    </w:p>
    <w:p w14:paraId="780977FC" w14:textId="62345DA6" w:rsidR="004254B2" w:rsidRDefault="004254B2" w:rsidP="004254B2">
      <w:r>
        <w:t>Lamb et al. (2018) and Din et al. (2023) highlight that hybrid approaches</w:t>
      </w:r>
      <w:r w:rsidR="00F13A12">
        <w:t xml:space="preserve">, </w:t>
      </w:r>
      <w:r>
        <w:t>embedding simulations within lecture-based curricula with pre-briefing and structured debriefing</w:t>
      </w:r>
      <w:r w:rsidR="00F13A12">
        <w:t xml:space="preserve">, </w:t>
      </w:r>
      <w:r>
        <w:lastRenderedPageBreak/>
        <w:t>optimise both conceptual understanding and experiential engagement. These hybrid models reflect a pedagogical shift away from binary comparisons toward complementary integration. In several studies, students reported feeling more confident in applying theory after simulations, yet continued to rely on lecture materials for revision and exam preparation, suggesting distinct but mutually reinforcing roles.</w:t>
      </w:r>
    </w:p>
    <w:p w14:paraId="095A6E92" w14:textId="62B10F4B" w:rsidR="004254B2" w:rsidRDefault="004254B2" w:rsidP="004254B2">
      <w:r>
        <w:t>Similarly, Faisal et al. (2022) show that business simulations enhance decision-making skills relevant to economics, particularly in scenarios involving uncertainty, competition, and resource allocation. However, they also note that factual recall and procedural knowledge often remain stronger following lecture-based instruction. This pattern reinforces the argument that simulations excel in higher-order learning domains</w:t>
      </w:r>
      <w:r w:rsidR="00F13A12">
        <w:t xml:space="preserve">, </w:t>
      </w:r>
      <w:r>
        <w:t>evaluation, synthesis, and application</w:t>
      </w:r>
      <w:r w:rsidR="00F13A12">
        <w:t xml:space="preserve"> </w:t>
      </w:r>
      <w:r>
        <w:t>rather than rote memorisation.</w:t>
      </w:r>
    </w:p>
    <w:p w14:paraId="2562502C" w14:textId="63155489" w:rsidR="004254B2" w:rsidRDefault="004254B2" w:rsidP="004254B2">
      <w:r>
        <w:t>Overall, the comparative evidence supports a blended instructional model in which lectures introduce theoretical frameworks and simulations operationalise them. Rather than replacing lectures, simulations extend their pedagogical reach, enabling students to engage actively with economic systems and reason through the consequences of decisions in ways not easily replicated through exposition alone. The question has therefore shifted from “Which method is better?” to “How can both be sequenced and aligned to maximise learning?”</w:t>
      </w:r>
      <w:r w:rsidR="00AE2020">
        <w:t xml:space="preserve"> </w:t>
      </w:r>
      <w:r>
        <w:t>a framing particularly salient for theory-intensive disciplines such as economics.</w:t>
      </w:r>
    </w:p>
    <w:p w14:paraId="2C566230" w14:textId="5F597CAD" w:rsidR="00327829" w:rsidRDefault="00BD12B0">
      <w:pPr>
        <w:pStyle w:val="Heading1"/>
      </w:pPr>
      <w:bookmarkStart w:id="3" w:name="_Hlk217998531"/>
      <w:r>
        <w:t>6</w:t>
      </w:r>
      <w:r w:rsidR="00AE123A">
        <w:t>. Key Debates and Methodological Issues</w:t>
      </w:r>
    </w:p>
    <w:bookmarkEnd w:id="3"/>
    <w:p w14:paraId="35BAEA24" w14:textId="3F2EF3BE" w:rsidR="004254B2" w:rsidRDefault="004254B2" w:rsidP="004254B2">
      <w:r>
        <w:t>The literature identifies several enduring debates. First, realism versus pedagogical simplification remains contested. High-fidelity simulations can enhance immersion and authenticity, potentially strengthening transfer to real-world contexts; however, they may also introduce cognitive overload or embed assumptions that conflict with theoretical principles (Bauer, Heitzmann, &amp; Fischer, 2022; Sim et al., 2022). Lower-fidelity simulations, by contrast, are easier to align with specific learning outcomes but may appear less engaging or oversimplify complex systems—an important tension for economic modelling, where abstraction is both necessary and potentially misleading.</w:t>
      </w:r>
    </w:p>
    <w:p w14:paraId="6B853DA9" w14:textId="5414DB53" w:rsidR="004254B2" w:rsidRDefault="004254B2" w:rsidP="004254B2">
      <w:r>
        <w:t>Second, the relationship between engagement and learning outcomes is not straightforward. Simulations consistently boost motivation, participation, and perceived relevance (Subhash &amp; Cudney, 2018; Vlachopoulos &amp; Makri, 2017), yet meta-analyses show that heightened engagement does not automatically translate into deeper conceptual understanding. In some studies, students report enjoying simulations while demonstrating no substantial performance gains. This raises questions about whether engagement functions as a mediator of learning or as an independent affective benefit.</w:t>
      </w:r>
    </w:p>
    <w:p w14:paraId="725BAA1B" w14:textId="6BEE0860" w:rsidR="004254B2" w:rsidRDefault="004254B2" w:rsidP="004254B2">
      <w:r>
        <w:t xml:space="preserve">Third, assessment practices remain problematic. Conventional exams, especially those focused on recall or procedural problem-solving, may inadequately capture applied reasoning, collaboration, or scenario-based judgement fostered by simulations (Duchatelet, Jossberger, &amp; Rausch, 2022; Brandl &amp; Schrader, 2024). Misalignment between instructional </w:t>
      </w:r>
      <w:r>
        <w:lastRenderedPageBreak/>
        <w:t>method and evaluation measures may therefore underestimate the true impact of simulation-based learning.</w:t>
      </w:r>
    </w:p>
    <w:p w14:paraId="42FFEC2B" w14:textId="32354A34" w:rsidR="004254B2" w:rsidRDefault="004254B2" w:rsidP="004254B2">
      <w:r>
        <w:t>Methodologically, reviews note persistent challenges: small sample sizes, quasi-experimental designs, short-term interventions, heterogeneous game designs, and inconsistent control conditions (Hegland</w:t>
      </w:r>
      <w:r w:rsidR="00B725F8">
        <w:t xml:space="preserve"> et al., </w:t>
      </w:r>
      <w:r>
        <w:t>201</w:t>
      </w:r>
      <w:r w:rsidR="00B725F8">
        <w:t>7</w:t>
      </w:r>
      <w:r>
        <w:t>; Alharbi et al., 2024). Many studies lack longitudinal follow-up, leaving uncertainty about durability of gains or transfer beyond the classroom. Furthermore, researcher enthusiasm and publication bias risk inflating positive outcomes, while limited reporting on instructor roles makes replication difficult.</w:t>
      </w:r>
    </w:p>
    <w:p w14:paraId="62E12F43" w14:textId="6F13F6C0" w:rsidR="004254B2" w:rsidRDefault="004254B2" w:rsidP="004254B2">
      <w:r>
        <w:t>Collectively, these debates reveal that the central issue is not merely whether simulations “work,” but how they interact with curriculum design, assessment strategies, and learner characteristics. For economics specifically, rigorous, multi-institutional, mixed-method studies remain essential to disentangle these complex relationships.</w:t>
      </w:r>
    </w:p>
    <w:p w14:paraId="1BD8ACE1" w14:textId="300A0696" w:rsidR="00327829" w:rsidRDefault="00BD12B0">
      <w:pPr>
        <w:pStyle w:val="Heading1"/>
      </w:pPr>
      <w:r>
        <w:t>7</w:t>
      </w:r>
      <w:r w:rsidR="00AE123A">
        <w:t xml:space="preserve">. </w:t>
      </w:r>
      <w:bookmarkStart w:id="4" w:name="_Hlk217998548"/>
      <w:r w:rsidR="00AE123A">
        <w:t>Emerging ‘Truths’ in the Literature</w:t>
      </w:r>
      <w:bookmarkEnd w:id="4"/>
    </w:p>
    <w:p w14:paraId="7A38F07A" w14:textId="1528CFB3" w:rsidR="001057C9" w:rsidRDefault="001057C9" w:rsidP="001057C9">
      <w:r>
        <w:t>By 2025, several commonly accepted principles have crystallised. Simulations reliably enhance motivation, engagement, and active participation compared to lectures (Boyle et al., 2016; Din, Baig, &amp; Khan, 2023). Learning gains are maximised when simulations are aligned with explicit objectives and supplemented with structured facilitation and debriefing (Scholtz &amp; Hughes, 2019; Chernikova et al., 2020). Educator competence</w:t>
      </w:r>
      <w:r w:rsidR="00F13A12">
        <w:t xml:space="preserve"> </w:t>
      </w:r>
      <w:r>
        <w:t>rather than technology alone</w:t>
      </w:r>
      <w:r w:rsidR="00F13A12">
        <w:t xml:space="preserve">, </w:t>
      </w:r>
      <w:r>
        <w:t>is crucial for effective learning (Bauer et al., 2022; Sim et al., 2022).</w:t>
      </w:r>
    </w:p>
    <w:p w14:paraId="0DB0913A" w14:textId="756E6543" w:rsidR="001057C9" w:rsidRDefault="001057C9" w:rsidP="001057C9">
      <w:r>
        <w:t>A further emerging insight is that simulations support higher-order thinking, such as reasoning under uncertainty, transferring concepts across contexts, and collaborative decision-making, whereas lectures remain more efficient for foundational content delivery. Research increasingly shows that poorly designed simulations can even mislead students if not conceptually anchored, reinforcing the importance of scaffolding and reflective dialogue. Consequently, simulations function best as complements, not replacements, to structured instruction, with assessment strategies evolving to capture applied reasoning, conceptual transfer, and collaborative problem-solving (Duchatelet et al., 2022; Brandl &amp; Schrader, 2024). Across disciplines, these “truths” provide a framework for integrating interactive pedagogies in theoretical courses, including economics, where abstraction requires careful mediation for meaningful exploration</w:t>
      </w:r>
    </w:p>
    <w:p w14:paraId="0650E1C5" w14:textId="4D634C2C" w:rsidR="00327829" w:rsidRDefault="00BD12B0">
      <w:pPr>
        <w:pStyle w:val="Heading1"/>
      </w:pPr>
      <w:bookmarkStart w:id="5" w:name="_Hlk217998572"/>
      <w:r>
        <w:t>8</w:t>
      </w:r>
      <w:r w:rsidR="00AE123A">
        <w:t>. Implications for Undergraduate Economic Theory Teaching</w:t>
      </w:r>
    </w:p>
    <w:bookmarkEnd w:id="5"/>
    <w:p w14:paraId="6DB26641" w14:textId="2F408322" w:rsidR="001057C9" w:rsidRDefault="001057C9" w:rsidP="001057C9">
      <w:r>
        <w:t xml:space="preserve">The reviewed literature suggests that simulation-based instruction can bridge the gap between abstract theory and applied decision-making. Market experiments, policy scenario simulations, and strategic interaction games allow students to explore outcomes, test assumptions, and confront trade-offs, enhancing conceptual understanding beyond passive lecture formats (Faisal et al., 2022; Boyle et al., 2016). Yet simulations alone are insufficient; structured explanation, conceptual framing, and iterative debriefing are essential to prevent </w:t>
      </w:r>
      <w:r>
        <w:lastRenderedPageBreak/>
        <w:t>misinterpretation and ensure transfer of learning (Chernikova et al., 2020; Scholtz &amp; Hughes, 2019).</w:t>
      </w:r>
    </w:p>
    <w:p w14:paraId="42FAC684" w14:textId="7009B350" w:rsidR="001057C9" w:rsidRDefault="001057C9" w:rsidP="001057C9">
      <w:r>
        <w:t>For economics educators, this implies designing learning sequences where lectures introduce and formalise models, simulations provide experiential encounters with those models, and debriefings explicitly connect students’ decisions to theoretical predictions and empirical realities. Evidence also suggests value in gradually increasing simulation complexity to match students’ developing expertise, reducing cognitive overload while strengthening analytical confidence. Gamified elements like points and feedback loops can further enhance motivation when thoughtfully aligned with learning goals (Subhash &amp; Cudney, 2018). Ultimately, simulation-based approaches appear most effective when embedded within coherent curricula that recognise the complementary strengths of both interactive learning and traditional exposition.</w:t>
      </w:r>
    </w:p>
    <w:p w14:paraId="47E07C86" w14:textId="1A0F6996" w:rsidR="00327829" w:rsidRDefault="00BD12B0">
      <w:pPr>
        <w:pStyle w:val="Heading1"/>
      </w:pPr>
      <w:bookmarkStart w:id="6" w:name="_Hlk217998624"/>
      <w:r>
        <w:t>9</w:t>
      </w:r>
      <w:r w:rsidR="00AE123A">
        <w:t>. Gaps and Future Research Directions</w:t>
      </w:r>
    </w:p>
    <w:bookmarkEnd w:id="6"/>
    <w:p w14:paraId="7CFA1564" w14:textId="4FF6E319" w:rsidR="00670081" w:rsidRDefault="00670081" w:rsidP="00670081">
      <w:r>
        <w:t>Despite advances, key gaps remain. Few studies examine long-term retention and conceptual transfer of economic theory post-simulation, leaving uncertainty about whether short-term gains persist once assessments move beyond the classroom (Alharbi et al., 2024; Sim et al., 2022). Comparative research in economics education remains sparse, particularly large-scale, multi-institutional trials capable of isolating causal effects across diverse cohorts and curricula. Learner diversity</w:t>
      </w:r>
      <w:r w:rsidR="00F13A12">
        <w:t xml:space="preserve">, </w:t>
      </w:r>
      <w:r>
        <w:t>including prior gaming experience, numeracy, motivation, and self-regulation</w:t>
      </w:r>
      <w:r w:rsidR="00F13A12">
        <w:t xml:space="preserve"> </w:t>
      </w:r>
      <w:r>
        <w:t xml:space="preserve">also </w:t>
      </w:r>
      <w:r w:rsidR="00F13A12">
        <w:t>remain</w:t>
      </w:r>
      <w:r>
        <w:t xml:space="preserve"> underexplored, despite emerging evidence that such characteristics may moderate outcomes (Din et al., 2023).</w:t>
      </w:r>
    </w:p>
    <w:p w14:paraId="298D117D" w14:textId="2113A7C3" w:rsidR="00670081" w:rsidRDefault="00670081" w:rsidP="00670081">
      <w:r>
        <w:t>Assessment innovation is another priority. Existing measures often privilege recall and procedural correctness, overlooking applied reasoning, collaboration, judgment under uncertainty, and the capacity to transfer theory across contexts (Duchatelet et al., 2022; Brandl &amp; Schrader, 2024). There is also limited evidence on cost-effectiveness, instructor workload, and professional development needs, even though implementation quality clearly shapes results. Finally, integration with adaptive scaffolding, learning analytics, and blended instructional models presents a promising frontier, enabling real-time feedback and personalised support for diverse student cohorts. Future research should prioritise longitudinal, cross-disciplinary designs that evaluate not only performance outcomes but also mechanisms of learning, thereby clarifying the sustained impact of simulations on theoretical comprehension and economic reasoning.</w:t>
      </w:r>
    </w:p>
    <w:p w14:paraId="4670041F" w14:textId="14C29F7B" w:rsidR="00327829" w:rsidRDefault="00BD12B0" w:rsidP="001F6485">
      <w:pPr>
        <w:pStyle w:val="Heading1"/>
      </w:pPr>
      <w:r>
        <w:t>10</w:t>
      </w:r>
      <w:r w:rsidR="00AE123A">
        <w:t>. Conclusion</w:t>
      </w:r>
    </w:p>
    <w:p w14:paraId="4C77BBD7" w14:textId="637EF35E" w:rsidR="007D4A63" w:rsidRDefault="007D4A63" w:rsidP="007D4A63">
      <w:r>
        <w:t xml:space="preserve">Over the past decade, interactive, simulation-based learning has evolved from a novel pedagogical experiment into a theoretically informed and increasingly evidence-based approach to higher education instruction. Across the fourteen foundational reviews examined, a nuanced picture emerges: simulations do not render traditional lectures obsolete, yet they extend the scope and depth of what lectures alone can achieve. </w:t>
      </w:r>
      <w:r>
        <w:lastRenderedPageBreak/>
        <w:t>Simulations are particularly effective in fostering engagement, motivation, applied reasoning, and conceptual transfer, especially in contexts requiring decision-making, strategic thinking, or exploration of complex economic systems (Boyle et al., 2016; Chernikova et al., 2020; Faisal et al., 2022).</w:t>
      </w:r>
    </w:p>
    <w:p w14:paraId="1E3E4010" w14:textId="4FB2340E" w:rsidR="007D4A63" w:rsidRDefault="007D4A63" w:rsidP="007D4A63">
      <w:r>
        <w:t>The literature highlights that the benefits of simulations are neither automatic nor uniform. Their effectiveness depends on deliberate alignment with learning objectives, structured facilitation by skilled educators, and integration with reflection and assessment practices that capture applied reasoning (Scholtz &amp; Hughes, 2019; Bauer et al., 2022; Subhash &amp; Cudney, 2018). Hybrid instructional models, combining lectures with simulations and gamified elements, are increasingly recognised as best practice, leveraging the strengths of both modalities while mitigating their respective limitations (Din et al., 2023; Brandl &amp; Schrader, 2024).</w:t>
      </w:r>
    </w:p>
    <w:p w14:paraId="2560EFE8" w14:textId="4205619F" w:rsidR="007D4A63" w:rsidRDefault="007D4A63" w:rsidP="007D4A63">
      <w:r>
        <w:t>For undergraduate economic theory, this means that simulations can provide a bridge between abstract models and real-world applications, enabling students to test assumptions, explore policy trade-offs, and experience market dynamics in controlled environments. Yet, without appropriate scaffolding, debriefing, and conceptual framing, students risk misinterpreting outcomes or failing to transfer insights beyond the simulated context.</w:t>
      </w:r>
    </w:p>
    <w:p w14:paraId="0D97611F" w14:textId="64AC0F47" w:rsidR="000F02BD" w:rsidRDefault="007D4A63" w:rsidP="00CE4414">
      <w:r>
        <w:t>Finally, the accumulated evidence underscores the importance of ongoing research into long-term retention, diverse learner experiences, assessment innovations, and multi-institutional studies to strengthen the empirical foundations of simulation-based economics education (Alharbi et al., 2024; Sim et al., 2022; Duchatelet et al., 2022). In sum, while simulations are not a panacea, they offer a transformative complement to traditional lectures, and when implemented thoughtfully, they have the potential to enhance both cognitive and affective learning outcomes in undergraduate economic theory courses. The future of economics education lies in leveraging these interactive tools to cultivate deeper understanding, critical thinking, and practical decision-making skills, creating learning experiences that are both engaging and academically rigorous.</w:t>
      </w:r>
    </w:p>
    <w:p w14:paraId="353AA7EF" w14:textId="77777777" w:rsidR="00CE4414" w:rsidRDefault="00CE4414" w:rsidP="00CE4414"/>
    <w:p w14:paraId="65EF71DC" w14:textId="77777777" w:rsidR="00CE4414" w:rsidRDefault="00CE4414" w:rsidP="00CE4414"/>
    <w:p w14:paraId="525AF725" w14:textId="499C55E0" w:rsidR="00327829" w:rsidRDefault="00AE123A">
      <w:pPr>
        <w:pStyle w:val="Heading1"/>
      </w:pPr>
      <w:r>
        <w:t>References</w:t>
      </w:r>
    </w:p>
    <w:p w14:paraId="6DA2C5E2" w14:textId="6C9BD0D6" w:rsidR="000F02BD" w:rsidRDefault="000F02BD">
      <w:r w:rsidRPr="000F02BD">
        <w:t xml:space="preserve">Al Hamad, A. M., Babazade, K., Oglu, F. M., &amp; Hwang, G. J. (2025). A systematic review of serious games as tools for STEM education: Impact on performance, engagement, and learning outcomes. </w:t>
      </w:r>
      <w:r w:rsidRPr="000F02BD">
        <w:rPr>
          <w:i/>
          <w:iCs/>
        </w:rPr>
        <w:t>Frontiers in Education, 10</w:t>
      </w:r>
      <w:r w:rsidRPr="000F02BD">
        <w:t xml:space="preserve">, Article 1432982. </w:t>
      </w:r>
      <w:hyperlink r:id="rId8" w:tgtFrame="_new" w:history="1">
        <w:r w:rsidRPr="000F02BD">
          <w:rPr>
            <w:rStyle w:val="Hyperlink"/>
          </w:rPr>
          <w:t>https://doi.org/10.3389/feduc.2025.1432982</w:t>
        </w:r>
      </w:hyperlink>
    </w:p>
    <w:p w14:paraId="1108B025" w14:textId="1D027D17" w:rsidR="000F02BD" w:rsidRDefault="000F02BD">
      <w:r w:rsidRPr="000F02BD">
        <w:t xml:space="preserve">Alharbi, A., Nurfianti, A., Mullen, R. F., McClure, J. D., Miller, W. H., </w:t>
      </w:r>
      <w:r w:rsidRPr="00503A0C">
        <w:t>Aljohani, K. A., Alqahtani, S. A., &amp; Almutairi, A. F.</w:t>
      </w:r>
      <w:r w:rsidRPr="000F02BD">
        <w:t xml:space="preserve"> (2024). The effectiveness of simulation-based learning (SBL) on </w:t>
      </w:r>
      <w:r w:rsidRPr="000F02BD">
        <w:lastRenderedPageBreak/>
        <w:t xml:space="preserve">students’ knowledge and skills in nursing programs: A systematic review. </w:t>
      </w:r>
      <w:r w:rsidRPr="000F02BD">
        <w:rPr>
          <w:i/>
          <w:iCs/>
        </w:rPr>
        <w:t>BMC Medical Education, 24</w:t>
      </w:r>
      <w:r w:rsidRPr="000F02BD">
        <w:t xml:space="preserve">, Article 1099. </w:t>
      </w:r>
      <w:hyperlink r:id="rId9" w:tgtFrame="_new" w:history="1">
        <w:r w:rsidRPr="000F02BD">
          <w:rPr>
            <w:rStyle w:val="Hyperlink"/>
          </w:rPr>
          <w:t>https://doi.org/10.1186/s12909-024-06080-z</w:t>
        </w:r>
      </w:hyperlink>
    </w:p>
    <w:p w14:paraId="4105D0B0" w14:textId="01E55F82" w:rsidR="000F02BD" w:rsidRDefault="000F02BD">
      <w:r w:rsidRPr="000F02BD">
        <w:t xml:space="preserve">Bauer, E., Heitzmann, N., &amp; Fischer, F. (2022). Simulation-based learning in higher education and professional training: Approximations of practice through representational scaffolding. Studies in Educational Evaluation, 75, Article 101213. </w:t>
      </w:r>
      <w:hyperlink r:id="rId10" w:history="1">
        <w:r w:rsidRPr="00DD5BF4">
          <w:rPr>
            <w:rStyle w:val="Hyperlink"/>
          </w:rPr>
          <w:t>https://doi.org/10.1016/j.stueduc.2022.101213</w:t>
        </w:r>
      </w:hyperlink>
    </w:p>
    <w:p w14:paraId="08B969BB" w14:textId="46B4F86E" w:rsidR="000F02BD" w:rsidRDefault="000F02BD">
      <w:r w:rsidRPr="000F02BD">
        <w:t xml:space="preserve">Boyle, E. A., Hainey, T., Connolly, T. M., Gray, G., Earp, J., Ott, M., Lim, T., Ninaus, M., Ribeiro, C., &amp; Pereira, J. (2016). An update to the systematic literature review of empirical evidence of the impacts and outcomes of computer games and serious games. </w:t>
      </w:r>
      <w:r w:rsidRPr="000F02BD">
        <w:rPr>
          <w:i/>
          <w:iCs/>
        </w:rPr>
        <w:t>Computers &amp; Education, 94</w:t>
      </w:r>
      <w:r w:rsidRPr="000F02BD">
        <w:t xml:space="preserve">, 178–192. </w:t>
      </w:r>
      <w:hyperlink r:id="rId11" w:history="1">
        <w:r w:rsidRPr="00DD5BF4">
          <w:rPr>
            <w:rStyle w:val="Hyperlink"/>
          </w:rPr>
          <w:t>https://doi.org/10.1016/j.compedu.2015.11.003</w:t>
        </w:r>
      </w:hyperlink>
    </w:p>
    <w:p w14:paraId="535F84B2" w14:textId="76809169" w:rsidR="000F02BD" w:rsidRDefault="000F02BD">
      <w:r w:rsidRPr="000F02BD">
        <w:t xml:space="preserve">Brandl, L. C., &amp; Schrader, A. (2024). Serious games in higher education in the transforming process to Education 4.0. </w:t>
      </w:r>
      <w:r w:rsidRPr="000F02BD">
        <w:rPr>
          <w:i/>
          <w:iCs/>
        </w:rPr>
        <w:t>Education Sciences, 14</w:t>
      </w:r>
      <w:r w:rsidRPr="000F02BD">
        <w:t xml:space="preserve">(3), Article 281. </w:t>
      </w:r>
      <w:hyperlink r:id="rId12" w:history="1">
        <w:r w:rsidRPr="00DD5BF4">
          <w:rPr>
            <w:rStyle w:val="Hyperlink"/>
          </w:rPr>
          <w:t>https://doi.org/10.3390/educsci14030281</w:t>
        </w:r>
      </w:hyperlink>
    </w:p>
    <w:p w14:paraId="4F5EFB2D" w14:textId="07E3F03A" w:rsidR="000F02BD" w:rsidRDefault="000F02BD">
      <w:r w:rsidRPr="000F02BD">
        <w:t xml:space="preserve">Chaka, C. (2022). Is Education 4.0 a sufficient innovative and disruptive educational trend to promote sustainable open education for higher education institutions? </w:t>
      </w:r>
      <w:r w:rsidRPr="000F02BD">
        <w:rPr>
          <w:i/>
          <w:iCs/>
        </w:rPr>
        <w:t>Frontiers in Education, 7</w:t>
      </w:r>
      <w:r w:rsidRPr="000F02BD">
        <w:t xml:space="preserve">, Article 824976. </w:t>
      </w:r>
      <w:hyperlink r:id="rId13" w:tgtFrame="_new" w:history="1">
        <w:r w:rsidRPr="000F02BD">
          <w:rPr>
            <w:rStyle w:val="Hyperlink"/>
          </w:rPr>
          <w:t>https://doi.org/10.3389/feduc.2022.824976</w:t>
        </w:r>
      </w:hyperlink>
    </w:p>
    <w:p w14:paraId="131C8627" w14:textId="38AA1171" w:rsidR="000F02BD" w:rsidRDefault="000F02BD">
      <w:r w:rsidRPr="000F02BD">
        <w:t xml:space="preserve">Chernikova, O., Heitzmann, N., Stadler, M., Holzberger, D., Seidel, T., &amp; Fischer, F. (2020). Simulation-based learning in higher education: A meta-analysis. </w:t>
      </w:r>
      <w:r w:rsidRPr="000F02BD">
        <w:rPr>
          <w:i/>
          <w:iCs/>
        </w:rPr>
        <w:t>Review of Educational Research, 90</w:t>
      </w:r>
      <w:r w:rsidRPr="000F02BD">
        <w:t xml:space="preserve">(4), 507–541. </w:t>
      </w:r>
      <w:hyperlink r:id="rId14" w:tgtFrame="_new" w:history="1">
        <w:r w:rsidRPr="000F02BD">
          <w:rPr>
            <w:rStyle w:val="Hyperlink"/>
          </w:rPr>
          <w:t>https://doi.org/10.3102/0034654320933544</w:t>
        </w:r>
      </w:hyperlink>
    </w:p>
    <w:p w14:paraId="1E8C4FF3" w14:textId="7638818C" w:rsidR="000F02BD" w:rsidRPr="00E45302" w:rsidRDefault="000F02BD">
      <w:pPr>
        <w:rPr>
          <w:lang w:val="sv-SE"/>
        </w:rPr>
      </w:pPr>
      <w:r w:rsidRPr="000F02BD">
        <w:t xml:space="preserve">Din, S. U., Baig, M. Z., &amp; Khan, M. K. (2023). </w:t>
      </w:r>
      <w:r w:rsidRPr="000F02BD">
        <w:rPr>
          <w:i/>
          <w:iCs/>
        </w:rPr>
        <w:t>Serious games: An updated systematic literature review (2015–2023)</w:t>
      </w:r>
      <w:r w:rsidRPr="000F02BD">
        <w:t xml:space="preserve">. arXiv. </w:t>
      </w:r>
      <w:hyperlink r:id="rId15" w:history="1">
        <w:r w:rsidRPr="00E45302">
          <w:rPr>
            <w:rStyle w:val="Hyperlink"/>
            <w:lang w:val="sv-SE"/>
          </w:rPr>
          <w:t>https://doi.org/10.48550/arXiv.2308.05641</w:t>
        </w:r>
      </w:hyperlink>
    </w:p>
    <w:p w14:paraId="20C4E64E" w14:textId="7D3869F0" w:rsidR="000F02BD" w:rsidRDefault="000F02BD">
      <w:r w:rsidRPr="00E45302">
        <w:rPr>
          <w:lang w:val="sv-SE"/>
        </w:rPr>
        <w:t xml:space="preserve">Duchatelet, D., Jossberger, H., &amp; Rausch, A. (2022). </w:t>
      </w:r>
      <w:r w:rsidRPr="000F02BD">
        <w:t xml:space="preserve">Assessment and evaluation of simulation-based learning in higher education and professional training. </w:t>
      </w:r>
      <w:r w:rsidRPr="000F02BD">
        <w:rPr>
          <w:i/>
          <w:iCs/>
        </w:rPr>
        <w:t>Studies in Educational Evaluation, 75</w:t>
      </w:r>
      <w:r w:rsidRPr="000F02BD">
        <w:t xml:space="preserve">, Article 101210. </w:t>
      </w:r>
      <w:hyperlink r:id="rId16" w:history="1">
        <w:r w:rsidRPr="00DD5BF4">
          <w:rPr>
            <w:rStyle w:val="Hyperlink"/>
          </w:rPr>
          <w:t>https://doi.org/10.1016/j.stueduc.2022.101210</w:t>
        </w:r>
      </w:hyperlink>
    </w:p>
    <w:p w14:paraId="19491A5E" w14:textId="2C94A917" w:rsidR="000F02BD" w:rsidRDefault="000F02BD">
      <w:r w:rsidRPr="000F02BD">
        <w:t xml:space="preserve">Faisal, N., Chadhar, M. A., Goriss-Hunter, A., &amp; Stranieri, A. (2022). Business simulation games in higher education: A systematic review. </w:t>
      </w:r>
      <w:r w:rsidRPr="000F02BD">
        <w:rPr>
          <w:i/>
          <w:iCs/>
        </w:rPr>
        <w:t>Human Behavior and Emerging Technologies</w:t>
      </w:r>
      <w:r w:rsidRPr="000F02BD">
        <w:t xml:space="preserve">, Article 1578791. </w:t>
      </w:r>
      <w:hyperlink r:id="rId17" w:history="1">
        <w:r w:rsidRPr="00DD5BF4">
          <w:rPr>
            <w:rStyle w:val="Hyperlink"/>
          </w:rPr>
          <w:t>https://doi.org/10.1002/hbe2.1578791</w:t>
        </w:r>
      </w:hyperlink>
    </w:p>
    <w:p w14:paraId="3BC754D9" w14:textId="18F874FB" w:rsidR="000F02BD" w:rsidRDefault="000F02BD">
      <w:r w:rsidRPr="000F02BD">
        <w:t xml:space="preserve">Hegland, P. A., Aarlie, H., Strømme, H., &amp; Jamtvedt, G. (2017). Simulation-based training for nurses: Systematic review and meta-analysis. Nurse Education Today, 54, 6–20. </w:t>
      </w:r>
      <w:hyperlink r:id="rId18" w:history="1">
        <w:r w:rsidRPr="00DD5BF4">
          <w:rPr>
            <w:rStyle w:val="Hyperlink"/>
          </w:rPr>
          <w:t>https://doi.org/10.1016/j.nedt.2017.04.004</w:t>
        </w:r>
      </w:hyperlink>
    </w:p>
    <w:p w14:paraId="121BB0A8" w14:textId="56731F53" w:rsidR="000F02BD" w:rsidRDefault="000F02BD">
      <w:r w:rsidRPr="000F02BD">
        <w:t xml:space="preserve">Lamb, R. L., Annetta, L. A., Firestone, J., &amp; Etopio, E. (2018). A meta-analysis of serious educational games and simulations. </w:t>
      </w:r>
      <w:r w:rsidRPr="000F02BD">
        <w:rPr>
          <w:i/>
          <w:iCs/>
        </w:rPr>
        <w:t>Computers in Human Behavior, 80</w:t>
      </w:r>
      <w:r w:rsidRPr="000F02BD">
        <w:t xml:space="preserve">, 158–167. </w:t>
      </w:r>
      <w:hyperlink r:id="rId19" w:history="1">
        <w:r w:rsidRPr="00DD5BF4">
          <w:rPr>
            <w:rStyle w:val="Hyperlink"/>
          </w:rPr>
          <w:t>https://doi.org/10.1016/j.chb.2017.10.033</w:t>
        </w:r>
      </w:hyperlink>
    </w:p>
    <w:p w14:paraId="496543FF" w14:textId="11F80066" w:rsidR="000F02BD" w:rsidRDefault="000F02BD">
      <w:r w:rsidRPr="000F02BD">
        <w:t xml:space="preserve">Scholtz, F., &amp; Hughes, S. (2019). Educator interventions in facilitating simulation-based learning. </w:t>
      </w:r>
      <w:r w:rsidRPr="000F02BD">
        <w:rPr>
          <w:i/>
          <w:iCs/>
        </w:rPr>
        <w:t>Journal of Applied Research in Higher Education, 13</w:t>
      </w:r>
      <w:r w:rsidRPr="000F02BD">
        <w:t xml:space="preserve">(5), 1408–1435. </w:t>
      </w:r>
      <w:hyperlink r:id="rId20" w:history="1">
        <w:r w:rsidRPr="00DD5BF4">
          <w:rPr>
            <w:rStyle w:val="Hyperlink"/>
          </w:rPr>
          <w:t>https://doi.org/10.1108/JARHE-08-2019-0215</w:t>
        </w:r>
      </w:hyperlink>
    </w:p>
    <w:p w14:paraId="7689FB2B" w14:textId="43248710" w:rsidR="000F02BD" w:rsidRDefault="000F02BD">
      <w:r w:rsidRPr="00E45302">
        <w:rPr>
          <w:lang w:val="sv-SE"/>
        </w:rPr>
        <w:lastRenderedPageBreak/>
        <w:t xml:space="preserve">Sim, J. J. M., Rusli, K. D. B., Seah, B., Levett-Jones, T., Lau, Y., &amp; Liaw, S. Y. (2022). </w:t>
      </w:r>
      <w:r w:rsidRPr="000F02BD">
        <w:t xml:space="preserve">Virtual simulation to enhance clinical reasoning. </w:t>
      </w:r>
      <w:r w:rsidRPr="000F02BD">
        <w:rPr>
          <w:i/>
          <w:iCs/>
        </w:rPr>
        <w:t>Clinical Simulation in Nursing, 69</w:t>
      </w:r>
      <w:r w:rsidRPr="000F02BD">
        <w:t xml:space="preserve">, 26–39. </w:t>
      </w:r>
      <w:hyperlink r:id="rId21" w:history="1">
        <w:r w:rsidRPr="00DD5BF4">
          <w:rPr>
            <w:rStyle w:val="Hyperlink"/>
          </w:rPr>
          <w:t>https://doi.org/10.1016/j.ecns.2022.03.005</w:t>
        </w:r>
      </w:hyperlink>
    </w:p>
    <w:p w14:paraId="6D2072F3" w14:textId="47ACE9AB" w:rsidR="000F02BD" w:rsidRDefault="000F02BD">
      <w:r w:rsidRPr="000F02BD">
        <w:t xml:space="preserve">Subhash, S., &amp; Cudney, E. A. (2018). Gamified learning in higher education: A systematic review. </w:t>
      </w:r>
      <w:r w:rsidRPr="000F02BD">
        <w:rPr>
          <w:i/>
          <w:iCs/>
        </w:rPr>
        <w:t>Computers in Human Behavior, 87</w:t>
      </w:r>
      <w:r w:rsidRPr="000F02BD">
        <w:t xml:space="preserve">, 192–206. </w:t>
      </w:r>
      <w:hyperlink r:id="rId22" w:history="1">
        <w:r w:rsidRPr="00DD5BF4">
          <w:rPr>
            <w:rStyle w:val="Hyperlink"/>
          </w:rPr>
          <w:t>https://doi.org/10.1016/j.chb.2018.05.028</w:t>
        </w:r>
      </w:hyperlink>
    </w:p>
    <w:p w14:paraId="519D7A05" w14:textId="1BE71581" w:rsidR="000F02BD" w:rsidRDefault="000F02BD">
      <w:r w:rsidRPr="000F02BD">
        <w:t xml:space="preserve">Vlachopoulos, D., &amp; Makri, A. (2017). The effect of games and simulations on higher education. </w:t>
      </w:r>
      <w:r w:rsidRPr="000F02BD">
        <w:rPr>
          <w:i/>
          <w:iCs/>
        </w:rPr>
        <w:t>International Journal of Educational Technology in Higher Education, 14</w:t>
      </w:r>
      <w:r w:rsidRPr="000F02BD">
        <w:t xml:space="preserve">(1), Article 22. </w:t>
      </w:r>
      <w:hyperlink r:id="rId23" w:history="1">
        <w:r w:rsidRPr="00DD5BF4">
          <w:rPr>
            <w:rStyle w:val="Hyperlink"/>
          </w:rPr>
          <w:t>https://doi.org/10.1186/s41239-017-0063-8</w:t>
        </w:r>
      </w:hyperlink>
    </w:p>
    <w:p w14:paraId="732B5854" w14:textId="27DFA3D1" w:rsidR="00327829" w:rsidRDefault="00327829"/>
    <w:sectPr w:rsidR="00327829" w:rsidSect="00034616">
      <w:footerReference w:type="default" r:id="rId2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75A8C" w14:textId="77777777" w:rsidR="007549DF" w:rsidRDefault="007549DF">
      <w:pPr>
        <w:spacing w:after="0" w:line="240" w:lineRule="auto"/>
      </w:pPr>
      <w:r>
        <w:separator/>
      </w:r>
    </w:p>
  </w:endnote>
  <w:endnote w:type="continuationSeparator" w:id="0">
    <w:p w14:paraId="27679939" w14:textId="77777777" w:rsidR="007549DF" w:rsidRDefault="00754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1B3FC" w14:textId="77777777" w:rsidR="00327829" w:rsidRDefault="00AE123A">
    <w:pPr>
      <w:pStyle w:val="Footer"/>
      <w:jc w:val="center"/>
    </w:pPr>
    <w:r>
      <w:fldChar w:fldCharType="begin"/>
    </w:r>
    <w:r>
      <w:instrText>PAGE</w:instrText>
    </w:r>
    <w:r>
      <w:fldChar w:fldCharType="separate"/>
    </w:r>
    <w:r w:rsidR="00350B5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E1671D" w14:textId="77777777" w:rsidR="007549DF" w:rsidRDefault="007549DF">
      <w:pPr>
        <w:spacing w:after="0" w:line="240" w:lineRule="auto"/>
      </w:pPr>
      <w:r>
        <w:separator/>
      </w:r>
    </w:p>
  </w:footnote>
  <w:footnote w:type="continuationSeparator" w:id="0">
    <w:p w14:paraId="0B0848E0" w14:textId="77777777" w:rsidR="007549DF" w:rsidRDefault="007549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C26889"/>
    <w:multiLevelType w:val="hybridMultilevel"/>
    <w:tmpl w:val="557C05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125E1B"/>
    <w:multiLevelType w:val="hybridMultilevel"/>
    <w:tmpl w:val="1714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EA1736"/>
    <w:multiLevelType w:val="hybridMultilevel"/>
    <w:tmpl w:val="FF26D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48172E"/>
    <w:multiLevelType w:val="hybridMultilevel"/>
    <w:tmpl w:val="F4586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944B0E"/>
    <w:multiLevelType w:val="hybridMultilevel"/>
    <w:tmpl w:val="82E88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410365">
    <w:abstractNumId w:val="8"/>
  </w:num>
  <w:num w:numId="2" w16cid:durableId="1652102263">
    <w:abstractNumId w:val="6"/>
  </w:num>
  <w:num w:numId="3" w16cid:durableId="998341156">
    <w:abstractNumId w:val="5"/>
  </w:num>
  <w:num w:numId="4" w16cid:durableId="1535651579">
    <w:abstractNumId w:val="4"/>
  </w:num>
  <w:num w:numId="5" w16cid:durableId="1083065072">
    <w:abstractNumId w:val="7"/>
  </w:num>
  <w:num w:numId="6" w16cid:durableId="1949387406">
    <w:abstractNumId w:val="3"/>
  </w:num>
  <w:num w:numId="7" w16cid:durableId="1056658247">
    <w:abstractNumId w:val="2"/>
  </w:num>
  <w:num w:numId="8" w16cid:durableId="648561347">
    <w:abstractNumId w:val="1"/>
  </w:num>
  <w:num w:numId="9" w16cid:durableId="1235429600">
    <w:abstractNumId w:val="0"/>
  </w:num>
  <w:num w:numId="10" w16cid:durableId="1930431655">
    <w:abstractNumId w:val="10"/>
  </w:num>
  <w:num w:numId="11" w16cid:durableId="1630939993">
    <w:abstractNumId w:val="13"/>
  </w:num>
  <w:num w:numId="12" w16cid:durableId="1418744922">
    <w:abstractNumId w:val="12"/>
  </w:num>
  <w:num w:numId="13" w16cid:durableId="1378237767">
    <w:abstractNumId w:val="9"/>
  </w:num>
  <w:num w:numId="14" w16cid:durableId="9023718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32D"/>
    <w:rsid w:val="00034616"/>
    <w:rsid w:val="0006063C"/>
    <w:rsid w:val="000E4A8C"/>
    <w:rsid w:val="000F02BD"/>
    <w:rsid w:val="001057C9"/>
    <w:rsid w:val="0015074B"/>
    <w:rsid w:val="001735FC"/>
    <w:rsid w:val="00175956"/>
    <w:rsid w:val="001C6DEA"/>
    <w:rsid w:val="001D57E8"/>
    <w:rsid w:val="001F47E4"/>
    <w:rsid w:val="001F6485"/>
    <w:rsid w:val="002769B1"/>
    <w:rsid w:val="002934A0"/>
    <w:rsid w:val="0029639D"/>
    <w:rsid w:val="002D6EA0"/>
    <w:rsid w:val="002F523E"/>
    <w:rsid w:val="00326F90"/>
    <w:rsid w:val="00327829"/>
    <w:rsid w:val="00350B5A"/>
    <w:rsid w:val="0038588B"/>
    <w:rsid w:val="003B69DE"/>
    <w:rsid w:val="004254B2"/>
    <w:rsid w:val="004A642D"/>
    <w:rsid w:val="004C5087"/>
    <w:rsid w:val="004F0BE4"/>
    <w:rsid w:val="00503A0C"/>
    <w:rsid w:val="00513D40"/>
    <w:rsid w:val="00526E8F"/>
    <w:rsid w:val="00550246"/>
    <w:rsid w:val="005A1322"/>
    <w:rsid w:val="005A4465"/>
    <w:rsid w:val="005B6FB8"/>
    <w:rsid w:val="00670081"/>
    <w:rsid w:val="00693647"/>
    <w:rsid w:val="0069740C"/>
    <w:rsid w:val="006D5BD4"/>
    <w:rsid w:val="007357DC"/>
    <w:rsid w:val="00746D49"/>
    <w:rsid w:val="007549DF"/>
    <w:rsid w:val="007C613D"/>
    <w:rsid w:val="007D4A63"/>
    <w:rsid w:val="00822E6E"/>
    <w:rsid w:val="00860913"/>
    <w:rsid w:val="008909DD"/>
    <w:rsid w:val="008A63BC"/>
    <w:rsid w:val="009159BD"/>
    <w:rsid w:val="0092640D"/>
    <w:rsid w:val="0094778C"/>
    <w:rsid w:val="009A5050"/>
    <w:rsid w:val="00A317F3"/>
    <w:rsid w:val="00A54B48"/>
    <w:rsid w:val="00A5583C"/>
    <w:rsid w:val="00AA1D8D"/>
    <w:rsid w:val="00AB32C8"/>
    <w:rsid w:val="00AE123A"/>
    <w:rsid w:val="00AE2020"/>
    <w:rsid w:val="00B44B86"/>
    <w:rsid w:val="00B47730"/>
    <w:rsid w:val="00B64A7E"/>
    <w:rsid w:val="00B725F8"/>
    <w:rsid w:val="00BD12B0"/>
    <w:rsid w:val="00BD34F3"/>
    <w:rsid w:val="00BF14F6"/>
    <w:rsid w:val="00C74C2E"/>
    <w:rsid w:val="00C92310"/>
    <w:rsid w:val="00CB0664"/>
    <w:rsid w:val="00CE1A8C"/>
    <w:rsid w:val="00CE4414"/>
    <w:rsid w:val="00DC3524"/>
    <w:rsid w:val="00DE30CF"/>
    <w:rsid w:val="00DE50A2"/>
    <w:rsid w:val="00E45302"/>
    <w:rsid w:val="00E71E0D"/>
    <w:rsid w:val="00E73222"/>
    <w:rsid w:val="00E8723E"/>
    <w:rsid w:val="00EA70E8"/>
    <w:rsid w:val="00F13A12"/>
    <w:rsid w:val="00F417FB"/>
    <w:rsid w:val="00F75E0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7BA837"/>
  <w14:defaultImageDpi w14:val="300"/>
  <w15:docId w15:val="{EED1E84D-F45B-4AE4-9AED-27E43A70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F02BD"/>
    <w:rPr>
      <w:color w:val="0000FF" w:themeColor="hyperlink"/>
      <w:u w:val="single"/>
    </w:rPr>
  </w:style>
  <w:style w:type="character" w:styleId="UnresolvedMention">
    <w:name w:val="Unresolved Mention"/>
    <w:basedOn w:val="DefaultParagraphFont"/>
    <w:uiPriority w:val="99"/>
    <w:semiHidden/>
    <w:unhideWhenUsed/>
    <w:rsid w:val="000F02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5.1432982" TargetMode="External"/><Relationship Id="rId13" Type="http://schemas.openxmlformats.org/officeDocument/2006/relationships/hyperlink" Target="https://doi.org/10.3389/feduc.2022.824976" TargetMode="External"/><Relationship Id="rId18" Type="http://schemas.openxmlformats.org/officeDocument/2006/relationships/hyperlink" Target="https://doi.org/10.1016/j.nedt.2017.04.0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ecns.2022.03.005" TargetMode="External"/><Relationship Id="rId7" Type="http://schemas.openxmlformats.org/officeDocument/2006/relationships/endnotes" Target="endnotes.xml"/><Relationship Id="rId12" Type="http://schemas.openxmlformats.org/officeDocument/2006/relationships/hyperlink" Target="https://doi.org/10.3390/educsci14030281" TargetMode="External"/><Relationship Id="rId17" Type="http://schemas.openxmlformats.org/officeDocument/2006/relationships/hyperlink" Target="https://doi.org/10.1002/hbe2.157879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stueduc.2022.101210" TargetMode="External"/><Relationship Id="rId20" Type="http://schemas.openxmlformats.org/officeDocument/2006/relationships/hyperlink" Target="https://doi.org/10.1108/JARHE-08-2019-02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ompedu.2015.11.00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48550/arXiv.2308.05641" TargetMode="External"/><Relationship Id="rId23" Type="http://schemas.openxmlformats.org/officeDocument/2006/relationships/hyperlink" Target="https://doi.org/10.1186/s41239-017-0063-8" TargetMode="External"/><Relationship Id="rId10" Type="http://schemas.openxmlformats.org/officeDocument/2006/relationships/hyperlink" Target="https://doi.org/10.1016/j.stueduc.2022.101213" TargetMode="External"/><Relationship Id="rId19" Type="http://schemas.openxmlformats.org/officeDocument/2006/relationships/hyperlink" Target="https://doi.org/10.1016/j.chb.2017.10.033" TargetMode="External"/><Relationship Id="rId4" Type="http://schemas.openxmlformats.org/officeDocument/2006/relationships/settings" Target="settings.xml"/><Relationship Id="rId9" Type="http://schemas.openxmlformats.org/officeDocument/2006/relationships/hyperlink" Target="https://doi.org/10.1186/s12909-024-06080-z" TargetMode="External"/><Relationship Id="rId14" Type="http://schemas.openxmlformats.org/officeDocument/2006/relationships/hyperlink" Target="https://doi.org/10.3102/0034654320933544" TargetMode="External"/><Relationship Id="rId22" Type="http://schemas.openxmlformats.org/officeDocument/2006/relationships/hyperlink" Target="https://doi.org/10.1016/j.chb.2018.05.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Pages>
  <Words>8537</Words>
  <Characters>48666</Characters>
  <Application>Microsoft Office Word</Application>
  <DocSecurity>0</DocSecurity>
  <Lines>405</Lines>
  <Paragraphs>114</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Abstract</vt:lpstr>
      <vt:lpstr>1. Introduction</vt:lpstr>
      <vt:lpstr>2. Scope, Inclusion Criteria and Review Objectives</vt:lpstr>
      <vt:lpstr>3. Chronological Development of Ideas (2015–2025)</vt:lpstr>
      <vt:lpstr>    3.1 Early Renewed Optimism about Serious Games (2015–2016)</vt:lpstr>
      <vt:lpstr>    3.2 Expanding Scope to Higher Education (2017)</vt:lpstr>
      <vt:lpstr>    3.3 Consolidating Meta-Analytic Evidence (2018)</vt:lpstr>
      <vt:lpstr>    3.4 Educator Roles and Facilitation (2019)</vt:lpstr>
      <vt:lpstr>    3.5 Towards Nuanced Understanding (2020)</vt:lpstr>
      <vt:lpstr>    3.6 Broadening Evaluation Perspectives (2022)</vt:lpstr>
      <vt:lpstr>    3.7 Recent Directions and Updating Trends (2023–2025)</vt:lpstr>
      <vt:lpstr>4. Overview summary of research articles used showing the evolution of the topic</vt:lpstr>
      <vt:lpstr>5. Comparative Effectiveness: Simulations versus Lectures</vt:lpstr>
      <vt:lpstr>6. Key Debates and Methodological Issues</vt:lpstr>
      <vt:lpstr>7. Emerging ‘Truths’ in the Literature</vt:lpstr>
      <vt:lpstr>8. Implications for Undergraduate Economic Theory Teaching</vt:lpstr>
      <vt:lpstr>9. Gaps and Future Research Directions</vt:lpstr>
      <vt:lpstr>10. Conclusion</vt:lpstr>
      <vt:lpstr/>
      <vt:lpstr>References</vt:lpstr>
    </vt:vector>
  </TitlesOfParts>
  <Manager/>
  <Company/>
  <LinksUpToDate>false</LinksUpToDate>
  <CharactersWithSpaces>57089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 Bell</cp:lastModifiedBy>
  <cp:revision>18</cp:revision>
  <dcterms:created xsi:type="dcterms:W3CDTF">2025-12-31T12:30:00Z</dcterms:created>
  <dcterms:modified xsi:type="dcterms:W3CDTF">2026-10-14T12:56:00Z</dcterms:modified>
  <cp:category/>
</cp:coreProperties>
</file>