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080"/>
        </w:tabs>
        <w:jc w:val="center"/>
        <w:rPr>
          <w:b w:val="1"/>
          <w:bCs w:val="1"/>
          <w:sz w:val="38"/>
          <w:szCs w:val="38"/>
        </w:rPr>
      </w:pPr>
      <w:r w:rsidDel="00000000" w:rsidR="00000000" w:rsidRPr="00000000">
        <w:rPr>
          <w:b w:val="1"/>
          <w:bCs w:val="1"/>
          <w:sz w:val="38"/>
          <w:szCs w:val="38"/>
        </w:rPr>
        <w:drawing>
          <wp:inline distB="114300" distT="114300" distL="114300" distR="114300">
            <wp:extent cx="2743200" cy="1085850"/>
            <wp:effectExtent b="25400" l="25400" r="25400" t="254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43200" cy="108585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2">
      <w:pPr>
        <w:tabs>
          <w:tab w:val="left" w:leader="none" w:pos="1080"/>
        </w:tabs>
        <w:jc w:val="center"/>
        <w:rPr>
          <w:b w:val="1"/>
          <w:bCs w:val="1"/>
          <w:sz w:val="38"/>
          <w:szCs w:val="38"/>
        </w:rPr>
      </w:pPr>
      <w:r w:rsidDel="00000000" w:rsidR="00000000" w:rsidRPr="00000000">
        <w:rPr>
          <w:rtl w:val="0"/>
        </w:rPr>
      </w:r>
    </w:p>
    <w:p w:rsidR="00000000" w:rsidDel="00000000" w:rsidP="00000000" w:rsidRDefault="00000000" w:rsidRPr="00000000" w14:paraId="00000003">
      <w:pPr>
        <w:tabs>
          <w:tab w:val="left" w:leader="none" w:pos="1080"/>
        </w:tabs>
        <w:jc w:val="center"/>
        <w:rPr>
          <w:b w:val="1"/>
          <w:bCs w:val="1"/>
          <w:sz w:val="38"/>
          <w:szCs w:val="38"/>
        </w:rPr>
      </w:pPr>
      <w:r w:rsidDel="00000000" w:rsidR="00000000" w:rsidRPr="00000000">
        <w:rPr>
          <w:b w:val="1"/>
          <w:bCs w:val="1"/>
          <w:sz w:val="38"/>
          <w:szCs w:val="38"/>
          <w:rtl w:val="0"/>
        </w:rPr>
        <w:t xml:space="preserve">Programme: Certificate of Higher Education Skills for the Workplace (Health &amp; Social Care)</w:t>
      </w:r>
    </w:p>
    <w:p w:rsidR="00000000" w:rsidDel="00000000" w:rsidP="00000000" w:rsidRDefault="00000000" w:rsidRPr="00000000" w14:paraId="00000004">
      <w:pPr>
        <w:tabs>
          <w:tab w:val="left" w:leader="none" w:pos="1080"/>
        </w:tabs>
        <w:jc w:val="center"/>
        <w:rPr>
          <w:b w:val="1"/>
          <w:bCs w:val="1"/>
          <w:sz w:val="38"/>
          <w:szCs w:val="38"/>
        </w:rPr>
      </w:pPr>
      <w:r w:rsidDel="00000000" w:rsidR="00000000" w:rsidRPr="00000000">
        <w:rPr>
          <w:b w:val="1"/>
          <w:bCs w:val="1"/>
          <w:sz w:val="38"/>
          <w:szCs w:val="38"/>
          <w:rtl w:val="0"/>
        </w:rPr>
        <w:t xml:space="preserve">Module: Introduction to Health and Social Care</w:t>
      </w:r>
    </w:p>
    <w:p w:rsidR="00000000" w:rsidDel="00000000" w:rsidP="00000000" w:rsidRDefault="00000000" w:rsidRPr="00000000" w14:paraId="00000005">
      <w:pPr>
        <w:tabs>
          <w:tab w:val="left" w:leader="none" w:pos="1080"/>
        </w:tabs>
        <w:jc w:val="center"/>
        <w:rPr>
          <w:b w:val="1"/>
          <w:bCs w:val="1"/>
          <w:sz w:val="38"/>
          <w:szCs w:val="38"/>
        </w:rPr>
      </w:pPr>
      <w:r w:rsidDel="00000000" w:rsidR="00000000" w:rsidRPr="00000000">
        <w:rPr>
          <w:b w:val="1"/>
          <w:bCs w:val="1"/>
          <w:sz w:val="38"/>
          <w:szCs w:val="38"/>
          <w:rtl w:val="0"/>
        </w:rPr>
        <w:t xml:space="preserve">Module code: LCHS4003</w:t>
      </w:r>
    </w:p>
    <w:p w:rsidR="00000000" w:rsidDel="00000000" w:rsidP="00000000" w:rsidRDefault="00000000" w:rsidRPr="00000000" w14:paraId="00000006">
      <w:pPr>
        <w:tabs>
          <w:tab w:val="left" w:leader="none" w:pos="1080"/>
        </w:tabs>
        <w:jc w:val="center"/>
        <w:rPr/>
      </w:pPr>
      <w:r w:rsidDel="00000000" w:rsidR="00000000" w:rsidRPr="00000000">
        <w:rPr>
          <w:rtl w:val="0"/>
        </w:rPr>
      </w:r>
    </w:p>
    <w:p w:rsidR="00000000" w:rsidDel="00000000" w:rsidP="00000000" w:rsidRDefault="00000000" w:rsidRPr="00000000" w14:paraId="00000007">
      <w:pPr>
        <w:tabs>
          <w:tab w:val="left" w:leader="none" w:pos="1080"/>
        </w:tabs>
        <w:jc w:val="center"/>
        <w:rPr/>
      </w:pPr>
      <w:r w:rsidDel="00000000" w:rsidR="00000000" w:rsidRPr="00000000">
        <w:rPr>
          <w:rtl w:val="0"/>
        </w:rPr>
      </w:r>
    </w:p>
    <w:p w:rsidR="00000000" w:rsidDel="00000000" w:rsidP="00000000" w:rsidRDefault="00000000" w:rsidRPr="00000000" w14:paraId="00000008">
      <w:pPr>
        <w:tabs>
          <w:tab w:val="left" w:leader="none" w:pos="1080"/>
        </w:tabs>
        <w:jc w:val="center"/>
        <w:rPr>
          <w:rFonts w:ascii="Comic Sans MS" w:cs="Comic Sans MS" w:eastAsia="Comic Sans MS" w:hAnsi="Comic Sans MS"/>
          <w:b w:val="1"/>
          <w:bCs w:val="1"/>
          <w:i w:val="1"/>
          <w:iCs w:val="1"/>
          <w:sz w:val="30"/>
          <w:szCs w:val="30"/>
        </w:rPr>
      </w:pPr>
      <w:r w:rsidDel="00000000" w:rsidR="00000000" w:rsidRPr="00000000">
        <w:rPr>
          <w:rFonts w:ascii="Comic Sans MS" w:cs="Comic Sans MS" w:eastAsia="Comic Sans MS" w:hAnsi="Comic Sans MS"/>
          <w:b w:val="1"/>
          <w:bCs w:val="1"/>
          <w:i w:val="1"/>
          <w:iCs w:val="1"/>
          <w:sz w:val="30"/>
          <w:szCs w:val="30"/>
          <w:rtl w:val="0"/>
        </w:rPr>
        <w:t xml:space="preserve">Student Name:Tresy Tiamuna </w:t>
      </w:r>
    </w:p>
    <w:p w:rsidR="00000000" w:rsidDel="00000000" w:rsidP="00000000" w:rsidRDefault="00000000" w:rsidRPr="00000000" w14:paraId="00000009">
      <w:pPr>
        <w:tabs>
          <w:tab w:val="left" w:leader="none" w:pos="1080"/>
        </w:tabs>
        <w:jc w:val="center"/>
        <w:rPr>
          <w:rFonts w:ascii="Comic Sans MS" w:cs="Comic Sans MS" w:eastAsia="Comic Sans MS" w:hAnsi="Comic Sans MS"/>
          <w:b w:val="1"/>
          <w:bCs w:val="1"/>
          <w:i w:val="1"/>
          <w:iCs w:val="1"/>
          <w:sz w:val="30"/>
          <w:szCs w:val="30"/>
        </w:rPr>
      </w:pPr>
      <w:r w:rsidDel="00000000" w:rsidR="00000000" w:rsidRPr="00000000">
        <w:rPr>
          <w:rFonts w:ascii="Comic Sans MS" w:cs="Comic Sans MS" w:eastAsia="Comic Sans MS" w:hAnsi="Comic Sans MS"/>
          <w:b w:val="1"/>
          <w:bCs w:val="1"/>
          <w:i w:val="1"/>
          <w:iCs w:val="1"/>
          <w:sz w:val="30"/>
          <w:szCs w:val="30"/>
          <w:rtl w:val="0"/>
        </w:rPr>
        <w:t xml:space="preserve">Student ID:2527552</w:t>
      </w:r>
    </w:p>
    <w:p w:rsidR="00000000" w:rsidDel="00000000" w:rsidP="00000000" w:rsidRDefault="00000000" w:rsidRPr="00000000" w14:paraId="0000000A">
      <w:pPr>
        <w:tabs>
          <w:tab w:val="left" w:leader="none" w:pos="1080"/>
        </w:tabs>
        <w:jc w:val="center"/>
        <w:rPr>
          <w:rFonts w:ascii="Comic Sans MS" w:cs="Comic Sans MS" w:eastAsia="Comic Sans MS" w:hAnsi="Comic Sans MS"/>
          <w:b w:val="1"/>
          <w:bCs w:val="1"/>
          <w:i w:val="1"/>
          <w:iCs w:val="1"/>
          <w:sz w:val="30"/>
          <w:szCs w:val="30"/>
        </w:rPr>
      </w:pPr>
      <w:r w:rsidDel="00000000" w:rsidR="00000000" w:rsidRPr="00000000">
        <w:rPr>
          <w:rtl w:val="0"/>
        </w:rPr>
      </w:r>
    </w:p>
    <w:p w:rsidR="00000000" w:rsidDel="00000000" w:rsidP="00000000" w:rsidRDefault="00000000" w:rsidRPr="00000000" w14:paraId="0000000B">
      <w:pPr>
        <w:tabs>
          <w:tab w:val="left" w:leader="none" w:pos="1080"/>
        </w:tabs>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C">
      <w:pPr>
        <w:tabs>
          <w:tab w:val="left" w:leader="none" w:pos="1080"/>
        </w:tabs>
        <w:jc w:val="center"/>
        <w:rPr/>
      </w:pPr>
      <w:r w:rsidDel="00000000" w:rsidR="00000000" w:rsidRPr="00000000">
        <w:rPr>
          <w:rtl w:val="0"/>
        </w:rPr>
      </w:r>
    </w:p>
    <w:p w:rsidR="00000000" w:rsidDel="00000000" w:rsidP="00000000" w:rsidRDefault="00000000" w:rsidRPr="00000000" w14:paraId="0000000D">
      <w:pPr>
        <w:tabs>
          <w:tab w:val="left" w:leader="none" w:pos="1080"/>
        </w:tabs>
        <w:jc w:val="center"/>
        <w:rPr/>
      </w:pP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keepNext w:val="0"/>
        <w:keepLines w:val="0"/>
        <w:tabs>
          <w:tab w:val="left" w:leader="none" w:pos="1080"/>
        </w:tabs>
        <w:rPr/>
      </w:pPr>
      <w:bookmarkStart w:colFirst="0" w:colLast="0" w:name="_heading=h.u9ruq13z66ay" w:id="0"/>
      <w:bookmarkEnd w:id="0"/>
      <w:r w:rsidDel="00000000" w:rsidR="00000000" w:rsidRPr="00000000">
        <w:rPr>
          <w:rtl w:val="0"/>
        </w:rPr>
        <w:t xml:space="preserve">Introduction </w:t>
      </w:r>
    </w:p>
    <w:p w:rsidR="00000000" w:rsidDel="00000000" w:rsidP="00000000" w:rsidRDefault="00000000" w:rsidRPr="00000000" w14:paraId="0000000F">
      <w:pPr>
        <w:tabs>
          <w:tab w:val="left" w:leader="none" w:pos="1080"/>
        </w:tabs>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Mrs Thompson's case illustrates how difficult it is to care for older people with multiple health issues, such as dementia and a recent illness, and to keep them in their community. Effective and safe care depends on effective communication, accurate administration, and close working relationships between health and social care professionals. After being discharged from a hospital stay due to pneumonia, concerns were raised about missing medication and going outside without suitable clothing, highlighting the need for person-centred, coordinated care (Care Quality Commission, 2024). This report provides an overview of how effective communication, good administration and multi-disciplinary working can contribute to Mrs Thompson's wellbeing. The appropriate UK legislation, policies and evidence are used to illustrate the impact of high-quality care on safety and health outcomes.</w:t>
      </w:r>
    </w:p>
    <w:p w:rsidR="00000000" w:rsidDel="00000000" w:rsidP="00000000" w:rsidRDefault="00000000" w:rsidRPr="00000000" w14:paraId="00000010">
      <w:pPr>
        <w:pStyle w:val="Heading1"/>
        <w:keepNext w:val="0"/>
        <w:keepLines w:val="0"/>
        <w:tabs>
          <w:tab w:val="left" w:leader="none" w:pos="1080"/>
        </w:tabs>
        <w:rPr/>
      </w:pPr>
      <w:bookmarkStart w:colFirst="0" w:colLast="0" w:name="_heading=h.uv70fb24bgdl" w:id="1"/>
      <w:bookmarkEnd w:id="1"/>
      <w:r w:rsidDel="00000000" w:rsidR="00000000" w:rsidRPr="00000000">
        <w:rPr>
          <w:rtl w:val="0"/>
        </w:rPr>
        <w:t xml:space="preserve">Importance of Effective Communication in Mrs Thompson's Care </w:t>
      </w:r>
    </w:p>
    <w:p w:rsidR="00000000" w:rsidDel="00000000" w:rsidP="00000000" w:rsidRDefault="00000000" w:rsidRPr="00000000" w14:paraId="00000011">
      <w:pPr>
        <w:tabs>
          <w:tab w:val="left" w:leader="none" w:pos="1080"/>
        </w:tabs>
        <w:spacing w:after="240" w:before="240" w:line="360" w:lineRule="auto"/>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Mrs Thompson is an 84-year-old woman who has been admitted to sheltered housing after being discharged from hospital following pneumonia and is experiencing effective communication to deliver safe, person-centred care. Delivering clear communication is paramount when older adults with dementia have memory, attention, understanding and decision-making difficulties, all of which are important for ensuring adherence to medicines, maintaining independence and minimising risks. The UK's Office for National Statistics (2024) shows that approximately 11 million people in the UK are aged 65 years and over; and the National Health Service (NHS) estimates that 982,000 people in the UK are living with dementia, with the figure projected to exceed 1.4 million by 2040 (</w:t>
      </w:r>
      <w:r w:rsidDel="00000000" w:rsidR="00000000" w:rsidRPr="00000000">
        <w:rPr>
          <w:rFonts w:ascii="Arial" w:cs="Arial" w:eastAsia="Arial" w:hAnsi="Arial"/>
          <w:rtl w:val="0"/>
        </w:rPr>
        <w:t xml:space="preserve">NHS England, 2024)</w:t>
      </w:r>
      <w:r w:rsidDel="00000000" w:rsidR="00000000" w:rsidRPr="00000000">
        <w:rPr>
          <w:rFonts w:ascii="Arial" w:cs="Arial" w:eastAsia="Arial" w:hAnsi="Arial"/>
          <w:sz w:val="23"/>
          <w:szCs w:val="23"/>
          <w:rtl w:val="0"/>
        </w:rPr>
        <w:t xml:space="preserve">. These statistics highlight the importance of good communication skills in health and social care.</w:t>
      </w:r>
    </w:p>
    <w:p w:rsidR="00000000" w:rsidDel="00000000" w:rsidP="00000000" w:rsidRDefault="00000000" w:rsidRPr="00000000" w14:paraId="00000012">
      <w:pPr>
        <w:tabs>
          <w:tab w:val="left" w:leader="none" w:pos="1080"/>
        </w:tabs>
        <w:spacing w:after="240" w:before="240" w:line="360" w:lineRule="auto"/>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For Mrs Thompson, communication needs to be modified to accommodate her cognitive capacity. Care workers should speak slowly, use short and simple sentences, maintain eye contact, minimise distractions and allow sufficient time for responses (</w:t>
      </w:r>
      <w:r w:rsidDel="00000000" w:rsidR="00000000" w:rsidRPr="00000000">
        <w:rPr>
          <w:rFonts w:ascii="Arial" w:cs="Arial" w:eastAsia="Arial" w:hAnsi="Arial"/>
          <w:rtl w:val="0"/>
        </w:rPr>
        <w:t xml:space="preserve">Hoel, Ambugo, and Wolf-Ostermann, 2022)</w:t>
      </w:r>
      <w:r w:rsidDel="00000000" w:rsidR="00000000" w:rsidRPr="00000000">
        <w:rPr>
          <w:rFonts w:ascii="Arial" w:cs="Arial" w:eastAsia="Arial" w:hAnsi="Arial"/>
          <w:sz w:val="23"/>
          <w:szCs w:val="23"/>
          <w:rtl w:val="0"/>
        </w:rPr>
        <w:t xml:space="preserve">. Use visual cues like medication charts, calendars, labelled cupboards, and reminder cards to aid understanding. Important information repeated and open questions to check understanding help ensure Mrs Thompson understands instructions relating to medication, appointments and daily routines. Positive body language, reassurance and listening can help to alleviate anxiety and promote cooperation. It is also important to communicate with Mrs Thompson's family. Relatives should be kept informed regularly about changes in medication and health status, in addition to the reviews of care and safeguarding issues, with their consent. Family members can be a source of information about her habits, likes/dislikes and behavioural changes that would not be apparent to the professionals. Communication is ongoing, which facilitates collaborative decision-making and continuity of care between services.</w:t>
      </w:r>
    </w:p>
    <w:p w:rsidR="00000000" w:rsidDel="00000000" w:rsidP="00000000" w:rsidRDefault="00000000" w:rsidRPr="00000000" w14:paraId="00000013">
      <w:pPr>
        <w:tabs>
          <w:tab w:val="left" w:leader="none" w:pos="1080"/>
        </w:tabs>
        <w:spacing w:after="240" w:before="240" w:line="360" w:lineRule="auto"/>
        <w:jc w:val="both"/>
        <w:rPr>
          <w:rFonts w:ascii="Arial" w:cs="Arial" w:eastAsia="Arial" w:hAnsi="Arial"/>
        </w:rPr>
      </w:pPr>
      <w:r w:rsidDel="00000000" w:rsidR="00000000" w:rsidRPr="00000000">
        <w:rPr>
          <w:rFonts w:ascii="Arial" w:cs="Arial" w:eastAsia="Arial" w:hAnsi="Arial"/>
          <w:sz w:val="23"/>
          <w:szCs w:val="23"/>
          <w:rtl w:val="0"/>
        </w:rPr>
        <w:t xml:space="preserve">The Equality Act 2010 makes it the duty of health and social care providers to remove discrimination, to promote equality of opportunity and to make reasonable adjustments for people with protected characteristics, such as age and disability. Mrs Thompson is protected as a result of her advanced age and dementia under both categories. Staff need to therefore use a range of methods to communicate with her that are suitable for her needs so that she can receive information in ways that are accessible to her and that she is not disadvantaged due to cognitive impairment (</w:t>
      </w:r>
      <w:r w:rsidDel="00000000" w:rsidR="00000000" w:rsidRPr="00000000">
        <w:rPr>
          <w:rFonts w:ascii="Arial" w:cs="Arial" w:eastAsia="Arial" w:hAnsi="Arial"/>
          <w:rtl w:val="0"/>
        </w:rPr>
        <w:t xml:space="preserve">Sheth and Wald, 2022)</w:t>
      </w:r>
      <w:r w:rsidDel="00000000" w:rsidR="00000000" w:rsidRPr="00000000">
        <w:rPr>
          <w:rFonts w:ascii="Arial" w:cs="Arial" w:eastAsia="Arial" w:hAnsi="Arial"/>
          <w:sz w:val="23"/>
          <w:szCs w:val="23"/>
          <w:rtl w:val="0"/>
        </w:rPr>
        <w:t xml:space="preserve">. The Act places a focus on the principles of respect for dignity, promotion of inclusion and participation in decision-making. Two useful communication frameworks for Mrs Thompson's care are: Argyle's Communication Cycle (1972) and the BDIK model (1933). The model is a continuous model of communication. The model is a model of continuous communication, with the idea being formed, subsequently encoded, transmitted, received, and then encoded and fed back. When a domiciliary care worker reminds Mrs Thompson to take her medicines, for example, the worker first communicates with her using simple language. Mrs Thompson takes in the information, decodes it and then responds both verbally and in action. The care worker will then check to see if she has understood by repeating the instructions or by checking to see if she has taken the medication. When there is still a lack of understanding, the message is repeated with alternative language or graphics. This mechanism decreases miscommunication and promotes care that is safer.</w:t>
      </w:r>
      <w:r w:rsidDel="00000000" w:rsidR="00000000" w:rsidRPr="00000000">
        <w:rPr>
          <w:rtl w:val="0"/>
        </w:rPr>
      </w:r>
    </w:p>
    <w:p w:rsidR="00000000" w:rsidDel="00000000" w:rsidP="00000000" w:rsidRDefault="00000000" w:rsidRPr="00000000" w14:paraId="00000014">
      <w:pPr>
        <w:pStyle w:val="Heading1"/>
        <w:keepNext w:val="0"/>
        <w:keepLines w:val="0"/>
        <w:tabs>
          <w:tab w:val="left" w:leader="none" w:pos="1080"/>
        </w:tabs>
        <w:rPr/>
      </w:pPr>
      <w:bookmarkStart w:colFirst="0" w:colLast="0" w:name="_heading=h.re8rfvv64l27" w:id="2"/>
      <w:bookmarkEnd w:id="2"/>
      <w:r w:rsidDel="00000000" w:rsidR="00000000" w:rsidRPr="00000000">
        <w:rPr>
          <w:rtl w:val="0"/>
        </w:rPr>
        <w:t xml:space="preserve">Importance of Good Administrative Skills within Professional Practice in Mrs Thompson's Care </w:t>
      </w:r>
    </w:p>
    <w:p w:rsidR="00000000" w:rsidDel="00000000" w:rsidP="00000000" w:rsidRDefault="00000000" w:rsidRPr="00000000" w14:paraId="00000015">
      <w:pPr>
        <w:tabs>
          <w:tab w:val="left" w:leader="none" w:pos="1080"/>
        </w:tabs>
        <w:spacing w:after="240" w:before="240" w:line="360" w:lineRule="auto"/>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Mrs Thompson's safety, effectiveness and accountability of care rely on good administrative practice. Good recording helps to ensure continuity of care from domiciliary care workers to the community nurse, GP, pharmacist, hospital staff and local authority safeguarding team. Administrative skills include maintaining accurate records, reporting on incidents promptly, keeping medication records, making reviews, reviewing and updating care plans and safeguarding confidential information. An incident report was completed as per the organisation's policy due to Mrs Thompson missing her medication for two consecutive days and becoming more confused as a result. Documentation provides accurate date, time, medication not administered, observations, immediate actions taken and referrals made (</w:t>
      </w:r>
      <w:r w:rsidDel="00000000" w:rsidR="00000000" w:rsidRPr="00000000">
        <w:rPr>
          <w:rFonts w:ascii="Arial" w:cs="Arial" w:eastAsia="Arial" w:hAnsi="Arial"/>
          <w:rtl w:val="0"/>
        </w:rPr>
        <w:t xml:space="preserve">Slocombe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2022)</w:t>
      </w:r>
      <w:r w:rsidDel="00000000" w:rsidR="00000000" w:rsidRPr="00000000">
        <w:rPr>
          <w:rFonts w:ascii="Arial" w:cs="Arial" w:eastAsia="Arial" w:hAnsi="Arial"/>
          <w:sz w:val="23"/>
          <w:szCs w:val="23"/>
          <w:rtl w:val="0"/>
        </w:rPr>
        <w:t xml:space="preserve">. It can be used by professionals to detect any patterns of medication errors, to detect any repeated risks and to monitor whether further measures, like a monitored dosage system or electronic reminders, are needed. The second one, when Mrs Thompson was discovered outside in poor attire during a cold period, also necessitated thorough documentation. Accurate records evidence local council safeguarding investigations undertaken and supporting decisions on future risk management. Lack of documentation may mean that interventions are delayed, accountability is limited, and patient safety is compromised.</w:t>
      </w:r>
    </w:p>
    <w:p w:rsidR="00000000" w:rsidDel="00000000" w:rsidP="00000000" w:rsidRDefault="00000000" w:rsidRPr="00000000" w14:paraId="00000016">
      <w:pPr>
        <w:tabs>
          <w:tab w:val="left" w:leader="none" w:pos="1080"/>
        </w:tabs>
        <w:spacing w:after="240" w:before="240" w:line="360" w:lineRule="auto"/>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The Data Protection Act 2018, which is based on the UK General Data Protection Regulation (UK GDPR), regulates the collection, processing, storage and sharing of personal information (</w:t>
      </w:r>
      <w:r w:rsidDel="00000000" w:rsidR="00000000" w:rsidRPr="00000000">
        <w:rPr>
          <w:rFonts w:ascii="Arial" w:cs="Arial" w:eastAsia="Arial" w:hAnsi="Arial"/>
          <w:rtl w:val="0"/>
        </w:rPr>
        <w:t xml:space="preserve">World Health Organisation, 2023)</w:t>
      </w:r>
      <w:r w:rsidDel="00000000" w:rsidR="00000000" w:rsidRPr="00000000">
        <w:rPr>
          <w:rFonts w:ascii="Arial" w:cs="Arial" w:eastAsia="Arial" w:hAnsi="Arial"/>
          <w:sz w:val="23"/>
          <w:szCs w:val="23"/>
          <w:rtl w:val="0"/>
        </w:rPr>
        <w:t xml:space="preserve">. Mrs Thompson's medical information, medication history, dementia diagnosis, and safeguarding records are personal information which is sensitive and needs additional protection. When caring for people, information should be gathered and used fairly, legally and transparently and should be limited to data required for the delivery of care. Records should be accurate, well-maintained, properly kept and preserved for proper lengths of time (</w:t>
      </w:r>
      <w:r w:rsidDel="00000000" w:rsidR="00000000" w:rsidRPr="00000000">
        <w:rPr>
          <w:rFonts w:ascii="Arial" w:cs="Arial" w:eastAsia="Arial" w:hAnsi="Arial"/>
          <w:rtl w:val="0"/>
        </w:rPr>
        <w:t xml:space="preserve">Collins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2022)</w:t>
      </w:r>
      <w:r w:rsidDel="00000000" w:rsidR="00000000" w:rsidRPr="00000000">
        <w:rPr>
          <w:rFonts w:ascii="Arial" w:cs="Arial" w:eastAsia="Arial" w:hAnsi="Arial"/>
          <w:sz w:val="23"/>
          <w:szCs w:val="23"/>
          <w:rtl w:val="0"/>
        </w:rPr>
        <w:t xml:space="preserve">. Access should be limited to authorised personnel directly involved with the care of Mrs Thompson. The Health and Social Care Act 2008 (Regulated Activities) Regulations 2014 mandate that providers ensure that records are accurate, complete and kept up to date for each service user (</w:t>
      </w:r>
      <w:r w:rsidDel="00000000" w:rsidR="00000000" w:rsidRPr="00000000">
        <w:rPr>
          <w:rFonts w:ascii="Arial" w:cs="Arial" w:eastAsia="Arial" w:hAnsi="Arial"/>
          <w:rtl w:val="0"/>
        </w:rPr>
        <w:t xml:space="preserve">UK Government, 2024)</w:t>
      </w:r>
      <w:r w:rsidDel="00000000" w:rsidR="00000000" w:rsidRPr="00000000">
        <w:rPr>
          <w:rFonts w:ascii="Arial" w:cs="Arial" w:eastAsia="Arial" w:hAnsi="Arial"/>
          <w:sz w:val="23"/>
          <w:szCs w:val="23"/>
          <w:rtl w:val="0"/>
        </w:rPr>
        <w:t xml:space="preserve">. Record keeping and risk monitoring/quality assurance are specific aspects of good governance that are required by Regulation 17. The Care Quality Commission (CQC) could take action for failure to keep accurate records. The Care Act 2014 also imposes a duty on local authorities and care providers to make sure that adult service providers are aware of adults who are at risk of abuse or neglect (</w:t>
      </w:r>
      <w:r w:rsidDel="00000000" w:rsidR="00000000" w:rsidRPr="00000000">
        <w:rPr>
          <w:rFonts w:ascii="Arial" w:cs="Arial" w:eastAsia="Arial" w:hAnsi="Arial"/>
          <w:rtl w:val="0"/>
        </w:rPr>
        <w:t xml:space="preserve">Care Quality Commission, 2024)</w:t>
      </w:r>
      <w:r w:rsidDel="00000000" w:rsidR="00000000" w:rsidRPr="00000000">
        <w:rPr>
          <w:rFonts w:ascii="Arial" w:cs="Arial" w:eastAsia="Arial" w:hAnsi="Arial"/>
          <w:sz w:val="23"/>
          <w:szCs w:val="23"/>
          <w:rtl w:val="0"/>
        </w:rPr>
        <w:t xml:space="preserve">. Properly recording medication errors, medication confusion, self-neglect and wandering behaviour allows safeguarding workers to properly identify the risks, and to coordinate appropriate interventions.</w:t>
      </w:r>
    </w:p>
    <w:p w:rsidR="00000000" w:rsidDel="00000000" w:rsidP="00000000" w:rsidRDefault="00000000" w:rsidRPr="00000000" w14:paraId="00000017">
      <w:pPr>
        <w:tabs>
          <w:tab w:val="left" w:leader="none" w:pos="1080"/>
        </w:tabs>
        <w:spacing w:after="240" w:before="240" w:line="360" w:lineRule="auto"/>
        <w:jc w:val="both"/>
        <w:rPr>
          <w:rFonts w:ascii="Arial" w:cs="Arial" w:eastAsia="Arial" w:hAnsi="Arial"/>
        </w:rPr>
      </w:pPr>
      <w:r w:rsidDel="00000000" w:rsidR="00000000" w:rsidRPr="00000000">
        <w:rPr>
          <w:rFonts w:ascii="Arial" w:cs="Arial" w:eastAsia="Arial" w:hAnsi="Arial"/>
          <w:sz w:val="23"/>
          <w:szCs w:val="23"/>
          <w:rtl w:val="0"/>
        </w:rPr>
        <w:t xml:space="preserve">The NICE Guideline NG97 (Managing Medicines for Adults Receiving Social Care in the Community) states that the following should be recorded on the Medication Administration Record (MAR) immediately: Any missed doses of medicines, and any concerns about them should be raised with the prescriber and the pharmacist as soon as possible (</w:t>
      </w:r>
      <w:r w:rsidDel="00000000" w:rsidR="00000000" w:rsidRPr="00000000">
        <w:rPr>
          <w:rFonts w:ascii="Arial" w:cs="Arial" w:eastAsia="Arial" w:hAnsi="Arial"/>
          <w:rtl w:val="0"/>
        </w:rPr>
        <w:t xml:space="preserve">NICE, 2022)</w:t>
      </w:r>
      <w:r w:rsidDel="00000000" w:rsidR="00000000" w:rsidRPr="00000000">
        <w:rPr>
          <w:rFonts w:ascii="Arial" w:cs="Arial" w:eastAsia="Arial" w:hAnsi="Arial"/>
          <w:sz w:val="23"/>
          <w:szCs w:val="23"/>
          <w:rtl w:val="0"/>
        </w:rPr>
        <w:t xml:space="preserve">. These records help to keep medications safe and prevent harm. According to research from NHS England (2024), there are ~237 million medication errors per year in England due to medication-related harm, with older people on multiple medicines still the highest risk group of experiencing medication errors. In addition, dementia impacts almost 1 million people in the UK, with many individuals needing a structured medication management system. This statistic is a stark reminder of the importance of having good administration and documentation practices.</w:t>
      </w:r>
      <w:r w:rsidDel="00000000" w:rsidR="00000000" w:rsidRPr="00000000">
        <w:rPr>
          <w:rFonts w:ascii="Arial" w:cs="Arial" w:eastAsia="Arial" w:hAnsi="Arial"/>
          <w:rtl w:val="0"/>
        </w:rPr>
        <w:t xml:space="preserve"> </w:t>
      </w:r>
    </w:p>
    <w:p w:rsidR="00000000" w:rsidDel="00000000" w:rsidP="00000000" w:rsidRDefault="00000000" w:rsidRPr="00000000" w14:paraId="00000018">
      <w:pPr>
        <w:pStyle w:val="Heading1"/>
        <w:keepNext w:val="0"/>
        <w:keepLines w:val="0"/>
        <w:tabs>
          <w:tab w:val="left" w:leader="none" w:pos="1080"/>
        </w:tabs>
        <w:rPr/>
      </w:pPr>
      <w:bookmarkStart w:colFirst="0" w:colLast="0" w:name="_heading=h.xoza887d78un" w:id="3"/>
      <w:bookmarkEnd w:id="3"/>
      <w:r w:rsidDel="00000000" w:rsidR="00000000" w:rsidRPr="00000000">
        <w:rPr>
          <w:rtl w:val="0"/>
        </w:rPr>
        <w:t xml:space="preserve">Importance of Collaborative Working in Mrs Thompson's Care </w:t>
      </w:r>
    </w:p>
    <w:p w:rsidR="00000000" w:rsidDel="00000000" w:rsidP="00000000" w:rsidRDefault="00000000" w:rsidRPr="00000000" w14:paraId="00000019">
      <w:pPr>
        <w:tabs>
          <w:tab w:val="left" w:leader="none" w:pos="1080"/>
        </w:tabs>
        <w:spacing w:after="240" w:before="240" w:line="360" w:lineRule="auto"/>
        <w:jc w:val="both"/>
        <w:rPr>
          <w:rFonts w:ascii="Arial" w:cs="Arial" w:eastAsia="Arial" w:hAnsi="Arial"/>
        </w:rPr>
      </w:pPr>
      <w:r w:rsidDel="00000000" w:rsidR="00000000" w:rsidRPr="00000000">
        <w:rPr>
          <w:rFonts w:ascii="Arial" w:cs="Arial" w:eastAsia="Arial" w:hAnsi="Arial"/>
          <w:sz w:val="23"/>
          <w:szCs w:val="23"/>
          <w:rtl w:val="0"/>
        </w:rPr>
        <w:t xml:space="preserve">The need to meet Mrs Thompson's complex physical, cognitive and social care needs requires collaborative working. She has recently been discharged from hospital and has had a history of pneumonia, which has led to some dementia and raised concerns for medication and safeguarding, which need to be co-ordinated across several professionals. By providing an integrated approach to care, duplication is minimised, communication is enhanced, and earlier intervention if risks are identified is undertaken. The GP is a key player in reviewing drugs after missed doses, evaluating cognitive decline, managing recovery from pneumonia and coordinating access to specialist services as needed. The community nurse tracks Mrs Thompson's physical state, the healing of her respiratory condition, her nutrition, hydration and skin condition and is assessing how she is coping with everyday activities safely. Home care staff offer care on a day-to-day basis, including medication reminders, personal care, feeding and monitoring behaviour changes. They have their day-to-day contact with them and can, therefore, easily notice early signs of deterioration and report concerns at the earliest opportunity. Pharmacists make a contribution by reviewing medication regimens, minimising the risks of polypharmacy and offering help to improve compliance, including using a monitored dose administration system or blister packs. The local authority safeguarding team carries out investigations into concerns of self-neglect and considers the need for further care and/or environmental support. Collaboration requires communication, clear professional boundaries, sharing of electronic health records, multi-disciplinary meetings and person-centred care planning. Professionals need to share relevant information as soon as possible and in accordance with the Data Protection Act 2018 and UK GDPR. Shared care plans can help all agencies achieve shared objectives such as helping Mrs Thompson to adhere to medicines, prevent further incidents and maintain her independence. Multi-agency working, however, can sometimes face difficulties such as late information sharing, incompatible electronic records, unclear roles and responsibilities, limited personnel and communication breakdowns. Another cause of delay in decision-making is differences in organisational priorities or professional views. These barriers can be overcome by regular multidisciplinary meetings, standardised documentation, agreed referral pathways, clear accountability, and regular staff training and effective leadership. If the risk of harm to any child or young person increases or concerns are not resolved, then escalation procedures should be followed. The Care Act 2014, the Health and Social Care Act 2012 and the NHS Long Term Plan all encourage co-ordinated services for older people with complex needs, which is strongly reflected in integrated working (</w:t>
      </w:r>
      <w:r w:rsidDel="00000000" w:rsidR="00000000" w:rsidRPr="00000000">
        <w:rPr>
          <w:rFonts w:ascii="Arial" w:cs="Arial" w:eastAsia="Arial" w:hAnsi="Arial"/>
          <w:rtl w:val="0"/>
        </w:rPr>
        <w:t xml:space="preserve">NHS England, 2024)</w:t>
      </w:r>
      <w:r w:rsidDel="00000000" w:rsidR="00000000" w:rsidRPr="00000000">
        <w:rPr>
          <w:rFonts w:ascii="Arial" w:cs="Arial" w:eastAsia="Arial" w:hAnsi="Arial"/>
          <w:sz w:val="23"/>
          <w:szCs w:val="23"/>
          <w:rtl w:val="0"/>
        </w:rPr>
        <w:t xml:space="preserve">. </w:t>
      </w:r>
      <w:r w:rsidDel="00000000" w:rsidR="00000000" w:rsidRPr="00000000">
        <w:rPr>
          <w:rtl w:val="0"/>
        </w:rPr>
      </w:r>
    </w:p>
    <w:p w:rsidR="00000000" w:rsidDel="00000000" w:rsidP="00000000" w:rsidRDefault="00000000" w:rsidRPr="00000000" w14:paraId="0000001A">
      <w:pPr>
        <w:pStyle w:val="Heading3"/>
        <w:keepNext w:val="0"/>
        <w:keepLines w:val="0"/>
        <w:tabs>
          <w:tab w:val="left" w:leader="none" w:pos="1080"/>
        </w:tabs>
        <w:spacing w:line="360" w:lineRule="auto"/>
        <w:jc w:val="both"/>
        <w:rPr>
          <w:rFonts w:ascii="Arial" w:cs="Arial" w:eastAsia="Arial" w:hAnsi="Arial"/>
          <w:sz w:val="26"/>
          <w:szCs w:val="26"/>
        </w:rPr>
      </w:pPr>
      <w:bookmarkStart w:colFirst="0" w:colLast="0" w:name="_heading=h.23av7rydmf7k" w:id="4"/>
      <w:bookmarkEnd w:id="4"/>
      <w:r w:rsidDel="00000000" w:rsidR="00000000" w:rsidRPr="00000000">
        <w:rPr>
          <w:rFonts w:ascii="Arial" w:cs="Arial" w:eastAsia="Arial" w:hAnsi="Arial"/>
          <w:sz w:val="26"/>
          <w:szCs w:val="26"/>
          <w:rtl w:val="0"/>
        </w:rPr>
        <w:t xml:space="preserve">Conclusion </w:t>
      </w:r>
    </w:p>
    <w:p w:rsidR="00000000" w:rsidDel="00000000" w:rsidP="00000000" w:rsidRDefault="00000000" w:rsidRPr="00000000" w14:paraId="0000001B">
      <w:pPr>
        <w:tabs>
          <w:tab w:val="left" w:leader="none" w:pos="1080"/>
        </w:tabs>
        <w:spacing w:after="240" w:before="240" w:line="360" w:lineRule="auto"/>
        <w:jc w:val="both"/>
        <w:rPr>
          <w:rFonts w:ascii="Arial" w:cs="Arial" w:eastAsia="Arial" w:hAnsi="Arial"/>
        </w:rPr>
      </w:pPr>
      <w:r w:rsidDel="00000000" w:rsidR="00000000" w:rsidRPr="00000000">
        <w:rPr>
          <w:rFonts w:ascii="Arial" w:cs="Arial" w:eastAsia="Arial" w:hAnsi="Arial"/>
          <w:sz w:val="23"/>
          <w:szCs w:val="23"/>
          <w:rtl w:val="0"/>
        </w:rPr>
        <w:t xml:space="preserve">The case of Mrs Thompson illustrates the importance of good communication, good administration, and working together across different professions to provide high-quality health and social care. Safe and person-centred care involves: adapting to her cognitive needs, maintaining accurate records, protecting confidential information and complying with the relevant legislation. Similarly, effective relationships between the GP, community nurse, domiciliary care workers, pharmacists and safeguarding services lead to effective interventions and joint decision-making. Professionals can minimise risk, enable Mrs Thompson to be independent, and enhance her quality of life by applying the principles of the Equality Act 2010, the Data Protection Act 2018, and the Care Act 2014.</w:t>
      </w:r>
      <w:r w:rsidDel="00000000" w:rsidR="00000000" w:rsidRPr="00000000">
        <w:rPr>
          <w:rFonts w:ascii="Arial" w:cs="Arial" w:eastAsia="Arial" w:hAnsi="Arial"/>
          <w:rtl w:val="0"/>
        </w:rPr>
        <w:t xml:space="preserve"> </w:t>
      </w:r>
    </w:p>
    <w:p w:rsidR="00000000" w:rsidDel="00000000" w:rsidP="00000000" w:rsidRDefault="00000000" w:rsidRPr="00000000" w14:paraId="0000001C">
      <w:pPr>
        <w:rPr>
          <w:rFonts w:ascii="Arial" w:cs="Arial" w:eastAsia="Arial" w:hAnsi="Arial"/>
          <w:b w:val="1"/>
          <w:bCs w:val="1"/>
          <w:sz w:val="26"/>
          <w:szCs w:val="26"/>
        </w:rPr>
      </w:pPr>
      <w:bookmarkStart w:colFirst="0" w:colLast="0" w:name="_heading=h.f1uubugma7ix" w:id="5"/>
      <w:bookmarkEnd w:id="5"/>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tabs>
          <w:tab w:val="left" w:leader="none" w:pos="1080"/>
        </w:tabs>
        <w:spacing w:after="160" w:lineRule="auto"/>
        <w:rPr/>
      </w:pPr>
      <w:bookmarkStart w:colFirst="0" w:colLast="0" w:name="_heading=h.comvi2loffdh" w:id="6"/>
      <w:bookmarkEnd w:id="6"/>
      <w:r w:rsidDel="00000000" w:rsidR="00000000" w:rsidRPr="00000000">
        <w:rPr>
          <w:rtl w:val="0"/>
        </w:rPr>
        <w:t xml:space="preserve">Reference List</w:t>
      </w:r>
    </w:p>
    <w:p w:rsidR="00000000" w:rsidDel="00000000" w:rsidP="00000000" w:rsidRDefault="00000000" w:rsidRPr="00000000" w14:paraId="0000001E">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spacing w:after="0" w:line="360" w:lineRule="auto"/>
        <w:jc w:val="both"/>
        <w:rPr>
          <w:rFonts w:ascii="Arial" w:cs="Arial" w:eastAsia="Arial" w:hAnsi="Arial"/>
        </w:rPr>
      </w:pPr>
      <w:r w:rsidDel="00000000" w:rsidR="00000000" w:rsidRPr="00000000">
        <w:rPr>
          <w:rFonts w:ascii="Arial" w:cs="Arial" w:eastAsia="Arial" w:hAnsi="Arial"/>
          <w:rtl w:val="0"/>
        </w:rPr>
        <w:t xml:space="preserve">Care Quality Commission (2024) </w:t>
      </w:r>
      <w:r w:rsidDel="00000000" w:rsidR="00000000" w:rsidRPr="00000000">
        <w:rPr>
          <w:rFonts w:ascii="Arial" w:cs="Arial" w:eastAsia="Arial" w:hAnsi="Arial"/>
          <w:i w:val="1"/>
          <w:iCs w:val="1"/>
          <w:rtl w:val="0"/>
        </w:rPr>
        <w:t xml:space="preserve">Guidance for Providers on Meeting the Regulations</w:t>
      </w:r>
      <w:r w:rsidDel="00000000" w:rsidR="00000000" w:rsidRPr="00000000">
        <w:rPr>
          <w:rFonts w:ascii="Arial" w:cs="Arial" w:eastAsia="Arial" w:hAnsi="Arial"/>
          <w:rtl w:val="0"/>
        </w:rPr>
        <w:t xml:space="preserve">. Newcastle upon Tyne: CQC. Available at:</w:t>
      </w:r>
      <w:hyperlink r:id="rId8">
        <w:r w:rsidDel="00000000" w:rsidR="00000000" w:rsidRPr="00000000">
          <w:rPr>
            <w:rFonts w:ascii="Arial" w:cs="Arial" w:eastAsia="Arial" w:hAnsi="Arial"/>
            <w:rtl w:val="0"/>
          </w:rPr>
          <w:t xml:space="preserve"> </w:t>
        </w:r>
      </w:hyperlink>
      <w:hyperlink r:id="rId9">
        <w:r w:rsidDel="00000000" w:rsidR="00000000" w:rsidRPr="00000000">
          <w:rPr>
            <w:rFonts w:ascii="Arial" w:cs="Arial" w:eastAsia="Arial" w:hAnsi="Arial"/>
            <w:color w:val="1155cc"/>
            <w:u w:val="single"/>
            <w:rtl w:val="0"/>
          </w:rPr>
          <w:t xml:space="preserve">https://www.cqc.org.uk/guidance-providers/regulations-enforcement/regulations-service-providers-managers</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0">
      <w:pPr>
        <w:spacing w:after="0" w:line="360" w:lineRule="auto"/>
        <w:jc w:val="both"/>
        <w:rPr>
          <w:rFonts w:ascii="Arial" w:cs="Arial" w:eastAsia="Arial" w:hAnsi="Arial"/>
        </w:rPr>
      </w:pPr>
      <w:r w:rsidDel="00000000" w:rsidR="00000000" w:rsidRPr="00000000">
        <w:rPr>
          <w:rFonts w:ascii="Arial" w:cs="Arial" w:eastAsia="Arial" w:hAnsi="Arial"/>
          <w:rtl w:val="0"/>
        </w:rPr>
        <w:t xml:space="preserve">Collins, R., Hunt, A., Quinn, C., Martyr, A., Pentecost, C. and Clare, L. (2022) 'Methods and approaches for enhancing communication with people with moderate-to-severe dementia that can facilitate their inclusion in research and service evaluation: Findings from the IDEAL programme', </w:t>
      </w:r>
      <w:r w:rsidDel="00000000" w:rsidR="00000000" w:rsidRPr="00000000">
        <w:rPr>
          <w:rFonts w:ascii="Arial" w:cs="Arial" w:eastAsia="Arial" w:hAnsi="Arial"/>
          <w:i w:val="1"/>
          <w:iCs w:val="1"/>
          <w:rtl w:val="0"/>
        </w:rPr>
        <w:t xml:space="preserve">Dementia</w:t>
      </w:r>
      <w:r w:rsidDel="00000000" w:rsidR="00000000" w:rsidRPr="00000000">
        <w:rPr>
          <w:rFonts w:ascii="Arial" w:cs="Arial" w:eastAsia="Arial" w:hAnsi="Arial"/>
          <w:rtl w:val="0"/>
        </w:rPr>
        <w:t xml:space="preserve">, 21(4), pp. 1135–1153. Available at:</w:t>
      </w:r>
      <w:hyperlink r:id="rId10">
        <w:r w:rsidDel="00000000" w:rsidR="00000000" w:rsidRPr="00000000">
          <w:rPr>
            <w:rFonts w:ascii="Arial" w:cs="Arial" w:eastAsia="Arial" w:hAnsi="Arial"/>
            <w:rtl w:val="0"/>
          </w:rPr>
          <w:t xml:space="preserve"> </w:t>
        </w:r>
      </w:hyperlink>
      <w:hyperlink r:id="rId11">
        <w:r w:rsidDel="00000000" w:rsidR="00000000" w:rsidRPr="00000000">
          <w:rPr>
            <w:rFonts w:ascii="Arial" w:cs="Arial" w:eastAsia="Arial" w:hAnsi="Arial"/>
            <w:color w:val="1155cc"/>
            <w:u w:val="single"/>
            <w:rtl w:val="0"/>
          </w:rPr>
          <w:t xml:space="preserve">https://pubmed.ncbi.nlm.nih.gov/35156412/</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1">
      <w:pPr>
        <w:spacing w:after="0" w:line="360" w:lineRule="auto"/>
        <w:jc w:val="both"/>
        <w:rPr>
          <w:rFonts w:ascii="Arial" w:cs="Arial" w:eastAsia="Arial" w:hAnsi="Arial"/>
        </w:rPr>
      </w:pPr>
      <w:r w:rsidDel="00000000" w:rsidR="00000000" w:rsidRPr="00000000">
        <w:rPr>
          <w:rFonts w:ascii="Arial" w:cs="Arial" w:eastAsia="Arial" w:hAnsi="Arial"/>
          <w:rtl w:val="0"/>
        </w:rPr>
        <w:t xml:space="preserve">Hoel, V., Ambugo, E.A. and Wolf-Ostermann, K. (2022) 'Sustaining our relationship: Dyadic interactions supported by technology for people with dementia and their informal caregivers', </w:t>
      </w:r>
      <w:r w:rsidDel="00000000" w:rsidR="00000000" w:rsidRPr="00000000">
        <w:rPr>
          <w:rFonts w:ascii="Arial" w:cs="Arial" w:eastAsia="Arial" w:hAnsi="Arial"/>
          <w:i w:val="1"/>
          <w:iCs w:val="1"/>
          <w:rtl w:val="0"/>
        </w:rPr>
        <w:t xml:space="preserve">International Journal of Environmental Research and Public Health</w:t>
      </w:r>
      <w:r w:rsidDel="00000000" w:rsidR="00000000" w:rsidRPr="00000000">
        <w:rPr>
          <w:rFonts w:ascii="Arial" w:cs="Arial" w:eastAsia="Arial" w:hAnsi="Arial"/>
          <w:rtl w:val="0"/>
        </w:rPr>
        <w:t xml:space="preserve">, 19(17), 10956. Available at:</w:t>
      </w:r>
      <w:hyperlink r:id="rId12">
        <w:r w:rsidDel="00000000" w:rsidR="00000000" w:rsidRPr="00000000">
          <w:rPr>
            <w:rFonts w:ascii="Arial" w:cs="Arial" w:eastAsia="Arial" w:hAnsi="Arial"/>
            <w:rtl w:val="0"/>
          </w:rPr>
          <w:t xml:space="preserve"> </w:t>
        </w:r>
      </w:hyperlink>
      <w:hyperlink r:id="rId13">
        <w:r w:rsidDel="00000000" w:rsidR="00000000" w:rsidRPr="00000000">
          <w:rPr>
            <w:rFonts w:ascii="Arial" w:cs="Arial" w:eastAsia="Arial" w:hAnsi="Arial"/>
            <w:color w:val="1155cc"/>
            <w:u w:val="single"/>
            <w:rtl w:val="0"/>
          </w:rPr>
          <w:t xml:space="preserve">https://www.mdpi.com/1660-4601/19/17/10956</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2">
      <w:pPr>
        <w:spacing w:after="0" w:line="360" w:lineRule="auto"/>
        <w:jc w:val="both"/>
        <w:rPr>
          <w:rFonts w:ascii="Arial" w:cs="Arial" w:eastAsia="Arial" w:hAnsi="Arial"/>
        </w:rPr>
      </w:pPr>
      <w:r w:rsidDel="00000000" w:rsidR="00000000" w:rsidRPr="00000000">
        <w:rPr>
          <w:rFonts w:ascii="Arial" w:cs="Arial" w:eastAsia="Arial" w:hAnsi="Arial"/>
          <w:rtl w:val="0"/>
        </w:rPr>
        <w:t xml:space="preserve">Ingebrand, E., Samuelsson, C. and Hydén, L.-C. (2022) 'People living with dementia collaborating in a joint activity', </w:t>
      </w:r>
      <w:r w:rsidDel="00000000" w:rsidR="00000000" w:rsidRPr="00000000">
        <w:rPr>
          <w:rFonts w:ascii="Arial" w:cs="Arial" w:eastAsia="Arial" w:hAnsi="Arial"/>
          <w:i w:val="1"/>
          <w:iCs w:val="1"/>
          <w:rtl w:val="0"/>
        </w:rPr>
        <w:t xml:space="preserve">Learning, Culture and Social Interaction</w:t>
      </w:r>
      <w:r w:rsidDel="00000000" w:rsidR="00000000" w:rsidRPr="00000000">
        <w:rPr>
          <w:rFonts w:ascii="Arial" w:cs="Arial" w:eastAsia="Arial" w:hAnsi="Arial"/>
          <w:rtl w:val="0"/>
        </w:rPr>
        <w:t xml:space="preserve">, 34, 100629. Available at:</w:t>
      </w:r>
      <w:hyperlink r:id="rId14">
        <w:r w:rsidDel="00000000" w:rsidR="00000000" w:rsidRPr="00000000">
          <w:rPr>
            <w:rFonts w:ascii="Arial" w:cs="Arial" w:eastAsia="Arial" w:hAnsi="Arial"/>
            <w:rtl w:val="0"/>
          </w:rPr>
          <w:t xml:space="preserve"> </w:t>
        </w:r>
      </w:hyperlink>
      <w:hyperlink r:id="rId15">
        <w:r w:rsidDel="00000000" w:rsidR="00000000" w:rsidRPr="00000000">
          <w:rPr>
            <w:rFonts w:ascii="Arial" w:cs="Arial" w:eastAsia="Arial" w:hAnsi="Arial"/>
            <w:color w:val="1155cc"/>
            <w:u w:val="single"/>
            <w:rtl w:val="0"/>
          </w:rPr>
          <w:t xml:space="preserve">https://www.sciencedirect.com/science/article/pii/S2210656122000307</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3">
      <w:pPr>
        <w:spacing w:after="0" w:line="360" w:lineRule="auto"/>
        <w:jc w:val="both"/>
        <w:rPr>
          <w:rFonts w:ascii="Arial" w:cs="Arial" w:eastAsia="Arial" w:hAnsi="Arial"/>
        </w:rPr>
      </w:pPr>
      <w:r w:rsidDel="00000000" w:rsidR="00000000" w:rsidRPr="00000000">
        <w:rPr>
          <w:rFonts w:ascii="Arial" w:cs="Arial" w:eastAsia="Arial" w:hAnsi="Arial"/>
          <w:rtl w:val="0"/>
        </w:rPr>
        <w:t xml:space="preserve">NHS England (2024) </w:t>
      </w:r>
      <w:r w:rsidDel="00000000" w:rsidR="00000000" w:rsidRPr="00000000">
        <w:rPr>
          <w:rFonts w:ascii="Arial" w:cs="Arial" w:eastAsia="Arial" w:hAnsi="Arial"/>
          <w:i w:val="1"/>
          <w:iCs w:val="1"/>
          <w:rtl w:val="0"/>
        </w:rPr>
        <w:t xml:space="preserve">NHS Long Term Workforce Plan</w:t>
      </w:r>
      <w:r w:rsidDel="00000000" w:rsidR="00000000" w:rsidRPr="00000000">
        <w:rPr>
          <w:rFonts w:ascii="Arial" w:cs="Arial" w:eastAsia="Arial" w:hAnsi="Arial"/>
          <w:rtl w:val="0"/>
        </w:rPr>
        <w:t xml:space="preserve">. London: NHS England. Available at:</w:t>
      </w:r>
      <w:hyperlink r:id="rId16">
        <w:r w:rsidDel="00000000" w:rsidR="00000000" w:rsidRPr="00000000">
          <w:rPr>
            <w:rFonts w:ascii="Arial" w:cs="Arial" w:eastAsia="Arial" w:hAnsi="Arial"/>
            <w:rtl w:val="0"/>
          </w:rPr>
          <w:t xml:space="preserve"> </w:t>
        </w:r>
      </w:hyperlink>
      <w:hyperlink r:id="rId17">
        <w:r w:rsidDel="00000000" w:rsidR="00000000" w:rsidRPr="00000000">
          <w:rPr>
            <w:rFonts w:ascii="Arial" w:cs="Arial" w:eastAsia="Arial" w:hAnsi="Arial"/>
            <w:color w:val="1155cc"/>
            <w:u w:val="single"/>
            <w:rtl w:val="0"/>
          </w:rPr>
          <w:t xml:space="preserve">https://www.england.nhs.uk/long-read/nhs-long-term-workforce-plan/</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4">
      <w:pPr>
        <w:spacing w:after="0" w:line="360" w:lineRule="auto"/>
        <w:jc w:val="both"/>
        <w:rPr>
          <w:rFonts w:ascii="Arial" w:cs="Arial" w:eastAsia="Arial" w:hAnsi="Arial"/>
        </w:rPr>
      </w:pPr>
      <w:r w:rsidDel="00000000" w:rsidR="00000000" w:rsidRPr="00000000">
        <w:rPr>
          <w:rFonts w:ascii="Arial" w:cs="Arial" w:eastAsia="Arial" w:hAnsi="Arial"/>
          <w:rtl w:val="0"/>
        </w:rPr>
        <w:t xml:space="preserve">NICE (2022) </w:t>
      </w:r>
      <w:r w:rsidDel="00000000" w:rsidR="00000000" w:rsidRPr="00000000">
        <w:rPr>
          <w:rFonts w:ascii="Arial" w:cs="Arial" w:eastAsia="Arial" w:hAnsi="Arial"/>
          <w:i w:val="1"/>
          <w:iCs w:val="1"/>
          <w:rtl w:val="0"/>
        </w:rPr>
        <w:t xml:space="preserve">Home Care: Delivering Personal Care and Practical Support to Older People Living in Their Own Homes (NG21)</w:t>
      </w:r>
      <w:r w:rsidDel="00000000" w:rsidR="00000000" w:rsidRPr="00000000">
        <w:rPr>
          <w:rFonts w:ascii="Arial" w:cs="Arial" w:eastAsia="Arial" w:hAnsi="Arial"/>
          <w:rtl w:val="0"/>
        </w:rPr>
        <w:t xml:space="preserve">. London: NICE. Available at:</w:t>
      </w:r>
      <w:hyperlink r:id="rId18">
        <w:r w:rsidDel="00000000" w:rsidR="00000000" w:rsidRPr="00000000">
          <w:rPr>
            <w:rFonts w:ascii="Arial" w:cs="Arial" w:eastAsia="Arial" w:hAnsi="Arial"/>
            <w:rtl w:val="0"/>
          </w:rPr>
          <w:t xml:space="preserve"> </w:t>
        </w:r>
      </w:hyperlink>
      <w:hyperlink r:id="rId19">
        <w:r w:rsidDel="00000000" w:rsidR="00000000" w:rsidRPr="00000000">
          <w:rPr>
            <w:rFonts w:ascii="Arial" w:cs="Arial" w:eastAsia="Arial" w:hAnsi="Arial"/>
            <w:color w:val="1155cc"/>
            <w:u w:val="single"/>
            <w:rtl w:val="0"/>
          </w:rPr>
          <w:t xml:space="preserve">https://www.nice.org.uk/guidance/ng21</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5">
      <w:pPr>
        <w:spacing w:after="0" w:line="360" w:lineRule="auto"/>
        <w:jc w:val="both"/>
        <w:rPr>
          <w:rFonts w:ascii="Arial" w:cs="Arial" w:eastAsia="Arial" w:hAnsi="Arial"/>
        </w:rPr>
      </w:pPr>
      <w:r w:rsidDel="00000000" w:rsidR="00000000" w:rsidRPr="00000000">
        <w:rPr>
          <w:rFonts w:ascii="Arial" w:cs="Arial" w:eastAsia="Arial" w:hAnsi="Arial"/>
          <w:rtl w:val="0"/>
        </w:rPr>
        <w:t xml:space="preserve">Office for National Statistics (2024) </w:t>
      </w:r>
      <w:r w:rsidDel="00000000" w:rsidR="00000000" w:rsidRPr="00000000">
        <w:rPr>
          <w:rFonts w:ascii="Arial" w:cs="Arial" w:eastAsia="Arial" w:hAnsi="Arial"/>
          <w:i w:val="1"/>
          <w:iCs w:val="1"/>
          <w:rtl w:val="0"/>
        </w:rPr>
        <w:t xml:space="preserve">Living Longer: Older People in the UK</w:t>
      </w:r>
      <w:r w:rsidDel="00000000" w:rsidR="00000000" w:rsidRPr="00000000">
        <w:rPr>
          <w:rFonts w:ascii="Arial" w:cs="Arial" w:eastAsia="Arial" w:hAnsi="Arial"/>
          <w:rtl w:val="0"/>
        </w:rPr>
        <w:t xml:space="preserve">. Newport: ONS. Available at:</w:t>
      </w:r>
      <w:hyperlink r:id="rId20">
        <w:r w:rsidDel="00000000" w:rsidR="00000000" w:rsidRPr="00000000">
          <w:rPr>
            <w:rFonts w:ascii="Arial" w:cs="Arial" w:eastAsia="Arial" w:hAnsi="Arial"/>
            <w:rtl w:val="0"/>
          </w:rPr>
          <w:t xml:space="preserve"> </w:t>
        </w:r>
      </w:hyperlink>
      <w:hyperlink r:id="rId21">
        <w:r w:rsidDel="00000000" w:rsidR="00000000" w:rsidRPr="00000000">
          <w:rPr>
            <w:rFonts w:ascii="Arial" w:cs="Arial" w:eastAsia="Arial" w:hAnsi="Arial"/>
            <w:color w:val="1155cc"/>
            <w:u w:val="single"/>
            <w:rtl w:val="0"/>
          </w:rPr>
          <w:t xml:space="preserve">https://www.ons.gov.uk/peoplepopulationandcommunity/birthsdeathsandmarriages/ageing</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6">
      <w:pPr>
        <w:spacing w:after="0" w:line="360" w:lineRule="auto"/>
        <w:jc w:val="both"/>
        <w:rPr>
          <w:rFonts w:ascii="Arial" w:cs="Arial" w:eastAsia="Arial" w:hAnsi="Arial"/>
        </w:rPr>
      </w:pPr>
      <w:r w:rsidDel="00000000" w:rsidR="00000000" w:rsidRPr="00000000">
        <w:rPr>
          <w:rFonts w:ascii="Arial" w:cs="Arial" w:eastAsia="Arial" w:hAnsi="Arial"/>
          <w:rtl w:val="0"/>
        </w:rPr>
        <w:t xml:space="preserve">Sheth, S.A.M. and Wald, C. (2022) 'Simple interventions can greatly improve clinical documentation: A quality improvement project of record keeping on the legal aspect of dementia at memory service', </w:t>
      </w:r>
      <w:r w:rsidDel="00000000" w:rsidR="00000000" w:rsidRPr="00000000">
        <w:rPr>
          <w:rFonts w:ascii="Arial" w:cs="Arial" w:eastAsia="Arial" w:hAnsi="Arial"/>
          <w:i w:val="1"/>
          <w:iCs w:val="1"/>
          <w:rtl w:val="0"/>
        </w:rPr>
        <w:t xml:space="preserve">BJPsych Open</w:t>
      </w:r>
      <w:r w:rsidDel="00000000" w:rsidR="00000000" w:rsidRPr="00000000">
        <w:rPr>
          <w:rFonts w:ascii="Arial" w:cs="Arial" w:eastAsia="Arial" w:hAnsi="Arial"/>
          <w:rtl w:val="0"/>
        </w:rPr>
        <w:t xml:space="preserve">, 8(S1), p. S113. Available at:</w:t>
      </w:r>
      <w:hyperlink r:id="rId22">
        <w:r w:rsidDel="00000000" w:rsidR="00000000" w:rsidRPr="00000000">
          <w:rPr>
            <w:rFonts w:ascii="Arial" w:cs="Arial" w:eastAsia="Arial" w:hAnsi="Arial"/>
            <w:rtl w:val="0"/>
          </w:rPr>
          <w:t xml:space="preserve"> </w:t>
        </w:r>
      </w:hyperlink>
      <w:hyperlink r:id="rId23">
        <w:r w:rsidDel="00000000" w:rsidR="00000000" w:rsidRPr="00000000">
          <w:rPr>
            <w:rFonts w:ascii="Arial" w:cs="Arial" w:eastAsia="Arial" w:hAnsi="Arial"/>
            <w:color w:val="1155cc"/>
            <w:u w:val="single"/>
            <w:rtl w:val="0"/>
          </w:rPr>
          <w:t xml:space="preserve">https://www.cambridge.org/core/journals/bjpsych-open/article/simple-interventions-can-greatly-improve-clinical-documentation-a-quality-improvement-project-of-record-keeping-on-the-legal-aspect-of-dementia-at-memory-service/D56C03D29B78338D258BE3C1A9AFA674</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7">
      <w:pPr>
        <w:spacing w:after="0" w:line="360" w:lineRule="auto"/>
        <w:jc w:val="both"/>
        <w:rPr>
          <w:rFonts w:ascii="Arial" w:cs="Arial" w:eastAsia="Arial" w:hAnsi="Arial"/>
        </w:rPr>
      </w:pPr>
      <w:r w:rsidDel="00000000" w:rsidR="00000000" w:rsidRPr="00000000">
        <w:rPr>
          <w:rFonts w:ascii="Arial" w:cs="Arial" w:eastAsia="Arial" w:hAnsi="Arial"/>
          <w:rtl w:val="0"/>
        </w:rPr>
        <w:t xml:space="preserve">Slocombe, F., Peel, E., Pilnick, A. and Albert, S. (2022) 'Keeping the conversation going: How progressivity is prioritised in co-remembering talk between couples impacted by dementia', </w:t>
      </w:r>
      <w:r w:rsidDel="00000000" w:rsidR="00000000" w:rsidRPr="00000000">
        <w:rPr>
          <w:rFonts w:ascii="Arial" w:cs="Arial" w:eastAsia="Arial" w:hAnsi="Arial"/>
          <w:i w:val="1"/>
          <w:iCs w:val="1"/>
          <w:rtl w:val="0"/>
        </w:rPr>
        <w:t xml:space="preserve">Health</w:t>
      </w:r>
      <w:r w:rsidDel="00000000" w:rsidR="00000000" w:rsidRPr="00000000">
        <w:rPr>
          <w:rFonts w:ascii="Arial" w:cs="Arial" w:eastAsia="Arial" w:hAnsi="Arial"/>
          <w:rtl w:val="0"/>
        </w:rPr>
        <w:t xml:space="preserve">, 28(2), pp. 272–289. Available at:</w:t>
      </w:r>
      <w:hyperlink r:id="rId24">
        <w:r w:rsidDel="00000000" w:rsidR="00000000" w:rsidRPr="00000000">
          <w:rPr>
            <w:rFonts w:ascii="Arial" w:cs="Arial" w:eastAsia="Arial" w:hAnsi="Arial"/>
            <w:rtl w:val="0"/>
          </w:rPr>
          <w:t xml:space="preserve"> </w:t>
        </w:r>
      </w:hyperlink>
      <w:hyperlink r:id="rId25">
        <w:r w:rsidDel="00000000" w:rsidR="00000000" w:rsidRPr="00000000">
          <w:rPr>
            <w:rFonts w:ascii="Arial" w:cs="Arial" w:eastAsia="Arial" w:hAnsi="Arial"/>
            <w:color w:val="1155cc"/>
            <w:u w:val="single"/>
            <w:rtl w:val="0"/>
          </w:rPr>
          <w:t xml:space="preserve">https://pmc.ncbi.nlm.nih.gov/articles/PMC10900852/</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8">
      <w:pPr>
        <w:spacing w:after="0" w:line="360" w:lineRule="auto"/>
        <w:jc w:val="both"/>
        <w:rPr>
          <w:rFonts w:ascii="Arial" w:cs="Arial" w:eastAsia="Arial" w:hAnsi="Arial"/>
        </w:rPr>
      </w:pPr>
      <w:r w:rsidDel="00000000" w:rsidR="00000000" w:rsidRPr="00000000">
        <w:rPr>
          <w:rFonts w:ascii="Arial" w:cs="Arial" w:eastAsia="Arial" w:hAnsi="Arial"/>
          <w:rtl w:val="0"/>
        </w:rPr>
        <w:t xml:space="preserve">UK Government (2024) </w:t>
      </w:r>
      <w:r w:rsidDel="00000000" w:rsidR="00000000" w:rsidRPr="00000000">
        <w:rPr>
          <w:rFonts w:ascii="Arial" w:cs="Arial" w:eastAsia="Arial" w:hAnsi="Arial"/>
          <w:i w:val="1"/>
          <w:iCs w:val="1"/>
          <w:rtl w:val="0"/>
        </w:rPr>
        <w:t xml:space="preserve">UK General Data Protection Regulation (UK GDPR) Guidance</w:t>
      </w:r>
      <w:r w:rsidDel="00000000" w:rsidR="00000000" w:rsidRPr="00000000">
        <w:rPr>
          <w:rFonts w:ascii="Arial" w:cs="Arial" w:eastAsia="Arial" w:hAnsi="Arial"/>
          <w:rtl w:val="0"/>
        </w:rPr>
        <w:t xml:space="preserve">. London: Information Commissioner's Office. Available at:</w:t>
      </w:r>
      <w:hyperlink r:id="rId26">
        <w:r w:rsidDel="00000000" w:rsidR="00000000" w:rsidRPr="00000000">
          <w:rPr>
            <w:rFonts w:ascii="Arial" w:cs="Arial" w:eastAsia="Arial" w:hAnsi="Arial"/>
            <w:rtl w:val="0"/>
          </w:rPr>
          <w:t xml:space="preserve"> </w:t>
        </w:r>
      </w:hyperlink>
      <w:hyperlink r:id="rId27">
        <w:r w:rsidDel="00000000" w:rsidR="00000000" w:rsidRPr="00000000">
          <w:rPr>
            <w:rFonts w:ascii="Arial" w:cs="Arial" w:eastAsia="Arial" w:hAnsi="Arial"/>
            <w:color w:val="1155cc"/>
            <w:u w:val="single"/>
            <w:rtl w:val="0"/>
          </w:rPr>
          <w:t xml:space="preserve">https://ico.org.uk/for-organisations/uk-gdpr-guidance-and-resources/</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9">
      <w:pPr>
        <w:spacing w:after="0" w:line="360" w:lineRule="auto"/>
        <w:jc w:val="both"/>
        <w:rPr>
          <w:rFonts w:ascii="Arial" w:cs="Arial" w:eastAsia="Arial" w:hAnsi="Arial"/>
        </w:rPr>
      </w:pPr>
      <w:r w:rsidDel="00000000" w:rsidR="00000000" w:rsidRPr="00000000">
        <w:rPr>
          <w:rFonts w:ascii="Arial" w:cs="Arial" w:eastAsia="Arial" w:hAnsi="Arial"/>
          <w:rtl w:val="0"/>
        </w:rPr>
        <w:t xml:space="preserve">World Health Organization (2023) </w:t>
      </w:r>
      <w:r w:rsidDel="00000000" w:rsidR="00000000" w:rsidRPr="00000000">
        <w:rPr>
          <w:rFonts w:ascii="Arial" w:cs="Arial" w:eastAsia="Arial" w:hAnsi="Arial"/>
          <w:i w:val="1"/>
          <w:iCs w:val="1"/>
          <w:rtl w:val="0"/>
        </w:rPr>
        <w:t xml:space="preserve">Global Status Report on the Public Health Response to Dementia</w:t>
      </w:r>
      <w:r w:rsidDel="00000000" w:rsidR="00000000" w:rsidRPr="00000000">
        <w:rPr>
          <w:rFonts w:ascii="Arial" w:cs="Arial" w:eastAsia="Arial" w:hAnsi="Arial"/>
          <w:rtl w:val="0"/>
        </w:rPr>
        <w:t xml:space="preserve">. Geneva: World Health Organization. Available at: </w:t>
      </w:r>
      <w:hyperlink r:id="rId28">
        <w:r w:rsidDel="00000000" w:rsidR="00000000" w:rsidRPr="00000000">
          <w:rPr>
            <w:rFonts w:ascii="Arial" w:cs="Arial" w:eastAsia="Arial" w:hAnsi="Arial"/>
            <w:color w:val="1155cc"/>
            <w:u w:val="single"/>
            <w:rtl w:val="0"/>
          </w:rPr>
          <w:t xml:space="preserve">https://www.who.int/publications/i/item/9789240082371</w:t>
        </w:r>
      </w:hyperlink>
      <w:r w:rsidDel="00000000" w:rsidR="00000000" w:rsidRPr="00000000">
        <w:rPr>
          <w:rFonts w:ascii="Arial" w:cs="Arial" w:eastAsia="Arial" w:hAnsi="Arial"/>
          <w:rtl w:val="0"/>
        </w:rPr>
        <w:t xml:space="preserve">  (Accessed: 1 August 2026).</w:t>
      </w:r>
    </w:p>
    <w:p w:rsidR="00000000" w:rsidDel="00000000" w:rsidP="00000000" w:rsidRDefault="00000000" w:rsidRPr="00000000" w14:paraId="0000002A">
      <w:pPr>
        <w:tabs>
          <w:tab w:val="left" w:leader="none" w:pos="1080"/>
        </w:tabs>
        <w:rPr/>
      </w:pPr>
      <w:r w:rsidDel="00000000" w:rsidR="00000000" w:rsidRPr="00000000">
        <w:rPr>
          <w:rtl w:val="0"/>
        </w:rPr>
      </w:r>
    </w:p>
    <w:sectPr>
      <w:headerReference r:id="rId29" w:type="first"/>
      <w:footerReference r:id="rId30" w:type="default"/>
      <w:footerReference r:id="rId31" w:type="first"/>
      <w:footerReference r:id="rId32" w:type="even"/>
      <w:pgSz w:h="16838" w:w="11906" w:orient="portrait"/>
      <w:pgMar w:bottom="1440" w:top="1135"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mic Sans MS"/>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513"/>
        <w:tab w:val="right" w:leader="none" w:pos="9026"/>
      </w:tabs>
      <w:ind w:right="36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center" w:leader="none" w:pos="4513"/>
        <w:tab w:val="right" w:leader="none" w:pos="9026"/>
      </w:tabs>
      <w:jc w:val="right"/>
      <w:rPr>
        <w:rFonts w:ascii="Arial" w:cs="Arial" w:eastAsia="Arial" w:hAnsi="Arial"/>
        <w:color w:val="000000"/>
      </w:rPr>
    </w:pPr>
    <w:r w:rsidDel="00000000" w:rsidR="00000000" w:rsidRPr="00000000">
      <w:rPr>
        <w:rFonts w:ascii="Arial" w:cs="Arial" w:eastAsia="Arial" w:hAnsi="Arial"/>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F">
    <w:pPr>
      <w:pBdr>
        <w:top w:color="622423" w:space="1" w:sz="24" w:val="single"/>
        <w:left w:space="0" w:sz="0" w:val="nil"/>
        <w:bottom w:space="0" w:sz="0" w:val="nil"/>
        <w:right w:space="0" w:sz="0" w:val="nil"/>
        <w:between w:space="0" w:sz="0" w:val="nil"/>
      </w:pBdr>
      <w:tabs>
        <w:tab w:val="center" w:leader="none" w:pos="4513"/>
        <w:tab w:val="right" w:leader="none" w:pos="9026"/>
      </w:tabs>
      <w:ind w:right="360"/>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30">
    <w:pPr>
      <w:pBdr>
        <w:top w:color="622423" w:space="1" w:sz="24" w:val="single"/>
        <w:left w:space="0" w:sz="0" w:val="nil"/>
        <w:bottom w:space="0" w:sz="0" w:val="nil"/>
        <w:right w:space="0" w:sz="0" w:val="nil"/>
        <w:between w:space="0" w:sz="0" w:val="nil"/>
      </w:pBdr>
      <w:tabs>
        <w:tab w:val="center" w:leader="none" w:pos="4513"/>
        <w:tab w:val="right" w:leader="none" w:pos="9026"/>
      </w:tabs>
      <w:ind w:right="360"/>
      <w:rPr>
        <w:b w:val="1"/>
        <w:bCs w:val="1"/>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513"/>
        <w:tab w:val="right" w:leader="none" w:pos="9026"/>
      </w:tabs>
      <w:rPr>
        <w:b w:val="1"/>
        <w:bCs w:val="1"/>
        <w:color w:val="000000"/>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tabs>
        <w:tab w:val="left" w:leader="none" w:pos="1080"/>
      </w:tabs>
      <w:spacing w:after="80" w:before="280" w:line="360" w:lineRule="auto"/>
      <w:jc w:val="both"/>
    </w:pPr>
    <w:rPr>
      <w:rFonts w:ascii="Arial" w:cs="Arial" w:eastAsia="Arial" w:hAnsi="Arial"/>
      <w:b w:val="1"/>
      <w:bCs w:val="1"/>
      <w:sz w:val="26"/>
      <w:szCs w:val="26"/>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ons.gov.uk/peoplepopulationandcommunity/birthsdeathsandmarriages/ageing" TargetMode="External"/><Relationship Id="rId22" Type="http://schemas.openxmlformats.org/officeDocument/2006/relationships/hyperlink" Target="https://www.cambridge.org/core/journals/bjpsych-open/article/simple-interventions-can-greatly-improve-clinical-documentation-a-quality-improvement-project-of-record-keeping-on-the-legal-aspect-of-dementia-at-memory-service/D56C03D29B78338D258BE3C1A9AFA674" TargetMode="External"/><Relationship Id="rId21" Type="http://schemas.openxmlformats.org/officeDocument/2006/relationships/hyperlink" Target="https://www.ons.gov.uk/peoplepopulationandcommunity/birthsdeathsandmarriages/ageing" TargetMode="External"/><Relationship Id="rId24" Type="http://schemas.openxmlformats.org/officeDocument/2006/relationships/hyperlink" Target="https://pmc.ncbi.nlm.nih.gov/articles/PMC10900852/" TargetMode="External"/><Relationship Id="rId23" Type="http://schemas.openxmlformats.org/officeDocument/2006/relationships/hyperlink" Target="https://www.cambridge.org/core/journals/bjpsych-open/article/simple-interventions-can-greatly-improve-clinical-documentation-a-quality-improvement-project-of-record-keeping-on-the-legal-aspect-of-dementia-at-memory-service/D56C03D29B78338D258BE3C1A9AFA67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qc.org.uk/guidance-providers/regulations-enforcement/regulations-service-providers-managers" TargetMode="External"/><Relationship Id="rId26" Type="http://schemas.openxmlformats.org/officeDocument/2006/relationships/hyperlink" Target="https://ico.org.uk/for-organisations/uk-gdpr-guidance-and-resources/" TargetMode="External"/><Relationship Id="rId25" Type="http://schemas.openxmlformats.org/officeDocument/2006/relationships/hyperlink" Target="https://pmc.ncbi.nlm.nih.gov/articles/PMC10900852/" TargetMode="External"/><Relationship Id="rId28" Type="http://schemas.openxmlformats.org/officeDocument/2006/relationships/hyperlink" Target="https://www.who.int/publications/i/item/9789240082371" TargetMode="External"/><Relationship Id="rId27" Type="http://schemas.openxmlformats.org/officeDocument/2006/relationships/hyperlink" Target="https://ico.org.uk/for-organisations/uk-gdpr-guidance-and-resource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1.xml"/><Relationship Id="rId7" Type="http://schemas.openxmlformats.org/officeDocument/2006/relationships/image" Target="media/image1.png"/><Relationship Id="rId8" Type="http://schemas.openxmlformats.org/officeDocument/2006/relationships/hyperlink" Target="https://www.cqc.org.uk/guidance-providers/regulations-enforcement/regulations-service-providers-managers" TargetMode="External"/><Relationship Id="rId31" Type="http://schemas.openxmlformats.org/officeDocument/2006/relationships/footer" Target="footer3.xml"/><Relationship Id="rId30" Type="http://schemas.openxmlformats.org/officeDocument/2006/relationships/footer" Target="footer2.xml"/><Relationship Id="rId11" Type="http://schemas.openxmlformats.org/officeDocument/2006/relationships/hyperlink" Target="https://pubmed.ncbi.nlm.nih.gov/35156412/" TargetMode="External"/><Relationship Id="rId10" Type="http://schemas.openxmlformats.org/officeDocument/2006/relationships/hyperlink" Target="https://pubmed.ncbi.nlm.nih.gov/35156412/" TargetMode="External"/><Relationship Id="rId32" Type="http://schemas.openxmlformats.org/officeDocument/2006/relationships/footer" Target="footer1.xml"/><Relationship Id="rId13" Type="http://schemas.openxmlformats.org/officeDocument/2006/relationships/hyperlink" Target="https://www.mdpi.com/1660-4601/19/17/10956" TargetMode="External"/><Relationship Id="rId12" Type="http://schemas.openxmlformats.org/officeDocument/2006/relationships/hyperlink" Target="https://www.mdpi.com/1660-4601/19/17/10956" TargetMode="External"/><Relationship Id="rId15" Type="http://schemas.openxmlformats.org/officeDocument/2006/relationships/hyperlink" Target="https://www.sciencedirect.com/science/article/pii/S2210656122000307" TargetMode="External"/><Relationship Id="rId14" Type="http://schemas.openxmlformats.org/officeDocument/2006/relationships/hyperlink" Target="https://www.sciencedirect.com/science/article/pii/S2210656122000307" TargetMode="External"/><Relationship Id="rId17" Type="http://schemas.openxmlformats.org/officeDocument/2006/relationships/hyperlink" Target="https://www.england.nhs.uk/long-read/nhs-long-term-workforce-plan/" TargetMode="External"/><Relationship Id="rId16" Type="http://schemas.openxmlformats.org/officeDocument/2006/relationships/hyperlink" Target="https://www.england.nhs.uk/long-read/nhs-long-term-workforce-plan/" TargetMode="External"/><Relationship Id="rId19" Type="http://schemas.openxmlformats.org/officeDocument/2006/relationships/hyperlink" Target="https://www.nice.org.uk/guidance/ng21" TargetMode="External"/><Relationship Id="rId18" Type="http://schemas.openxmlformats.org/officeDocument/2006/relationships/hyperlink" Target="https://www.nice.org.uk/guidance/n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Z3qfjY962wn1eO7RPpyeytrWRw==">CgMxLjAyDmgudTlydXExM3o2NmF5Mg5oLnV2NzBmYjI0YmdkbDIOaC5yZThyZnZ2NjRsMjcyDmgueG96YTg4N2Q3OHVuMg5oLjIzYXY3cnlkbWY3azIOaC5mMXV1YnVnbWE3aXgyDmguY29tdmkybG9mZmRoOAByITFWYjRuNkdqZkx0MklkejVUcVFaYnI5dWE2ai1pQ2pOaA==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