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16436935"/>
        <w:docPartObj>
          <w:docPartGallery w:val="Cover Pages"/>
          <w:docPartUnique/>
        </w:docPartObj>
      </w:sdtPr>
      <w:sdtContent>
        <w:p w14:paraId="708ADCD8" w14:textId="51543BBE" w:rsidR="00D11D34" w:rsidRDefault="00D11D34">
          <w:r>
            <w:rPr>
              <w:noProof/>
            </w:rPr>
            <mc:AlternateContent>
              <mc:Choice Requires="wpg">
                <w:drawing>
                  <wp:anchor distT="0" distB="0" distL="114300" distR="114300" simplePos="0" relativeHeight="251662336" behindDoc="0" locked="0" layoutInCell="1" allowOverlap="1" wp14:anchorId="1A474BA6" wp14:editId="3C2DD87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6FB1E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5D68A80" wp14:editId="528C23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C07F23" w14:textId="3B6D676B" w:rsidR="00D11D34" w:rsidRDefault="00D11D34">
                                    <w:pPr>
                                      <w:pStyle w:val="NoSpacing"/>
                                      <w:jc w:val="right"/>
                                      <w:rPr>
                                        <w:color w:val="595959" w:themeColor="text1" w:themeTint="A6"/>
                                        <w:sz w:val="28"/>
                                        <w:szCs w:val="28"/>
                                      </w:rPr>
                                    </w:pPr>
                                    <w:r>
                                      <w:rPr>
                                        <w:color w:val="595959" w:themeColor="text1" w:themeTint="A6"/>
                                        <w:sz w:val="28"/>
                                        <w:szCs w:val="28"/>
                                      </w:rPr>
                                      <w:t>Smy, Matthew</w:t>
                                    </w:r>
                                  </w:p>
                                </w:sdtContent>
                              </w:sdt>
                              <w:p w14:paraId="75DA5DB8" w14:textId="155B50F3" w:rsidR="00D11D3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11D34">
                                      <w:rPr>
                                        <w:color w:val="595959" w:themeColor="text1" w:themeTint="A6"/>
                                        <w:sz w:val="18"/>
                                        <w:szCs w:val="18"/>
                                      </w:rPr>
                                      <w:t>Matthew.Smy@suffolk.police.uk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5D68A80"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AC07F23" w14:textId="3B6D676B" w:rsidR="00D11D34" w:rsidRDefault="00D11D34">
                              <w:pPr>
                                <w:pStyle w:val="NoSpacing"/>
                                <w:jc w:val="right"/>
                                <w:rPr>
                                  <w:color w:val="595959" w:themeColor="text1" w:themeTint="A6"/>
                                  <w:sz w:val="28"/>
                                  <w:szCs w:val="28"/>
                                </w:rPr>
                              </w:pPr>
                              <w:r>
                                <w:rPr>
                                  <w:color w:val="595959" w:themeColor="text1" w:themeTint="A6"/>
                                  <w:sz w:val="28"/>
                                  <w:szCs w:val="28"/>
                                </w:rPr>
                                <w:t>Smy, Matthew</w:t>
                              </w:r>
                            </w:p>
                          </w:sdtContent>
                        </w:sdt>
                        <w:p w14:paraId="75DA5DB8" w14:textId="155B50F3" w:rsidR="00D11D34" w:rsidRDefault="003157D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11D34">
                                <w:rPr>
                                  <w:color w:val="595959" w:themeColor="text1" w:themeTint="A6"/>
                                  <w:sz w:val="18"/>
                                  <w:szCs w:val="18"/>
                                </w:rPr>
                                <w:t>Matthew.Smy@suffolk.police.uk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4DED50D" wp14:editId="2784C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52D35" w14:textId="08591FED" w:rsidR="00D11D34" w:rsidRPr="00BE60BB"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60BB" w:rsidRPr="00BE60BB">
                                      <w:rPr>
                                        <w:caps/>
                                        <w:color w:val="156082" w:themeColor="accent1"/>
                                        <w:sz w:val="48"/>
                                        <w:szCs w:val="48"/>
                                      </w:rPr>
                                      <w:t xml:space="preserve">Serious and </w:t>
                                    </w:r>
                                    <w:r w:rsidR="00D11D34" w:rsidRPr="00BE60BB">
                                      <w:rPr>
                                        <w:caps/>
                                        <w:color w:val="156082" w:themeColor="accent1"/>
                                        <w:sz w:val="48"/>
                                        <w:szCs w:val="48"/>
                                      </w:rPr>
                                      <w:t>Organised</w:t>
                                    </w:r>
                                    <w:r w:rsidR="00BE60BB" w:rsidRPr="00BE60BB">
                                      <w:rPr>
                                        <w:caps/>
                                        <w:color w:val="156082" w:themeColor="accent1"/>
                                        <w:sz w:val="48"/>
                                        <w:szCs w:val="48"/>
                                      </w:rPr>
                                      <w:t xml:space="preserve"> </w:t>
                                    </w:r>
                                    <w:r w:rsidR="00D11D34" w:rsidRPr="00BE60BB">
                                      <w:rPr>
                                        <w:caps/>
                                        <w:color w:val="156082" w:themeColor="accent1"/>
                                        <w:sz w:val="48"/>
                                        <w:szCs w:val="48"/>
                                      </w:rPr>
                                      <w:t>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842E48" w14:textId="560A292D" w:rsidR="00D11D34" w:rsidRDefault="00D11D34">
                                    <w:pPr>
                                      <w:jc w:val="right"/>
                                      <w:rPr>
                                        <w:smallCaps/>
                                        <w:color w:val="404040" w:themeColor="text1" w:themeTint="BF"/>
                                        <w:sz w:val="36"/>
                                        <w:szCs w:val="36"/>
                                      </w:rPr>
                                    </w:pPr>
                                    <w:r>
                                      <w:rPr>
                                        <w:color w:val="404040" w:themeColor="text1" w:themeTint="BF"/>
                                        <w:sz w:val="36"/>
                                        <w:szCs w:val="36"/>
                                      </w:rPr>
                                      <w:t>A literary Review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4DED50D" id="_x0000_t202" coordsize="21600,21600" o:spt="202" path="m,l,21600r21600,l21600,xe">
                    <v:stroke joinstyle="miter"/>
                    <v:path gradientshapeok="t" o:connecttype="rect"/>
                  </v:shapetype>
                  <v:shape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1652D35" w14:textId="08591FED" w:rsidR="00D11D34" w:rsidRPr="00BE60BB" w:rsidRDefault="00000000">
                          <w:pPr>
                            <w:jc w:val="right"/>
                            <w:rPr>
                              <w:color w:val="156082" w:themeColor="accent1"/>
                              <w:sz w:val="48"/>
                              <w:szCs w:val="48"/>
                            </w:rPr>
                          </w:pPr>
                          <w:sdt>
                            <w:sdtPr>
                              <w:rPr>
                                <w:caps/>
                                <w:color w:val="156082" w:themeColor="accent1"/>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60BB" w:rsidRPr="00BE60BB">
                                <w:rPr>
                                  <w:caps/>
                                  <w:color w:val="156082" w:themeColor="accent1"/>
                                  <w:sz w:val="48"/>
                                  <w:szCs w:val="48"/>
                                </w:rPr>
                                <w:t xml:space="preserve">Serious and </w:t>
                              </w:r>
                              <w:r w:rsidR="00D11D34" w:rsidRPr="00BE60BB">
                                <w:rPr>
                                  <w:caps/>
                                  <w:color w:val="156082" w:themeColor="accent1"/>
                                  <w:sz w:val="48"/>
                                  <w:szCs w:val="48"/>
                                </w:rPr>
                                <w:t>Organised</w:t>
                              </w:r>
                              <w:r w:rsidR="00BE60BB" w:rsidRPr="00BE60BB">
                                <w:rPr>
                                  <w:caps/>
                                  <w:color w:val="156082" w:themeColor="accent1"/>
                                  <w:sz w:val="48"/>
                                  <w:szCs w:val="48"/>
                                </w:rPr>
                                <w:t xml:space="preserve"> </w:t>
                              </w:r>
                              <w:r w:rsidR="00D11D34" w:rsidRPr="00BE60BB">
                                <w:rPr>
                                  <w:caps/>
                                  <w:color w:val="156082" w:themeColor="accent1"/>
                                  <w:sz w:val="48"/>
                                  <w:szCs w:val="48"/>
                                </w:rPr>
                                <w:t>crime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1842E48" w14:textId="560A292D" w:rsidR="00D11D34" w:rsidRDefault="00D11D34">
                              <w:pPr>
                                <w:jc w:val="right"/>
                                <w:rPr>
                                  <w:smallCaps/>
                                  <w:color w:val="404040" w:themeColor="text1" w:themeTint="BF"/>
                                  <w:sz w:val="36"/>
                                  <w:szCs w:val="36"/>
                                </w:rPr>
                              </w:pPr>
                              <w:r>
                                <w:rPr>
                                  <w:color w:val="404040" w:themeColor="text1" w:themeTint="BF"/>
                                  <w:sz w:val="36"/>
                                  <w:szCs w:val="36"/>
                                </w:rPr>
                                <w:t>A literary Review</w:t>
                              </w:r>
                            </w:p>
                          </w:sdtContent>
                        </w:sdt>
                      </w:txbxContent>
                    </v:textbox>
                    <w10:wrap type="square" anchorx="page" anchory="page"/>
                  </v:shape>
                </w:pict>
              </mc:Fallback>
            </mc:AlternateContent>
          </w:r>
        </w:p>
        <w:p w14:paraId="091DBE80" w14:textId="177DB477" w:rsidR="00D11D34" w:rsidRDefault="00D11D34">
          <w:r>
            <w:br w:type="page"/>
          </w:r>
        </w:p>
      </w:sdtContent>
    </w:sdt>
    <w:p w14:paraId="4C43E6DD" w14:textId="77777777" w:rsidR="004421DC" w:rsidRDefault="004421DC"/>
    <w:p w14:paraId="504D1AEE" w14:textId="77777777" w:rsidR="00D11D34" w:rsidRDefault="00D11D34"/>
    <w:p w14:paraId="0E6D7540" w14:textId="77777777" w:rsidR="00D11D34" w:rsidRDefault="00D11D34"/>
    <w:p w14:paraId="317DDA00" w14:textId="77777777" w:rsidR="00D11D34" w:rsidRDefault="00D11D34"/>
    <w:p w14:paraId="4001691C" w14:textId="77777777" w:rsidR="00D11D34" w:rsidRDefault="00D11D34"/>
    <w:p w14:paraId="19C11C1C" w14:textId="77777777" w:rsidR="00D11D34" w:rsidRDefault="00D11D34"/>
    <w:p w14:paraId="23EA7871" w14:textId="77777777" w:rsidR="00D11D34" w:rsidRDefault="00D11D34"/>
    <w:p w14:paraId="307EA045" w14:textId="77777777" w:rsidR="00D11D34" w:rsidRDefault="00D11D34"/>
    <w:p w14:paraId="4F25D58B" w14:textId="77777777" w:rsidR="00D11D34" w:rsidRDefault="00D11D34"/>
    <w:p w14:paraId="771BC583" w14:textId="77777777" w:rsidR="00D11D34" w:rsidRDefault="00D11D34"/>
    <w:p w14:paraId="4ACC0E4A" w14:textId="77777777" w:rsidR="00D11D34" w:rsidRDefault="00D11D34"/>
    <w:p w14:paraId="55521E7F" w14:textId="77777777" w:rsidR="00D11D34" w:rsidRDefault="00D11D34"/>
    <w:p w14:paraId="3139CE94" w14:textId="77777777" w:rsidR="00D11D34" w:rsidRDefault="00D11D34"/>
    <w:p w14:paraId="2ED65B30" w14:textId="77777777" w:rsidR="00D11D34" w:rsidRDefault="00D11D34"/>
    <w:p w14:paraId="58529DE5" w14:textId="77777777" w:rsidR="00D11D34" w:rsidRDefault="00D11D34"/>
    <w:p w14:paraId="759265FD" w14:textId="77777777" w:rsidR="00D11D34" w:rsidRDefault="00D11D34"/>
    <w:p w14:paraId="49E883A1" w14:textId="77777777" w:rsidR="00D11D34" w:rsidRDefault="00D11D34"/>
    <w:p w14:paraId="608E44D6" w14:textId="77777777" w:rsidR="00D11D34" w:rsidRDefault="00D11D34"/>
    <w:p w14:paraId="392CA994" w14:textId="77777777" w:rsidR="00D11D34" w:rsidRDefault="00D11D34"/>
    <w:p w14:paraId="1BA0E04C" w14:textId="77777777" w:rsidR="00D11D34" w:rsidRDefault="00D11D34"/>
    <w:p w14:paraId="1DF89803" w14:textId="77777777" w:rsidR="00D11D34" w:rsidRDefault="00D11D34"/>
    <w:p w14:paraId="5C85B04E" w14:textId="77777777" w:rsidR="00D11D34" w:rsidRDefault="00D11D34"/>
    <w:p w14:paraId="4243A0C8" w14:textId="77777777" w:rsidR="00D11D34" w:rsidRDefault="00D11D34"/>
    <w:p w14:paraId="2B434A97" w14:textId="77777777" w:rsidR="00D11D34" w:rsidRDefault="00D11D34"/>
    <w:p w14:paraId="16DA479F" w14:textId="77777777" w:rsidR="00D11D34" w:rsidRDefault="00D11D34"/>
    <w:p w14:paraId="7867AF55" w14:textId="77777777" w:rsidR="00D11D34" w:rsidRDefault="00D11D34"/>
    <w:p w14:paraId="6A60FAD4" w14:textId="77777777" w:rsidR="00D11D34" w:rsidRDefault="00D11D34"/>
    <w:p w14:paraId="3A28FECC" w14:textId="77777777" w:rsidR="00D11D34" w:rsidRDefault="00D11D34"/>
    <w:p w14:paraId="2CF84E81" w14:textId="752B008B" w:rsidR="003F4195" w:rsidRPr="005B11D4" w:rsidRDefault="000E534B">
      <w:pPr>
        <w:rPr>
          <w:b/>
          <w:bCs/>
        </w:rPr>
      </w:pPr>
      <w:r w:rsidRPr="005B11D4">
        <w:rPr>
          <w:b/>
          <w:bCs/>
        </w:rPr>
        <w:lastRenderedPageBreak/>
        <w:t xml:space="preserve">Introduction </w:t>
      </w:r>
    </w:p>
    <w:p w14:paraId="6C47A97B" w14:textId="2F750BBE" w:rsidR="00C40D43" w:rsidRDefault="00C40D43">
      <w:r>
        <w:t>Kirby and Nailer (2013</w:t>
      </w:r>
      <w:r w:rsidR="00190365">
        <w:t>, p. 397</w:t>
      </w:r>
      <w:r>
        <w:t>) highlighted the growth of organised crime</w:t>
      </w:r>
      <w:r w:rsidR="005C54C2">
        <w:t xml:space="preserve"> (OC)</w:t>
      </w:r>
      <w:r>
        <w:t xml:space="preserve"> and the fact that the agility of organised crime groups</w:t>
      </w:r>
      <w:r w:rsidR="008B4860">
        <w:t xml:space="preserve"> (OCGS)</w:t>
      </w:r>
      <w:r>
        <w:t xml:space="preserve"> was threatening to overwhelm law enforcement. Th</w:t>
      </w:r>
      <w:r w:rsidR="008B4860">
        <w:t>ese observations</w:t>
      </w:r>
      <w:r>
        <w:t xml:space="preserve"> </w:t>
      </w:r>
      <w:r w:rsidR="008B4860">
        <w:t>are</w:t>
      </w:r>
      <w:r>
        <w:t xml:space="preserve"> none the less relevant today with </w:t>
      </w:r>
      <w:r w:rsidR="008B4860">
        <w:t>OC</w:t>
      </w:r>
      <w:r>
        <w:t xml:space="preserve"> </w:t>
      </w:r>
      <w:r w:rsidR="00CB548D">
        <w:t xml:space="preserve">being so pervasive that it could arguably </w:t>
      </w:r>
      <w:r w:rsidR="000D0B82">
        <w:t>now be</w:t>
      </w:r>
      <w:r w:rsidR="00CB548D">
        <w:t xml:space="preserve"> classed as volume crime. </w:t>
      </w:r>
      <w:r w:rsidR="00417213">
        <w:t xml:space="preserve">Prior to the observation of Kirby and Nailer, </w:t>
      </w:r>
      <w:proofErr w:type="spellStart"/>
      <w:r w:rsidR="00417213" w:rsidRPr="00417213">
        <w:rPr>
          <w:color w:val="000000" w:themeColor="text1"/>
        </w:rPr>
        <w:t>Zoutendijk</w:t>
      </w:r>
      <w:proofErr w:type="spellEnd"/>
      <w:r w:rsidR="00417213" w:rsidRPr="00417213">
        <w:rPr>
          <w:color w:val="000000" w:themeColor="text1"/>
        </w:rPr>
        <w:t xml:space="preserve"> (2010</w:t>
      </w:r>
      <w:r w:rsidR="00190365">
        <w:rPr>
          <w:color w:val="000000" w:themeColor="text1"/>
        </w:rPr>
        <w:t>, p.69</w:t>
      </w:r>
      <w:r w:rsidR="00417213" w:rsidRPr="00417213">
        <w:rPr>
          <w:color w:val="000000" w:themeColor="text1"/>
        </w:rPr>
        <w:t xml:space="preserve">) was questioning if we were </w:t>
      </w:r>
      <w:r w:rsidR="00BC4086" w:rsidRPr="00417213">
        <w:rPr>
          <w:color w:val="000000" w:themeColor="text1"/>
        </w:rPr>
        <w:t>measuring</w:t>
      </w:r>
      <w:r w:rsidR="00417213" w:rsidRPr="00417213">
        <w:rPr>
          <w:color w:val="000000" w:themeColor="text1"/>
        </w:rPr>
        <w:t xml:space="preserve"> </w:t>
      </w:r>
      <w:r w:rsidR="000D0B82">
        <w:rPr>
          <w:color w:val="000000" w:themeColor="text1"/>
        </w:rPr>
        <w:t>OC</w:t>
      </w:r>
      <w:r w:rsidR="00417213" w:rsidRPr="00417213">
        <w:rPr>
          <w:color w:val="000000" w:themeColor="text1"/>
        </w:rPr>
        <w:t xml:space="preserve"> and not something else, suggesting that a radical concept would be to accept that </w:t>
      </w:r>
      <w:r w:rsidR="000D0B82">
        <w:rPr>
          <w:color w:val="000000" w:themeColor="text1"/>
        </w:rPr>
        <w:t>OC</w:t>
      </w:r>
      <w:r w:rsidR="00417213" w:rsidRPr="00417213">
        <w:rPr>
          <w:color w:val="000000" w:themeColor="text1"/>
        </w:rPr>
        <w:t xml:space="preserve"> is in fact a political construct</w:t>
      </w:r>
      <w:r w:rsidR="00417213">
        <w:rPr>
          <w:color w:val="000000" w:themeColor="text1"/>
        </w:rPr>
        <w:t>.</w:t>
      </w:r>
    </w:p>
    <w:p w14:paraId="72EECA7B" w14:textId="00825A60" w:rsidR="00C40D43" w:rsidRDefault="00C40D43">
      <w:pPr>
        <w:rPr>
          <w:rFonts w:ascii="Arial" w:eastAsia="Times New Roman" w:hAnsi="Arial" w:cs="Arial"/>
          <w:kern w:val="0"/>
          <w:sz w:val="22"/>
          <w:szCs w:val="22"/>
          <w:lang w:eastAsia="en-GB"/>
          <w14:ligatures w14:val="none"/>
        </w:rPr>
      </w:pPr>
      <w:r>
        <w:t xml:space="preserve">Within this review I look back on the identification of (Serious) </w:t>
      </w:r>
      <w:r w:rsidR="009B0C39">
        <w:t>OC</w:t>
      </w:r>
      <w:r>
        <w:t xml:space="preserve">, the introduction of </w:t>
      </w:r>
      <w:r w:rsidR="009B0C39">
        <w:t xml:space="preserve">the </w:t>
      </w:r>
      <w:r>
        <w:t xml:space="preserve">Serious and Organised Crime Agency (SOCA), the associated legislation, the evolution of the National Crime Agency (NCA) leading us to the current day </w:t>
      </w:r>
      <w:r w:rsidR="00CB548D">
        <w:t xml:space="preserve">with the recent publication by Home Office (2026) </w:t>
      </w:r>
      <w:r w:rsidR="00190365">
        <w:t xml:space="preserve">titled </w:t>
      </w:r>
      <w:r w:rsidR="00CB548D" w:rsidRPr="00D67810">
        <w:rPr>
          <w:rFonts w:ascii="Arial" w:eastAsia="Times New Roman" w:hAnsi="Arial" w:cs="Arial"/>
          <w:kern w:val="0"/>
          <w:sz w:val="22"/>
          <w:szCs w:val="22"/>
          <w:lang w:eastAsia="en-GB"/>
          <w14:ligatures w14:val="none"/>
        </w:rPr>
        <w:t>From local to national: a new model for policing</w:t>
      </w:r>
      <w:r w:rsidR="00CB548D">
        <w:rPr>
          <w:rFonts w:ascii="Arial" w:eastAsia="Times New Roman" w:hAnsi="Arial" w:cs="Arial"/>
          <w:kern w:val="0"/>
          <w:sz w:val="22"/>
          <w:szCs w:val="22"/>
          <w:lang w:eastAsia="en-GB"/>
          <w14:ligatures w14:val="none"/>
        </w:rPr>
        <w:t>.</w:t>
      </w:r>
    </w:p>
    <w:p w14:paraId="50D499D8" w14:textId="497C3BA4" w:rsidR="00840F01" w:rsidRPr="005C54C2" w:rsidRDefault="00654A7F">
      <w:pPr>
        <w:rPr>
          <w:color w:val="000000" w:themeColor="text1"/>
        </w:rPr>
      </w:pPr>
      <w:r>
        <w:rPr>
          <w:rFonts w:ascii="Arial" w:eastAsia="Times New Roman" w:hAnsi="Arial" w:cs="Arial"/>
          <w:kern w:val="0"/>
          <w:sz w:val="22"/>
          <w:szCs w:val="22"/>
          <w:lang w:eastAsia="en-GB"/>
          <w14:ligatures w14:val="none"/>
        </w:rPr>
        <w:t>In 2020 the NCA estimated that serious and organised crime</w:t>
      </w:r>
      <w:r w:rsidR="00F61E78">
        <w:rPr>
          <w:rFonts w:ascii="Arial" w:eastAsia="Times New Roman" w:hAnsi="Arial" w:cs="Arial"/>
          <w:kern w:val="0"/>
          <w:sz w:val="22"/>
          <w:szCs w:val="22"/>
          <w:lang w:eastAsia="en-GB"/>
          <w14:ligatures w14:val="none"/>
        </w:rPr>
        <w:t xml:space="preserve"> (SOC)</w:t>
      </w:r>
      <w:r>
        <w:rPr>
          <w:rFonts w:ascii="Arial" w:eastAsia="Times New Roman" w:hAnsi="Arial" w:cs="Arial"/>
          <w:kern w:val="0"/>
          <w:sz w:val="22"/>
          <w:szCs w:val="22"/>
          <w:lang w:eastAsia="en-GB"/>
          <w14:ligatures w14:val="none"/>
        </w:rPr>
        <w:t xml:space="preserve"> cost the UK 47 billion annually (Home Office 2020, p.9). With more tha</w:t>
      </w:r>
      <w:r w:rsidR="004A0070">
        <w:rPr>
          <w:rFonts w:ascii="Arial" w:eastAsia="Times New Roman" w:hAnsi="Arial" w:cs="Arial"/>
          <w:kern w:val="0"/>
          <w:sz w:val="22"/>
          <w:szCs w:val="22"/>
          <w:lang w:eastAsia="en-GB"/>
          <w14:ligatures w14:val="none"/>
        </w:rPr>
        <w:t>n</w:t>
      </w:r>
      <w:r>
        <w:rPr>
          <w:rFonts w:ascii="Arial" w:eastAsia="Times New Roman" w:hAnsi="Arial" w:cs="Arial"/>
          <w:kern w:val="0"/>
          <w:sz w:val="22"/>
          <w:szCs w:val="22"/>
          <w:lang w:eastAsia="en-GB"/>
          <w14:ligatures w14:val="none"/>
        </w:rPr>
        <w:t xml:space="preserve"> 350,000 people believed to be involved (HMICFRS 2020, p.26). </w:t>
      </w:r>
      <w:r w:rsidR="00840F01">
        <w:rPr>
          <w:rFonts w:ascii="Arial" w:eastAsia="Times New Roman" w:hAnsi="Arial" w:cs="Arial"/>
          <w:kern w:val="0"/>
          <w:sz w:val="22"/>
          <w:szCs w:val="22"/>
          <w:lang w:eastAsia="en-GB"/>
          <w14:ligatures w14:val="none"/>
        </w:rPr>
        <w:t xml:space="preserve">In 2004 the Home Office </w:t>
      </w:r>
      <w:r w:rsidR="00E90602">
        <w:rPr>
          <w:rFonts w:ascii="Arial" w:eastAsia="Times New Roman" w:hAnsi="Arial" w:cs="Arial"/>
          <w:kern w:val="0"/>
          <w:sz w:val="22"/>
          <w:szCs w:val="22"/>
          <w:lang w:eastAsia="en-GB"/>
          <w14:ligatures w14:val="none"/>
        </w:rPr>
        <w:t xml:space="preserve">document </w:t>
      </w:r>
      <w:r w:rsidR="00E90602" w:rsidRPr="00DE1D9E">
        <w:rPr>
          <w:color w:val="000000" w:themeColor="text1"/>
        </w:rPr>
        <w:t>One Step Ahead – A 21</w:t>
      </w:r>
      <w:r w:rsidR="00E90602" w:rsidRPr="00DE1D9E">
        <w:rPr>
          <w:color w:val="000000" w:themeColor="text1"/>
          <w:vertAlign w:val="superscript"/>
        </w:rPr>
        <w:t>st</w:t>
      </w:r>
      <w:r w:rsidR="00E90602" w:rsidRPr="00DE1D9E">
        <w:rPr>
          <w:color w:val="000000" w:themeColor="text1"/>
        </w:rPr>
        <w:t xml:space="preserve"> Century Strategy to Defeat Organised Crime</w:t>
      </w:r>
      <w:r w:rsidR="00E90602">
        <w:rPr>
          <w:color w:val="000000" w:themeColor="text1"/>
        </w:rPr>
        <w:t xml:space="preserve"> highlighted concerns specifically </w:t>
      </w:r>
      <w:r w:rsidR="002A7AEE">
        <w:rPr>
          <w:color w:val="000000" w:themeColor="text1"/>
        </w:rPr>
        <w:t xml:space="preserve">sighting </w:t>
      </w:r>
      <w:r w:rsidR="005C54C2">
        <w:rPr>
          <w:color w:val="000000" w:themeColor="text1"/>
        </w:rPr>
        <w:t>the</w:t>
      </w:r>
      <w:r w:rsidR="002A7AEE">
        <w:rPr>
          <w:color w:val="000000" w:themeColor="text1"/>
        </w:rPr>
        <w:t xml:space="preserve"> technological evolution of </w:t>
      </w:r>
      <w:r w:rsidR="003C73B8">
        <w:rPr>
          <w:color w:val="000000" w:themeColor="text1"/>
        </w:rPr>
        <w:t>S</w:t>
      </w:r>
      <w:r w:rsidR="002A7AEE">
        <w:rPr>
          <w:color w:val="000000" w:themeColor="text1"/>
        </w:rPr>
        <w:t xml:space="preserve">OC and </w:t>
      </w:r>
      <w:r w:rsidR="008D5B6A">
        <w:rPr>
          <w:color w:val="000000" w:themeColor="text1"/>
        </w:rPr>
        <w:t xml:space="preserve">the </w:t>
      </w:r>
      <w:r w:rsidR="00145746">
        <w:rPr>
          <w:color w:val="000000" w:themeColor="text1"/>
        </w:rPr>
        <w:t>lucrativeness</w:t>
      </w:r>
      <w:r w:rsidR="00A66895">
        <w:rPr>
          <w:color w:val="000000" w:themeColor="text1"/>
        </w:rPr>
        <w:t xml:space="preserve"> and appeal of fraud</w:t>
      </w:r>
      <w:r w:rsidR="005C54C2">
        <w:rPr>
          <w:color w:val="000000" w:themeColor="text1"/>
        </w:rPr>
        <w:t xml:space="preserve"> type</w:t>
      </w:r>
      <w:r w:rsidR="00A66895">
        <w:rPr>
          <w:color w:val="000000" w:themeColor="text1"/>
        </w:rPr>
        <w:t xml:space="preserve"> offending to those engaged in </w:t>
      </w:r>
      <w:r w:rsidR="003C73B8">
        <w:rPr>
          <w:color w:val="000000" w:themeColor="text1"/>
        </w:rPr>
        <w:t>S</w:t>
      </w:r>
      <w:r w:rsidR="00A66895">
        <w:rPr>
          <w:color w:val="000000" w:themeColor="text1"/>
        </w:rPr>
        <w:t>OC</w:t>
      </w:r>
      <w:r w:rsidR="008D5B6A">
        <w:rPr>
          <w:color w:val="000000" w:themeColor="text1"/>
        </w:rPr>
        <w:t>, themes that remain</w:t>
      </w:r>
      <w:r w:rsidR="00B24271">
        <w:rPr>
          <w:color w:val="000000" w:themeColor="text1"/>
        </w:rPr>
        <w:t xml:space="preserve"> today.</w:t>
      </w:r>
    </w:p>
    <w:p w14:paraId="51C7CF4E" w14:textId="18BF1938" w:rsidR="00654A7F" w:rsidRDefault="00654A7F">
      <w:r>
        <w:rPr>
          <w:rFonts w:ascii="Arial" w:eastAsia="Times New Roman" w:hAnsi="Arial" w:cs="Arial"/>
          <w:kern w:val="0"/>
          <w:sz w:val="22"/>
          <w:szCs w:val="22"/>
          <w:lang w:eastAsia="en-GB"/>
          <w14:ligatures w14:val="none"/>
        </w:rPr>
        <w:t>The NCA</w:t>
      </w:r>
      <w:r w:rsidR="007F111F">
        <w:rPr>
          <w:rFonts w:ascii="Arial" w:eastAsia="Times New Roman" w:hAnsi="Arial" w:cs="Arial"/>
          <w:kern w:val="0"/>
          <w:sz w:val="22"/>
          <w:szCs w:val="22"/>
          <w:lang w:eastAsia="en-GB"/>
          <w14:ligatures w14:val="none"/>
        </w:rPr>
        <w:t xml:space="preserve"> (2025)</w:t>
      </w:r>
      <w:r>
        <w:rPr>
          <w:rFonts w:ascii="Arial" w:eastAsia="Times New Roman" w:hAnsi="Arial" w:cs="Arial"/>
          <w:kern w:val="0"/>
          <w:sz w:val="22"/>
          <w:szCs w:val="22"/>
          <w:lang w:eastAsia="en-GB"/>
          <w14:ligatures w14:val="none"/>
        </w:rPr>
        <w:t xml:space="preserve"> continue</w:t>
      </w:r>
      <w:r w:rsidR="007F111F">
        <w:rPr>
          <w:rFonts w:ascii="Arial" w:eastAsia="Times New Roman" w:hAnsi="Arial" w:cs="Arial"/>
          <w:kern w:val="0"/>
          <w:sz w:val="22"/>
          <w:szCs w:val="22"/>
          <w:lang w:eastAsia="en-GB"/>
          <w14:ligatures w14:val="none"/>
        </w:rPr>
        <w:t>s</w:t>
      </w:r>
      <w:r>
        <w:rPr>
          <w:rFonts w:ascii="Arial" w:eastAsia="Times New Roman" w:hAnsi="Arial" w:cs="Arial"/>
          <w:kern w:val="0"/>
          <w:sz w:val="22"/>
          <w:szCs w:val="22"/>
          <w:lang w:eastAsia="en-GB"/>
          <w14:ligatures w14:val="none"/>
        </w:rPr>
        <w:t xml:space="preserve"> to sight growth in area</w:t>
      </w:r>
      <w:r w:rsidR="00B24271">
        <w:rPr>
          <w:rFonts w:ascii="Arial" w:eastAsia="Times New Roman" w:hAnsi="Arial" w:cs="Arial"/>
          <w:kern w:val="0"/>
          <w:sz w:val="22"/>
          <w:szCs w:val="22"/>
          <w:lang w:eastAsia="en-GB"/>
          <w14:ligatures w14:val="none"/>
        </w:rPr>
        <w:t>s</w:t>
      </w:r>
      <w:r>
        <w:rPr>
          <w:rFonts w:ascii="Arial" w:eastAsia="Times New Roman" w:hAnsi="Arial" w:cs="Arial"/>
          <w:kern w:val="0"/>
          <w:sz w:val="22"/>
          <w:szCs w:val="22"/>
          <w:lang w:eastAsia="en-GB"/>
          <w14:ligatures w14:val="none"/>
        </w:rPr>
        <w:t xml:space="preserve"> </w:t>
      </w:r>
      <w:r w:rsidR="007F111F">
        <w:rPr>
          <w:rFonts w:ascii="Arial" w:eastAsia="Times New Roman" w:hAnsi="Arial" w:cs="Arial"/>
          <w:kern w:val="0"/>
          <w:sz w:val="22"/>
          <w:szCs w:val="22"/>
          <w:lang w:eastAsia="en-GB"/>
          <w14:ligatures w14:val="none"/>
        </w:rPr>
        <w:t xml:space="preserve">such as drug supply with cocaine and ketamine consumption increasing by 7% and 85% respectively combined with the worrying emergence of </w:t>
      </w:r>
      <w:proofErr w:type="spellStart"/>
      <w:r w:rsidR="007F111F">
        <w:rPr>
          <w:rFonts w:ascii="Arial" w:eastAsia="Times New Roman" w:hAnsi="Arial" w:cs="Arial"/>
          <w:kern w:val="0"/>
          <w:sz w:val="22"/>
          <w:szCs w:val="22"/>
          <w:lang w:eastAsia="en-GB"/>
          <w14:ligatures w14:val="none"/>
        </w:rPr>
        <w:t>nitazenes</w:t>
      </w:r>
      <w:proofErr w:type="spellEnd"/>
      <w:r w:rsidR="007F111F">
        <w:rPr>
          <w:rFonts w:ascii="Arial" w:eastAsia="Times New Roman" w:hAnsi="Arial" w:cs="Arial"/>
          <w:kern w:val="0"/>
          <w:sz w:val="22"/>
          <w:szCs w:val="22"/>
          <w:lang w:eastAsia="en-GB"/>
          <w14:ligatures w14:val="none"/>
        </w:rPr>
        <w:t xml:space="preserve">. Whilst I will not delve into specific crime types in significant depth the emergence of synthetic opioids is an excellent example of how </w:t>
      </w:r>
      <w:r w:rsidR="003C73B8">
        <w:rPr>
          <w:rFonts w:ascii="Arial" w:eastAsia="Times New Roman" w:hAnsi="Arial" w:cs="Arial"/>
          <w:kern w:val="0"/>
          <w:sz w:val="22"/>
          <w:szCs w:val="22"/>
          <w:lang w:eastAsia="en-GB"/>
          <w14:ligatures w14:val="none"/>
        </w:rPr>
        <w:t>S</w:t>
      </w:r>
      <w:r w:rsidR="00B24271">
        <w:rPr>
          <w:rFonts w:ascii="Arial" w:eastAsia="Times New Roman" w:hAnsi="Arial" w:cs="Arial"/>
          <w:kern w:val="0"/>
          <w:sz w:val="22"/>
          <w:szCs w:val="22"/>
          <w:lang w:eastAsia="en-GB"/>
          <w14:ligatures w14:val="none"/>
        </w:rPr>
        <w:t>OC</w:t>
      </w:r>
      <w:r w:rsidR="007F111F">
        <w:rPr>
          <w:rFonts w:ascii="Arial" w:eastAsia="Times New Roman" w:hAnsi="Arial" w:cs="Arial"/>
          <w:kern w:val="0"/>
          <w:sz w:val="22"/>
          <w:szCs w:val="22"/>
          <w:lang w:eastAsia="en-GB"/>
          <w14:ligatures w14:val="none"/>
        </w:rPr>
        <w:t xml:space="preserve"> can and will evolve to maximise profits and minimise the chances of disruption</w:t>
      </w:r>
      <w:r w:rsidR="00885F55">
        <w:rPr>
          <w:rFonts w:ascii="Arial" w:eastAsia="Times New Roman" w:hAnsi="Arial" w:cs="Arial"/>
          <w:kern w:val="0"/>
          <w:sz w:val="22"/>
          <w:szCs w:val="22"/>
          <w:lang w:eastAsia="en-GB"/>
          <w14:ligatures w14:val="none"/>
        </w:rPr>
        <w:t xml:space="preserve"> leaving law enforcement playing catch up</w:t>
      </w:r>
      <w:r w:rsidR="007F111F">
        <w:rPr>
          <w:rFonts w:ascii="Arial" w:eastAsia="Times New Roman" w:hAnsi="Arial" w:cs="Arial"/>
          <w:kern w:val="0"/>
          <w:sz w:val="22"/>
          <w:szCs w:val="22"/>
          <w:lang w:eastAsia="en-GB"/>
          <w14:ligatures w14:val="none"/>
        </w:rPr>
        <w:t xml:space="preserve">. </w:t>
      </w:r>
    </w:p>
    <w:p w14:paraId="14A82933" w14:textId="36A36267" w:rsidR="00654A7F" w:rsidRDefault="008749AC" w:rsidP="000E534B">
      <w:r>
        <w:t>Home Office (</w:t>
      </w:r>
      <w:r w:rsidR="00000794">
        <w:t>2023, p. 9) define</w:t>
      </w:r>
      <w:r w:rsidR="006E487D">
        <w:t xml:space="preserve"> </w:t>
      </w:r>
      <w:r w:rsidR="00CF66A2">
        <w:t>SOC</w:t>
      </w:r>
      <w:r w:rsidR="006E487D">
        <w:t xml:space="preserve"> as:</w:t>
      </w:r>
    </w:p>
    <w:p w14:paraId="4AFF7046" w14:textId="0EB3A448" w:rsidR="00790245" w:rsidRDefault="006E487D" w:rsidP="000E534B">
      <w:pPr>
        <w:rPr>
          <w:b/>
          <w:bCs/>
          <w:i/>
          <w:iCs/>
        </w:rPr>
      </w:pPr>
      <w:r>
        <w:rPr>
          <w:b/>
          <w:bCs/>
          <w:i/>
          <w:iCs/>
        </w:rPr>
        <w:t>I</w:t>
      </w:r>
      <w:r w:rsidR="000E534B" w:rsidRPr="006E487D">
        <w:rPr>
          <w:b/>
          <w:bCs/>
          <w:i/>
          <w:iCs/>
        </w:rPr>
        <w:t>ndividuals planning, coordinating and committing serious offences, whether individually, in groups and/or as part of transnational networks.</w:t>
      </w:r>
    </w:p>
    <w:p w14:paraId="45EFD860" w14:textId="4D9535D8" w:rsidR="006E487D" w:rsidRDefault="00E21D9C" w:rsidP="000E534B">
      <w:r w:rsidRPr="00476C85">
        <w:t xml:space="preserve">This definition identifies one of the micro level details that </w:t>
      </w:r>
      <w:r w:rsidR="00AA7915" w:rsidRPr="00476C85">
        <w:t xml:space="preserve">has a macro level impact when we look at tackling or designing a response to </w:t>
      </w:r>
      <w:r w:rsidR="003C73B8">
        <w:t>S</w:t>
      </w:r>
      <w:r w:rsidR="00CF66A2">
        <w:t>OC</w:t>
      </w:r>
      <w:r w:rsidR="000F4184" w:rsidRPr="00476C85">
        <w:t>. This definition focuses on the individuals</w:t>
      </w:r>
      <w:r w:rsidR="006829BA">
        <w:t xml:space="preserve"> or groups</w:t>
      </w:r>
      <w:r w:rsidR="0002415A">
        <w:t xml:space="preserve"> committing the crime</w:t>
      </w:r>
      <w:r w:rsidR="000F4184" w:rsidRPr="00476C85">
        <w:t xml:space="preserve"> and not on the mech</w:t>
      </w:r>
      <w:r w:rsidR="00476C85" w:rsidRPr="00476C85">
        <w:t xml:space="preserve">anisms that </w:t>
      </w:r>
      <w:r w:rsidR="00CF66A2">
        <w:t xml:space="preserve">help </w:t>
      </w:r>
      <w:r w:rsidR="00476C85" w:rsidRPr="00476C85">
        <w:t xml:space="preserve">facilitate the criminality. </w:t>
      </w:r>
      <w:r w:rsidR="003C73B8">
        <w:t>S</w:t>
      </w:r>
      <w:r w:rsidR="00CF66A2">
        <w:t>OC</w:t>
      </w:r>
      <w:r w:rsidR="00476C85" w:rsidRPr="00476C85">
        <w:t xml:space="preserve"> is a business and </w:t>
      </w:r>
      <w:r w:rsidR="000740E6">
        <w:t>to</w:t>
      </w:r>
      <w:r w:rsidR="00476C85" w:rsidRPr="00476C85">
        <w:t xml:space="preserve"> identify its strengths and weaknesses it should be viewed as such. </w:t>
      </w:r>
    </w:p>
    <w:p w14:paraId="001F82B9" w14:textId="6C1D624F" w:rsidR="003D510C" w:rsidRPr="004B5C35" w:rsidRDefault="00676794" w:rsidP="000E534B">
      <w:pPr>
        <w:rPr>
          <w:color w:val="000000" w:themeColor="text1"/>
        </w:rPr>
      </w:pPr>
      <w:r w:rsidRPr="004B5C35">
        <w:rPr>
          <w:color w:val="000000" w:themeColor="text1"/>
        </w:rPr>
        <w:t xml:space="preserve">Murray (2013, P.104) </w:t>
      </w:r>
      <w:r w:rsidR="00EA2D53" w:rsidRPr="004B5C35">
        <w:rPr>
          <w:color w:val="000000" w:themeColor="text1"/>
        </w:rPr>
        <w:t xml:space="preserve">pulls on this thread further questioning that if we do not make efforts to </w:t>
      </w:r>
      <w:r w:rsidR="00D90CED" w:rsidRPr="004B5C35">
        <w:rPr>
          <w:color w:val="000000" w:themeColor="text1"/>
        </w:rPr>
        <w:t xml:space="preserve">understand </w:t>
      </w:r>
      <w:r w:rsidR="003C73B8">
        <w:rPr>
          <w:color w:val="000000" w:themeColor="text1"/>
        </w:rPr>
        <w:t>S</w:t>
      </w:r>
      <w:r w:rsidR="00424F4E">
        <w:rPr>
          <w:color w:val="000000" w:themeColor="text1"/>
        </w:rPr>
        <w:t>OC</w:t>
      </w:r>
      <w:r w:rsidR="006468FB" w:rsidRPr="004B5C35">
        <w:rPr>
          <w:color w:val="000000" w:themeColor="text1"/>
        </w:rPr>
        <w:t xml:space="preserve"> then any disruption </w:t>
      </w:r>
      <w:r w:rsidR="00A372E6" w:rsidRPr="004B5C35">
        <w:rPr>
          <w:color w:val="000000" w:themeColor="text1"/>
        </w:rPr>
        <w:t xml:space="preserve">will ultimately be reactive </w:t>
      </w:r>
      <w:r w:rsidR="00144861" w:rsidRPr="004B5C35">
        <w:rPr>
          <w:color w:val="000000" w:themeColor="text1"/>
        </w:rPr>
        <w:t>as opposed to the proactive management that is required.</w:t>
      </w:r>
      <w:r w:rsidR="003D510C" w:rsidRPr="004B5C35">
        <w:rPr>
          <w:color w:val="000000" w:themeColor="text1"/>
        </w:rPr>
        <w:t xml:space="preserve"> </w:t>
      </w:r>
    </w:p>
    <w:p w14:paraId="7F48D8B2" w14:textId="298DBD08" w:rsidR="00AC66E3" w:rsidRDefault="00DA0E9C" w:rsidP="00AC66E3">
      <w:r>
        <w:t xml:space="preserve">Kirby and Snow (2016, p. 112) also discuss how academic research into the subject is frustrated by the </w:t>
      </w:r>
      <w:r w:rsidR="000B710F">
        <w:t>lack of accurate definitions explain</w:t>
      </w:r>
      <w:r w:rsidR="000F0469">
        <w:t>ing</w:t>
      </w:r>
      <w:r w:rsidR="000B710F">
        <w:t xml:space="preserve"> that 180 variations existed.</w:t>
      </w:r>
      <w:r w:rsidR="001A2DE7">
        <w:t xml:space="preserve"> </w:t>
      </w:r>
      <w:proofErr w:type="spellStart"/>
      <w:r w:rsidR="00437538" w:rsidRPr="00D4665E">
        <w:rPr>
          <w:rFonts w:ascii="Arial" w:eastAsia="Times New Roman" w:hAnsi="Arial" w:cs="Arial"/>
          <w:color w:val="000000" w:themeColor="text1"/>
          <w:kern w:val="0"/>
          <w:sz w:val="22"/>
          <w:szCs w:val="22"/>
          <w:lang w:eastAsia="en-GB"/>
          <w14:ligatures w14:val="none"/>
        </w:rPr>
        <w:lastRenderedPageBreak/>
        <w:t>Zoutendijk</w:t>
      </w:r>
      <w:proofErr w:type="spellEnd"/>
      <w:r w:rsidR="00437538" w:rsidRPr="007F27E8">
        <w:rPr>
          <w:rFonts w:ascii="Arial" w:eastAsia="Times New Roman" w:hAnsi="Arial" w:cs="Arial"/>
          <w:color w:val="000000" w:themeColor="text1"/>
          <w:kern w:val="0"/>
          <w:sz w:val="22"/>
          <w:szCs w:val="22"/>
          <w:lang w:eastAsia="en-GB"/>
          <w14:ligatures w14:val="none"/>
        </w:rPr>
        <w:t xml:space="preserve"> (2010, p.38)</w:t>
      </w:r>
      <w:r w:rsidR="00437538">
        <w:rPr>
          <w:rFonts w:ascii="Arial" w:eastAsia="Times New Roman" w:hAnsi="Arial" w:cs="Arial"/>
          <w:color w:val="000000" w:themeColor="text1"/>
          <w:kern w:val="0"/>
          <w:sz w:val="22"/>
          <w:szCs w:val="22"/>
          <w:lang w:eastAsia="en-GB"/>
          <w14:ligatures w14:val="none"/>
        </w:rPr>
        <w:t xml:space="preserve"> commented on this at a very early stage in the life cycle of what we currently consider to be </w:t>
      </w:r>
      <w:r w:rsidR="003C73B8">
        <w:rPr>
          <w:rFonts w:ascii="Arial" w:eastAsia="Times New Roman" w:hAnsi="Arial" w:cs="Arial"/>
          <w:color w:val="000000" w:themeColor="text1"/>
          <w:kern w:val="0"/>
          <w:sz w:val="22"/>
          <w:szCs w:val="22"/>
          <w:lang w:eastAsia="en-GB"/>
          <w14:ligatures w14:val="none"/>
        </w:rPr>
        <w:t>S</w:t>
      </w:r>
      <w:r w:rsidR="009E5350">
        <w:rPr>
          <w:rFonts w:ascii="Arial" w:eastAsia="Times New Roman" w:hAnsi="Arial" w:cs="Arial"/>
          <w:color w:val="000000" w:themeColor="text1"/>
          <w:kern w:val="0"/>
          <w:sz w:val="22"/>
          <w:szCs w:val="22"/>
          <w:lang w:eastAsia="en-GB"/>
          <w14:ligatures w14:val="none"/>
        </w:rPr>
        <w:t>OC</w:t>
      </w:r>
      <w:r w:rsidR="00437538">
        <w:rPr>
          <w:rFonts w:ascii="Arial" w:eastAsia="Times New Roman" w:hAnsi="Arial" w:cs="Arial"/>
          <w:color w:val="000000" w:themeColor="text1"/>
          <w:kern w:val="0"/>
          <w:sz w:val="22"/>
          <w:szCs w:val="22"/>
          <w:lang w:eastAsia="en-GB"/>
          <w14:ligatures w14:val="none"/>
        </w:rPr>
        <w:t xml:space="preserve"> asking </w:t>
      </w:r>
      <w:r w:rsidR="003F4195">
        <w:rPr>
          <w:rFonts w:ascii="Arial" w:eastAsia="Times New Roman" w:hAnsi="Arial" w:cs="Arial"/>
          <w:color w:val="000000" w:themeColor="text1"/>
          <w:kern w:val="0"/>
          <w:sz w:val="22"/>
          <w:szCs w:val="22"/>
          <w:lang w:eastAsia="en-GB"/>
          <w14:ligatures w14:val="none"/>
        </w:rPr>
        <w:t>“Which</w:t>
      </w:r>
      <w:r w:rsidR="00AC66E3">
        <w:t xml:space="preserve"> agency or researcher is truly measuring the threats of organised crime? Or is it all just a matter of taste and can we interpret and define ‘threat’ and ‘organised crime’ in whatever way we like?</w:t>
      </w:r>
      <w:r w:rsidR="003F4195">
        <w:t>”</w:t>
      </w:r>
    </w:p>
    <w:p w14:paraId="6BDC96F3" w14:textId="08B81C32" w:rsidR="00D546D7" w:rsidRPr="00476C85" w:rsidRDefault="001A2DE7" w:rsidP="000E534B">
      <w:r>
        <w:t xml:space="preserve">When </w:t>
      </w:r>
      <w:r w:rsidR="002664AB">
        <w:t>we</w:t>
      </w:r>
      <w:r>
        <w:t xml:space="preserve"> combine th</w:t>
      </w:r>
      <w:r w:rsidR="00703080">
        <w:t>e</w:t>
      </w:r>
      <w:r w:rsidR="00602D75">
        <w:t xml:space="preserve"> </w:t>
      </w:r>
      <w:r>
        <w:t>proliferation of definitions</w:t>
      </w:r>
      <w:r w:rsidR="007546C2" w:rsidRPr="007546C2">
        <w:t xml:space="preserve"> </w:t>
      </w:r>
      <w:r w:rsidR="007546C2">
        <w:t>with</w:t>
      </w:r>
      <w:r w:rsidR="003C0470">
        <w:t xml:space="preserve"> variable</w:t>
      </w:r>
      <w:r w:rsidR="00FF00AA">
        <w:t>s</w:t>
      </w:r>
      <w:r w:rsidR="003C0470">
        <w:t xml:space="preserve"> such as</w:t>
      </w:r>
      <w:r w:rsidR="007546C2">
        <w:t xml:space="preserve"> the control of ROCUS funding by Chief Constable</w:t>
      </w:r>
      <w:r w:rsidR="003D510C">
        <w:t>s</w:t>
      </w:r>
      <w:r w:rsidR="007546C2">
        <w:t xml:space="preserve"> and PCC’s (HMICFR</w:t>
      </w:r>
      <w:r w:rsidR="00E77FA1">
        <w:t>S</w:t>
      </w:r>
      <w:r w:rsidR="007546C2">
        <w:t xml:space="preserve"> 2021, p5.) resulting in</w:t>
      </w:r>
      <w:r w:rsidR="002664AB">
        <w:t xml:space="preserve"> 86 national decision makers (</w:t>
      </w:r>
      <w:r w:rsidR="00754C70">
        <w:t>Home Office 2026</w:t>
      </w:r>
      <w:r w:rsidR="002664AB">
        <w:t>, P.</w:t>
      </w:r>
      <w:r w:rsidR="00754C70">
        <w:t>42</w:t>
      </w:r>
      <w:r w:rsidR="002664AB">
        <w:t xml:space="preserve">) we start to understand why </w:t>
      </w:r>
      <w:r w:rsidR="00D01E8C">
        <w:t xml:space="preserve">law enforcement has not been able to </w:t>
      </w:r>
      <w:r w:rsidR="00042651">
        <w:t xml:space="preserve">effectively tackle or even </w:t>
      </w:r>
      <w:r w:rsidR="00EB79A5">
        <w:t>slow down</w:t>
      </w:r>
      <w:r w:rsidR="00D01E8C">
        <w:t xml:space="preserve"> the growth of organised crime. </w:t>
      </w:r>
    </w:p>
    <w:p w14:paraId="2D6D55B8" w14:textId="1EDD78A6" w:rsidR="0083736F" w:rsidRDefault="0083736F" w:rsidP="0083736F">
      <w:pPr>
        <w:rPr>
          <w:b/>
          <w:bCs/>
          <w:u w:val="single"/>
        </w:rPr>
      </w:pPr>
      <w:r w:rsidRPr="00642363">
        <w:rPr>
          <w:b/>
          <w:bCs/>
          <w:u w:val="single"/>
        </w:rPr>
        <w:t>S</w:t>
      </w:r>
      <w:r w:rsidR="00CD77C7">
        <w:rPr>
          <w:b/>
          <w:bCs/>
          <w:u w:val="single"/>
        </w:rPr>
        <w:t xml:space="preserve">erious and </w:t>
      </w:r>
      <w:r w:rsidRPr="00642363">
        <w:rPr>
          <w:b/>
          <w:bCs/>
          <w:u w:val="single"/>
        </w:rPr>
        <w:t>O</w:t>
      </w:r>
      <w:r w:rsidR="00CD77C7">
        <w:rPr>
          <w:b/>
          <w:bCs/>
          <w:u w:val="single"/>
        </w:rPr>
        <w:t xml:space="preserve">rganised </w:t>
      </w:r>
      <w:r w:rsidRPr="00642363">
        <w:rPr>
          <w:b/>
          <w:bCs/>
          <w:u w:val="single"/>
        </w:rPr>
        <w:t>C</w:t>
      </w:r>
      <w:r w:rsidR="00CD77C7">
        <w:rPr>
          <w:b/>
          <w:bCs/>
          <w:u w:val="single"/>
        </w:rPr>
        <w:t xml:space="preserve">rime </w:t>
      </w:r>
      <w:r w:rsidRPr="00642363">
        <w:rPr>
          <w:b/>
          <w:bCs/>
          <w:u w:val="single"/>
        </w:rPr>
        <w:t>A</w:t>
      </w:r>
      <w:r w:rsidR="00CD77C7">
        <w:rPr>
          <w:b/>
          <w:bCs/>
          <w:u w:val="single"/>
        </w:rPr>
        <w:t>gency</w:t>
      </w:r>
    </w:p>
    <w:p w14:paraId="057839C2" w14:textId="28222237" w:rsidR="0082035D" w:rsidRDefault="00BE0C4E" w:rsidP="0083736F">
      <w:r w:rsidRPr="00663568">
        <w:t xml:space="preserve">The functionality of the Serious and </w:t>
      </w:r>
      <w:r w:rsidR="00E57AE0">
        <w:t>O</w:t>
      </w:r>
      <w:r w:rsidRPr="00663568">
        <w:t xml:space="preserve">rganised </w:t>
      </w:r>
      <w:r w:rsidR="00E57AE0">
        <w:t>C</w:t>
      </w:r>
      <w:r w:rsidRPr="00663568">
        <w:t xml:space="preserve">rime </w:t>
      </w:r>
      <w:r w:rsidR="00E57AE0">
        <w:t>A</w:t>
      </w:r>
      <w:r w:rsidRPr="00663568">
        <w:t xml:space="preserve">gency </w:t>
      </w:r>
      <w:r w:rsidR="00663568" w:rsidRPr="00663568">
        <w:t>(SOCA)</w:t>
      </w:r>
      <w:r w:rsidR="0082035D">
        <w:t xml:space="preserve"> was described </w:t>
      </w:r>
      <w:r w:rsidR="00613C4A">
        <w:t xml:space="preserve">by </w:t>
      </w:r>
      <w:r w:rsidR="002D4002">
        <w:t>Fitzpatrick</w:t>
      </w:r>
      <w:r w:rsidR="00613C4A">
        <w:t xml:space="preserve"> as</w:t>
      </w:r>
      <w:r w:rsidR="002D4002">
        <w:t xml:space="preserve"> </w:t>
      </w:r>
      <w:r w:rsidR="00613C4A">
        <w:t>(</w:t>
      </w:r>
      <w:r w:rsidR="002D4002">
        <w:t>2006, p.130)</w:t>
      </w:r>
      <w:r w:rsidR="00613C4A">
        <w:t>:</w:t>
      </w:r>
    </w:p>
    <w:p w14:paraId="100AFC06" w14:textId="549D2F2C" w:rsidR="000169FF" w:rsidRPr="00481E1E" w:rsidRDefault="0020228F" w:rsidP="0083736F">
      <w:pPr>
        <w:rPr>
          <w:b/>
          <w:bCs/>
          <w:i/>
          <w:iCs/>
        </w:rPr>
      </w:pPr>
      <w:r w:rsidRPr="00481E1E">
        <w:rPr>
          <w:b/>
          <w:bCs/>
          <w:i/>
          <w:iCs/>
        </w:rPr>
        <w:t>Preventing and detecting serious organised crime and… contributing to the reduction of such crime in other ways and to the mitigation of its consequences</w:t>
      </w:r>
      <w:r w:rsidR="00FE0C9B" w:rsidRPr="00481E1E">
        <w:rPr>
          <w:b/>
          <w:bCs/>
          <w:i/>
          <w:iCs/>
        </w:rPr>
        <w:t>.</w:t>
      </w:r>
    </w:p>
    <w:p w14:paraId="41B2F498" w14:textId="125FD8EC" w:rsidR="00EF40A0" w:rsidRPr="00EF40A0" w:rsidRDefault="00EF40A0" w:rsidP="0083736F">
      <w:r w:rsidRPr="00EF40A0">
        <w:t xml:space="preserve">In March 2004 </w:t>
      </w:r>
      <w:r w:rsidR="002C0BB7">
        <w:t>the then Home Secrtary David Blunkett</w:t>
      </w:r>
      <w:r w:rsidR="00614975">
        <w:t xml:space="preserve"> (Home Office 2003</w:t>
      </w:r>
      <w:r w:rsidR="00A777DF">
        <w:t>)</w:t>
      </w:r>
      <w:r w:rsidR="002C0BB7">
        <w:t xml:space="preserve"> </w:t>
      </w:r>
      <w:r w:rsidR="00822B07">
        <w:t>referred to OC a</w:t>
      </w:r>
      <w:r w:rsidR="005027FE">
        <w:t>s</w:t>
      </w:r>
      <w:r w:rsidR="00822B07">
        <w:t xml:space="preserve"> being big business identifying the </w:t>
      </w:r>
      <w:r w:rsidR="000A2E64">
        <w:t>opportunities</w:t>
      </w:r>
      <w:r w:rsidR="00434B64">
        <w:t xml:space="preserve"> for wealth creation </w:t>
      </w:r>
      <w:r w:rsidR="00481E1E">
        <w:t>because of</w:t>
      </w:r>
      <w:r w:rsidR="00434B64">
        <w:t xml:space="preserve"> the world becoming smaller </w:t>
      </w:r>
      <w:r w:rsidR="000A2E64">
        <w:t xml:space="preserve">in a physical </w:t>
      </w:r>
      <w:r w:rsidR="00697F87">
        <w:t xml:space="preserve">(ease of travel) </w:t>
      </w:r>
      <w:r w:rsidR="000A2E64">
        <w:t xml:space="preserve">and virtual context. </w:t>
      </w:r>
      <w:r w:rsidR="00065A38">
        <w:t xml:space="preserve">These observations were made at a time whereby </w:t>
      </w:r>
      <w:r w:rsidR="00663568">
        <w:t>SOCA</w:t>
      </w:r>
      <w:r w:rsidR="00065A38">
        <w:t xml:space="preserve"> </w:t>
      </w:r>
      <w:r w:rsidR="000651D6">
        <w:t xml:space="preserve">was being conceived, absorbing its </w:t>
      </w:r>
      <w:r w:rsidR="002728AC">
        <w:t>predecessors</w:t>
      </w:r>
      <w:r w:rsidR="000651D6">
        <w:t xml:space="preserve"> </w:t>
      </w:r>
      <w:r w:rsidR="002728AC">
        <w:t>the National Crime Squad</w:t>
      </w:r>
      <w:r w:rsidR="005445CB">
        <w:t xml:space="preserve">, </w:t>
      </w:r>
      <w:r w:rsidR="003D238C">
        <w:t>the National Criminal Intelligence Service</w:t>
      </w:r>
      <w:r w:rsidR="005445CB">
        <w:t xml:space="preserve"> and aspects of </w:t>
      </w:r>
      <w:r w:rsidR="00392B9C">
        <w:t>Her Majesty’s Custom and Excise</w:t>
      </w:r>
      <w:r w:rsidR="003D238C">
        <w:t xml:space="preserve"> under one </w:t>
      </w:r>
      <w:r w:rsidR="00C64180">
        <w:t>agency</w:t>
      </w:r>
      <w:r w:rsidR="00997E50">
        <w:t xml:space="preserve"> </w:t>
      </w:r>
      <w:r w:rsidR="00A2076F">
        <w:t>centrally</w:t>
      </w:r>
      <w:r w:rsidR="003D238C">
        <w:t xml:space="preserve"> governed </w:t>
      </w:r>
      <w:r w:rsidR="00F864F9">
        <w:t>by the Home Office</w:t>
      </w:r>
      <w:r w:rsidR="008A5E85">
        <w:t>.</w:t>
      </w:r>
      <w:r w:rsidR="00556390">
        <w:t xml:space="preserve"> I feel that it is important to acknowledge th</w:t>
      </w:r>
      <w:r w:rsidR="004E1DB8">
        <w:t>is earlier</w:t>
      </w:r>
      <w:r w:rsidR="00556390">
        <w:t xml:space="preserve"> amalgamation of departments </w:t>
      </w:r>
      <w:r w:rsidR="00A50DF5">
        <w:t xml:space="preserve">as this reflects the trend in recent history when considering </w:t>
      </w:r>
      <w:r w:rsidR="009510FE">
        <w:t xml:space="preserve">the approach to tackling </w:t>
      </w:r>
      <w:r w:rsidR="003C73B8">
        <w:t>S</w:t>
      </w:r>
      <w:r w:rsidR="00C64180">
        <w:t>OC</w:t>
      </w:r>
      <w:r w:rsidR="00B71936">
        <w:t>.</w:t>
      </w:r>
      <w:r w:rsidR="00C64180">
        <w:t xml:space="preserve"> </w:t>
      </w:r>
      <w:r w:rsidR="00B71936">
        <w:t>T</w:t>
      </w:r>
      <w:r w:rsidR="00A50DF5">
        <w:t>he introduction of the NCA and the</w:t>
      </w:r>
      <w:r w:rsidR="004E1DB8">
        <w:t xml:space="preserve"> more recent</w:t>
      </w:r>
      <w:r w:rsidR="00A50DF5">
        <w:t xml:space="preserve"> propos</w:t>
      </w:r>
      <w:r w:rsidR="004E1DB8">
        <w:t>als of a</w:t>
      </w:r>
      <w:r w:rsidR="00A50DF5">
        <w:t xml:space="preserve"> National Police Force</w:t>
      </w:r>
      <w:r w:rsidR="000327A9">
        <w:t xml:space="preserve"> (Home Office 2026)</w:t>
      </w:r>
      <w:r w:rsidR="00F55483">
        <w:t xml:space="preserve"> infers</w:t>
      </w:r>
      <w:r w:rsidR="00A50DF5">
        <w:t xml:space="preserve"> that by making something bigger </w:t>
      </w:r>
      <w:r w:rsidR="00F55483">
        <w:t xml:space="preserve">it </w:t>
      </w:r>
      <w:r w:rsidR="00A50DF5">
        <w:t>is going to make it better or more effective</w:t>
      </w:r>
      <w:r w:rsidR="00E65FC5">
        <w:t>. T</w:t>
      </w:r>
      <w:r w:rsidR="00EB362E">
        <w:t xml:space="preserve">o date </w:t>
      </w:r>
      <w:r w:rsidR="00E65FC5">
        <w:t xml:space="preserve">there is little evidence to suggest that such </w:t>
      </w:r>
      <w:r w:rsidR="000929C5">
        <w:t>approaches have or are effective.</w:t>
      </w:r>
      <w:r w:rsidR="00A50DF5">
        <w:t xml:space="preserve"> </w:t>
      </w:r>
    </w:p>
    <w:p w14:paraId="2A30AF07" w14:textId="11AB4480" w:rsidR="00CB69A9" w:rsidRDefault="00CB69A9" w:rsidP="0083736F">
      <w:pPr>
        <w:rPr>
          <w:color w:val="000000" w:themeColor="text1"/>
        </w:rPr>
      </w:pPr>
      <w:r w:rsidRPr="00C46EE7">
        <w:rPr>
          <w:color w:val="000000" w:themeColor="text1"/>
        </w:rPr>
        <w:t>Fitzpatrick (2006)</w:t>
      </w:r>
      <w:r w:rsidR="00ED2552" w:rsidRPr="00C46EE7">
        <w:rPr>
          <w:color w:val="000000" w:themeColor="text1"/>
        </w:rPr>
        <w:t xml:space="preserve"> </w:t>
      </w:r>
      <w:r w:rsidR="003527D4" w:rsidRPr="00C46EE7">
        <w:rPr>
          <w:color w:val="000000" w:themeColor="text1"/>
        </w:rPr>
        <w:t>explores the introduction of the Serious and Organised Crime and Police Act 20</w:t>
      </w:r>
      <w:r w:rsidR="008251DF">
        <w:rPr>
          <w:color w:val="000000" w:themeColor="text1"/>
        </w:rPr>
        <w:t>0</w:t>
      </w:r>
      <w:r w:rsidR="003527D4" w:rsidRPr="00C46EE7">
        <w:rPr>
          <w:color w:val="000000" w:themeColor="text1"/>
        </w:rPr>
        <w:t xml:space="preserve">5. </w:t>
      </w:r>
      <w:r w:rsidR="00132556" w:rsidRPr="00C46EE7">
        <w:rPr>
          <w:color w:val="000000" w:themeColor="text1"/>
        </w:rPr>
        <w:t xml:space="preserve">An act established to focus attention on </w:t>
      </w:r>
      <w:r w:rsidR="003C73B8">
        <w:rPr>
          <w:color w:val="000000" w:themeColor="text1"/>
        </w:rPr>
        <w:t>S</w:t>
      </w:r>
      <w:r w:rsidR="00132556" w:rsidRPr="00C46EE7">
        <w:rPr>
          <w:color w:val="000000" w:themeColor="text1"/>
        </w:rPr>
        <w:t xml:space="preserve">OC and provide SOCA and </w:t>
      </w:r>
      <w:r w:rsidR="00C46EE7" w:rsidRPr="00C46EE7">
        <w:rPr>
          <w:color w:val="000000" w:themeColor="text1"/>
        </w:rPr>
        <w:t xml:space="preserve">law enforcement agencies with the powers to tackle </w:t>
      </w:r>
      <w:r w:rsidR="003C73B8">
        <w:rPr>
          <w:color w:val="000000" w:themeColor="text1"/>
        </w:rPr>
        <w:t>S</w:t>
      </w:r>
      <w:r w:rsidR="00C46EE7" w:rsidRPr="00C46EE7">
        <w:rPr>
          <w:color w:val="000000" w:themeColor="text1"/>
        </w:rPr>
        <w:t xml:space="preserve">OC effectively. </w:t>
      </w:r>
    </w:p>
    <w:p w14:paraId="2CDF56FA" w14:textId="09A4E379" w:rsidR="00546437" w:rsidRDefault="00546437" w:rsidP="0083736F">
      <w:r>
        <w:rPr>
          <w:color w:val="000000" w:themeColor="text1"/>
        </w:rPr>
        <w:t>Sproat (2012</w:t>
      </w:r>
      <w:r w:rsidR="00281B26">
        <w:rPr>
          <w:color w:val="000000" w:themeColor="text1"/>
        </w:rPr>
        <w:t xml:space="preserve">, p.317) </w:t>
      </w:r>
      <w:r w:rsidR="00706825">
        <w:rPr>
          <w:color w:val="000000" w:themeColor="text1"/>
        </w:rPr>
        <w:t xml:space="preserve">reflects that at the time of its inception SOCA asserted that </w:t>
      </w:r>
      <w:r w:rsidR="00B71427">
        <w:t xml:space="preserve">“new approaches are incorporated in a compendium of intervention capabilities, tools and techniques. </w:t>
      </w:r>
      <w:r w:rsidR="00D913F5">
        <w:t>Offering</w:t>
      </w:r>
      <w:r w:rsidR="00B71427">
        <w:t xml:space="preserve"> its</w:t>
      </w:r>
      <w:r w:rsidR="0074411B">
        <w:t xml:space="preserve"> </w:t>
      </w:r>
      <w:r w:rsidR="00B71427">
        <w:t>investigators and other operational officers a very wide range of tactical options”</w:t>
      </w:r>
      <w:r w:rsidR="00862626">
        <w:t>.</w:t>
      </w:r>
      <w:r w:rsidR="00B71427">
        <w:t xml:space="preserve"> Such tools and techniques </w:t>
      </w:r>
      <w:r w:rsidR="00A33732">
        <w:t>included</w:t>
      </w:r>
      <w:r w:rsidR="00B71427">
        <w:t xml:space="preserve"> the emergence </w:t>
      </w:r>
      <w:r w:rsidR="005A5EB8">
        <w:t xml:space="preserve">of </w:t>
      </w:r>
      <w:r w:rsidR="009B114E">
        <w:t xml:space="preserve">the Serious Crime Act 2007 and </w:t>
      </w:r>
      <w:r w:rsidR="0031709F">
        <w:t>use of preventative tools such as</w:t>
      </w:r>
      <w:r w:rsidR="00CE33A6">
        <w:t xml:space="preserve"> </w:t>
      </w:r>
      <w:r w:rsidR="006A13E5">
        <w:t>Travel Restriction Orders (TROs) Financial Reporting Orders (FROs) and Serious Crime Prevention Orders (SCPOs).</w:t>
      </w:r>
      <w:r w:rsidR="00943DAF">
        <w:t xml:space="preserve"> Sproat (2012, p. </w:t>
      </w:r>
      <w:r w:rsidR="00303145">
        <w:t xml:space="preserve">323) contextualises the need for such preventative tools, these being necessitated by the narrative that </w:t>
      </w:r>
      <w:r w:rsidR="00D12AC0">
        <w:t xml:space="preserve">those convicted of </w:t>
      </w:r>
      <w:r w:rsidR="003C73B8">
        <w:t>S</w:t>
      </w:r>
      <w:r w:rsidR="00D12AC0">
        <w:t>OC offences ha</w:t>
      </w:r>
      <w:r w:rsidR="00633D65">
        <w:t>ving</w:t>
      </w:r>
      <w:r w:rsidR="00D12AC0">
        <w:t xml:space="preserve"> an 85% recidivism rate</w:t>
      </w:r>
      <w:r w:rsidR="0071388E">
        <w:t xml:space="preserve"> which leads us to question why only 15.05% of those convicted were </w:t>
      </w:r>
      <w:r w:rsidR="0071388E">
        <w:lastRenderedPageBreak/>
        <w:t xml:space="preserve">subject to </w:t>
      </w:r>
      <w:r w:rsidR="00503741">
        <w:t xml:space="preserve">the preventative </w:t>
      </w:r>
      <w:r w:rsidR="002D2022">
        <w:t>tools</w:t>
      </w:r>
      <w:r w:rsidR="00503741">
        <w:t xml:space="preserve"> </w:t>
      </w:r>
      <w:r w:rsidR="002D2022">
        <w:t xml:space="preserve">listed </w:t>
      </w:r>
      <w:r w:rsidR="00503741">
        <w:t xml:space="preserve">above. </w:t>
      </w:r>
      <w:r w:rsidR="0036196A" w:rsidRPr="00C46EE7">
        <w:rPr>
          <w:color w:val="000000" w:themeColor="text1"/>
        </w:rPr>
        <w:t>Fitzpatrick (2006</w:t>
      </w:r>
      <w:r w:rsidR="0036196A">
        <w:rPr>
          <w:color w:val="000000" w:themeColor="text1"/>
        </w:rPr>
        <w:t>, p.135</w:t>
      </w:r>
      <w:r w:rsidR="0036196A" w:rsidRPr="00C46EE7">
        <w:rPr>
          <w:color w:val="000000" w:themeColor="text1"/>
        </w:rPr>
        <w:t>)</w:t>
      </w:r>
      <w:r w:rsidR="0036196A">
        <w:rPr>
          <w:color w:val="000000" w:themeColor="text1"/>
        </w:rPr>
        <w:t xml:space="preserve"> questions the </w:t>
      </w:r>
      <w:r w:rsidR="002440E5">
        <w:rPr>
          <w:color w:val="000000" w:themeColor="text1"/>
        </w:rPr>
        <w:t>preventive tools</w:t>
      </w:r>
      <w:r w:rsidR="00787825">
        <w:rPr>
          <w:color w:val="000000" w:themeColor="text1"/>
        </w:rPr>
        <w:t xml:space="preserve"> on display</w:t>
      </w:r>
      <w:r w:rsidR="0052693F">
        <w:rPr>
          <w:color w:val="000000" w:themeColor="text1"/>
        </w:rPr>
        <w:t>, that these are</w:t>
      </w:r>
      <w:r w:rsidR="000575E5">
        <w:rPr>
          <w:color w:val="000000" w:themeColor="text1"/>
        </w:rPr>
        <w:t>/were</w:t>
      </w:r>
      <w:r w:rsidR="0052693F">
        <w:rPr>
          <w:color w:val="000000" w:themeColor="text1"/>
        </w:rPr>
        <w:t xml:space="preserve"> too lenient and that without the implementation of more </w:t>
      </w:r>
      <w:r w:rsidR="00D57160">
        <w:rPr>
          <w:color w:val="000000" w:themeColor="text1"/>
        </w:rPr>
        <w:t>punitive</w:t>
      </w:r>
      <w:r w:rsidR="00F144EA">
        <w:rPr>
          <w:color w:val="000000" w:themeColor="text1"/>
        </w:rPr>
        <w:t xml:space="preserve"> RICO style</w:t>
      </w:r>
      <w:r w:rsidR="00D57160">
        <w:rPr>
          <w:color w:val="000000" w:themeColor="text1"/>
        </w:rPr>
        <w:t xml:space="preserve"> legislation</w:t>
      </w:r>
      <w:r w:rsidR="000575E5">
        <w:rPr>
          <w:color w:val="000000" w:themeColor="text1"/>
        </w:rPr>
        <w:t xml:space="preserve"> </w:t>
      </w:r>
      <w:r w:rsidR="00020DFF">
        <w:rPr>
          <w:color w:val="000000" w:themeColor="text1"/>
        </w:rPr>
        <w:t>the lack of serious</w:t>
      </w:r>
      <w:r w:rsidR="00251A84">
        <w:rPr>
          <w:color w:val="000000" w:themeColor="text1"/>
        </w:rPr>
        <w:t xml:space="preserve"> or realistic</w:t>
      </w:r>
      <w:r w:rsidR="00020DFF">
        <w:rPr>
          <w:color w:val="000000" w:themeColor="text1"/>
        </w:rPr>
        <w:t xml:space="preserve"> consequence tips offending in the balance of </w:t>
      </w:r>
      <w:r w:rsidR="003C73B8">
        <w:rPr>
          <w:color w:val="000000" w:themeColor="text1"/>
        </w:rPr>
        <w:t>S</w:t>
      </w:r>
      <w:r w:rsidR="00020DFF">
        <w:rPr>
          <w:color w:val="000000" w:themeColor="text1"/>
        </w:rPr>
        <w:t xml:space="preserve">OC </w:t>
      </w:r>
      <w:r w:rsidR="00124E34">
        <w:rPr>
          <w:color w:val="000000" w:themeColor="text1"/>
        </w:rPr>
        <w:t xml:space="preserve">with the reward far exceeding the perceived risk. </w:t>
      </w:r>
    </w:p>
    <w:p w14:paraId="09D98422" w14:textId="65BD4999" w:rsidR="0020706E" w:rsidRDefault="00BD5DBA" w:rsidP="0085610D">
      <w:r>
        <w:t xml:space="preserve">SOCA (2011) </w:t>
      </w:r>
      <w:r w:rsidR="009E68ED">
        <w:t xml:space="preserve">starts to </w:t>
      </w:r>
      <w:r w:rsidR="004C42D9">
        <w:t>formally</w:t>
      </w:r>
      <w:r w:rsidR="00CB02BB">
        <w:t xml:space="preserve"> acknowledge the threat </w:t>
      </w:r>
      <w:r w:rsidR="004C42D9">
        <w:t>posed</w:t>
      </w:r>
      <w:r w:rsidR="00CB02BB">
        <w:t xml:space="preserve"> by Organised </w:t>
      </w:r>
      <w:r w:rsidR="004C42D9">
        <w:t>Immigration</w:t>
      </w:r>
      <w:r w:rsidR="00CB02BB">
        <w:t xml:space="preserve"> Crime (OIC) </w:t>
      </w:r>
      <w:r w:rsidR="004C42D9">
        <w:t xml:space="preserve">resulting in the </w:t>
      </w:r>
      <w:r w:rsidR="00754D79">
        <w:t xml:space="preserve">Uk Hunman </w:t>
      </w:r>
      <w:r w:rsidR="00022118">
        <w:t>T</w:t>
      </w:r>
      <w:r w:rsidR="00754D79">
        <w:t>rafficking Centre being integrated into SOCA</w:t>
      </w:r>
      <w:r w:rsidR="006B1208">
        <w:t xml:space="preserve"> however also reflecting that SOCA </w:t>
      </w:r>
      <w:r w:rsidR="00002F1F">
        <w:t xml:space="preserve">will </w:t>
      </w:r>
      <w:r w:rsidR="009A6C0B">
        <w:t>be consumed by the</w:t>
      </w:r>
      <w:r w:rsidR="00002F1F">
        <w:t xml:space="preserve"> National Crime Agency (NCA)</w:t>
      </w:r>
      <w:r w:rsidR="00631ABD">
        <w:t xml:space="preserve">. </w:t>
      </w:r>
    </w:p>
    <w:p w14:paraId="0B1F2B1E" w14:textId="7BE2940E" w:rsidR="00ED6127" w:rsidRDefault="00ED6127" w:rsidP="00ED6127">
      <w:r>
        <w:t xml:space="preserve">Prior to SOCA being replaced by the NCA </w:t>
      </w:r>
      <w:r w:rsidR="00287F14">
        <w:t>Sproat (2012</w:t>
      </w:r>
      <w:r w:rsidR="001547A3">
        <w:t>, p.323</w:t>
      </w:r>
      <w:r w:rsidR="00287F14">
        <w:t xml:space="preserve">) reviews </w:t>
      </w:r>
      <w:r w:rsidR="002D1E96">
        <w:t>its</w:t>
      </w:r>
      <w:r w:rsidR="00287F14">
        <w:t xml:space="preserve"> performance question</w:t>
      </w:r>
      <w:r w:rsidR="002D1E96">
        <w:t>ing</w:t>
      </w:r>
      <w:r w:rsidR="00287F14">
        <w:t xml:space="preserve"> the balance between </w:t>
      </w:r>
      <w:r w:rsidR="00D208F9">
        <w:t>the messaging tha</w:t>
      </w:r>
      <w:r w:rsidR="00F97864">
        <w:t xml:space="preserve">t </w:t>
      </w:r>
      <w:r w:rsidR="00747BE2">
        <w:t>discuss</w:t>
      </w:r>
      <w:r w:rsidR="007C5305">
        <w:t>es the similarities between</w:t>
      </w:r>
      <w:r w:rsidR="00747BE2">
        <w:t xml:space="preserve"> </w:t>
      </w:r>
      <w:r w:rsidR="003C73B8">
        <w:t>S</w:t>
      </w:r>
      <w:r w:rsidR="00747BE2">
        <w:t>OC and terrorism</w:t>
      </w:r>
      <w:r w:rsidR="007A5BF5">
        <w:t xml:space="preserve">, with </w:t>
      </w:r>
      <w:r w:rsidR="003C73B8">
        <w:t>S</w:t>
      </w:r>
      <w:r w:rsidR="002D1E96">
        <w:t>OC</w:t>
      </w:r>
      <w:r w:rsidR="007A5BF5">
        <w:t xml:space="preserve"> posing a threat to national security. If such a threat was </w:t>
      </w:r>
      <w:r w:rsidR="00854702">
        <w:t>prominent,</w:t>
      </w:r>
      <w:r w:rsidR="002704F8">
        <w:t xml:space="preserve"> how are we supposed to assess the success of SOC</w:t>
      </w:r>
      <w:r w:rsidR="00194989">
        <w:t>A</w:t>
      </w:r>
      <w:r w:rsidR="002704F8">
        <w:t xml:space="preserve"> as anything more than </w:t>
      </w:r>
      <w:r w:rsidR="00D53AC4">
        <w:t xml:space="preserve">appeasement. The conviction rates </w:t>
      </w:r>
      <w:r w:rsidR="0075078B">
        <w:t xml:space="preserve">under SOCA would if </w:t>
      </w:r>
      <w:r w:rsidR="003C73B8">
        <w:t>S</w:t>
      </w:r>
      <w:r w:rsidR="0075078B">
        <w:t>OC stood still take the agency 100 years to resolve</w:t>
      </w:r>
      <w:r w:rsidR="00BD6E59">
        <w:t>. Sproat (2012</w:t>
      </w:r>
      <w:r>
        <w:t>, p. 322</w:t>
      </w:r>
      <w:r w:rsidR="00854702">
        <w:t>)</w:t>
      </w:r>
      <w:r>
        <w:t xml:space="preserve"> </w:t>
      </w:r>
      <w:r w:rsidR="00BD6E59">
        <w:t xml:space="preserve">goes on to state that </w:t>
      </w:r>
      <w:r>
        <w:t>“Such a position implies the authorities have conducted a phoney war on organised crime– possibly to frighten the public to accept illiberal legislation on the domestic front. Criminologists might prefer to use the phrase ‘moral panic’ to describe this situation”</w:t>
      </w:r>
    </w:p>
    <w:p w14:paraId="4DE57F9C" w14:textId="37C66BDE" w:rsidR="00354886" w:rsidRPr="00CC3438" w:rsidRDefault="00354886" w:rsidP="00ED6127">
      <w:r>
        <w:t xml:space="preserve">There appears to be a lack of material which examines the </w:t>
      </w:r>
      <w:r w:rsidR="005367E5">
        <w:t>successes</w:t>
      </w:r>
      <w:r>
        <w:t xml:space="preserve"> and more importantly failures of SOCA. </w:t>
      </w:r>
      <w:r w:rsidR="006E7344">
        <w:t xml:space="preserve">I am not </w:t>
      </w:r>
      <w:r w:rsidR="00B132BE">
        <w:t xml:space="preserve">looking to use hindsight to </w:t>
      </w:r>
      <w:r w:rsidR="001B1A25">
        <w:t xml:space="preserve">unnecessarily </w:t>
      </w:r>
      <w:r w:rsidR="00076ABB">
        <w:t>critique it</w:t>
      </w:r>
      <w:r w:rsidR="00B132BE">
        <w:t xml:space="preserve">s failings </w:t>
      </w:r>
      <w:r w:rsidR="004D74F5">
        <w:t xml:space="preserve">however </w:t>
      </w:r>
      <w:r w:rsidR="005367E5">
        <w:t>more with a motivation</w:t>
      </w:r>
      <w:r w:rsidR="00076ABB">
        <w:t xml:space="preserve"> to</w:t>
      </w:r>
      <w:r w:rsidR="004D74F5">
        <w:t xml:space="preserve"> learn from them and</w:t>
      </w:r>
      <w:r w:rsidR="00076ABB">
        <w:t xml:space="preserve"> inform </w:t>
      </w:r>
      <w:r w:rsidR="005367E5">
        <w:t>future change</w:t>
      </w:r>
      <w:r w:rsidR="001B1A25">
        <w:t>.</w:t>
      </w:r>
    </w:p>
    <w:p w14:paraId="19C55C81" w14:textId="61F3F662" w:rsidR="00287F14" w:rsidRPr="00CD77C7" w:rsidRDefault="00B55EEA" w:rsidP="0020706E">
      <w:pPr>
        <w:rPr>
          <w:b/>
          <w:bCs/>
          <w:u w:val="single"/>
        </w:rPr>
      </w:pPr>
      <w:r w:rsidRPr="00CD77C7">
        <w:rPr>
          <w:b/>
          <w:bCs/>
          <w:u w:val="single"/>
        </w:rPr>
        <w:t>National Crime Agency</w:t>
      </w:r>
    </w:p>
    <w:p w14:paraId="2569A2F0" w14:textId="53DDA886" w:rsidR="00354886" w:rsidRDefault="00354886" w:rsidP="00354886">
      <w:r>
        <w:t>According to the NCA’s National Strategic Assessment of Serious and Organised Crime in 2019, there are more than 4,500 recognised organised crime groups (OCGs) operating in the UK</w:t>
      </w:r>
      <w:r w:rsidR="00A40898">
        <w:t xml:space="preserve"> </w:t>
      </w:r>
      <w:r w:rsidR="00FD4ABF">
        <w:t>(HMICFRS 2021)</w:t>
      </w:r>
      <w:r w:rsidR="00A40898">
        <w:t xml:space="preserve">. </w:t>
      </w:r>
      <w:r w:rsidR="00E950C7">
        <w:t xml:space="preserve">This is not including Urban Street Gangs </w:t>
      </w:r>
      <w:r w:rsidR="001E3F48">
        <w:t xml:space="preserve">which </w:t>
      </w:r>
      <w:r w:rsidR="00A40898">
        <w:t xml:space="preserve">Crocker et al. (2019, p.435) </w:t>
      </w:r>
      <w:r w:rsidR="00E950C7">
        <w:t xml:space="preserve">discuss as being considered for inclusion </w:t>
      </w:r>
      <w:r w:rsidR="00F77E2E">
        <w:t xml:space="preserve">in </w:t>
      </w:r>
      <w:r w:rsidR="005F0F79">
        <w:t>S</w:t>
      </w:r>
      <w:r w:rsidR="00F77E2E">
        <w:t xml:space="preserve">OC statistics. </w:t>
      </w:r>
    </w:p>
    <w:p w14:paraId="16392075" w14:textId="2796574D" w:rsidR="00951500" w:rsidRDefault="00951500" w:rsidP="00354886">
      <w:r>
        <w:t>The National Crime Agency (2025) outlined the current threats</w:t>
      </w:r>
      <w:r w:rsidR="00087999">
        <w:t xml:space="preserve"> in the context of SOC as:</w:t>
      </w:r>
    </w:p>
    <w:p w14:paraId="08C69F60" w14:textId="121A6CD1" w:rsidR="00087999" w:rsidRDefault="00087999" w:rsidP="00087999">
      <w:pPr>
        <w:pStyle w:val="ListParagraph"/>
        <w:numPr>
          <w:ilvl w:val="0"/>
          <w:numId w:val="2"/>
        </w:numPr>
      </w:pPr>
      <w:r>
        <w:t>Child Sexual Abuse</w:t>
      </w:r>
    </w:p>
    <w:p w14:paraId="4E55E978" w14:textId="4E2FCFFE" w:rsidR="00087999" w:rsidRDefault="00087999" w:rsidP="00087999">
      <w:pPr>
        <w:pStyle w:val="ListParagraph"/>
        <w:numPr>
          <w:ilvl w:val="0"/>
          <w:numId w:val="2"/>
        </w:numPr>
      </w:pPr>
      <w:r>
        <w:t>Cyber</w:t>
      </w:r>
    </w:p>
    <w:p w14:paraId="2C694A8B" w14:textId="504FBA6D" w:rsidR="00087999" w:rsidRDefault="00087999" w:rsidP="00087999">
      <w:pPr>
        <w:pStyle w:val="ListParagraph"/>
        <w:numPr>
          <w:ilvl w:val="0"/>
          <w:numId w:val="2"/>
        </w:numPr>
      </w:pPr>
      <w:r>
        <w:t>Drugs</w:t>
      </w:r>
    </w:p>
    <w:p w14:paraId="7B3DB01D" w14:textId="3FB8DD56" w:rsidR="00087999" w:rsidRDefault="00087999" w:rsidP="00087999">
      <w:pPr>
        <w:pStyle w:val="ListParagraph"/>
        <w:numPr>
          <w:ilvl w:val="0"/>
          <w:numId w:val="2"/>
        </w:numPr>
      </w:pPr>
      <w:r>
        <w:t>Firearm</w:t>
      </w:r>
    </w:p>
    <w:p w14:paraId="2DC2EE69" w14:textId="12968BA3" w:rsidR="00087999" w:rsidRDefault="00087999" w:rsidP="00087999">
      <w:pPr>
        <w:pStyle w:val="ListParagraph"/>
        <w:numPr>
          <w:ilvl w:val="0"/>
          <w:numId w:val="2"/>
        </w:numPr>
      </w:pPr>
      <w:r>
        <w:t>Fraud</w:t>
      </w:r>
    </w:p>
    <w:p w14:paraId="6FC83D59" w14:textId="39727C16" w:rsidR="00087999" w:rsidRDefault="00087999" w:rsidP="00087999">
      <w:pPr>
        <w:pStyle w:val="ListParagraph"/>
        <w:numPr>
          <w:ilvl w:val="0"/>
          <w:numId w:val="2"/>
        </w:numPr>
      </w:pPr>
      <w:r>
        <w:t>Illicit Finance</w:t>
      </w:r>
    </w:p>
    <w:p w14:paraId="7853DCEE" w14:textId="4B4EB557" w:rsidR="00087999" w:rsidRDefault="000D6219" w:rsidP="00087999">
      <w:pPr>
        <w:pStyle w:val="ListParagraph"/>
        <w:numPr>
          <w:ilvl w:val="0"/>
          <w:numId w:val="2"/>
        </w:numPr>
      </w:pPr>
      <w:r>
        <w:t>Modern Slavery and Human Trafficking</w:t>
      </w:r>
    </w:p>
    <w:p w14:paraId="108DD325" w14:textId="3AC8B8DC" w:rsidR="000D6219" w:rsidRDefault="000D6219" w:rsidP="00087999">
      <w:pPr>
        <w:pStyle w:val="ListParagraph"/>
        <w:numPr>
          <w:ilvl w:val="0"/>
          <w:numId w:val="2"/>
        </w:numPr>
      </w:pPr>
      <w:r>
        <w:t>Organised Acquisitive Crime</w:t>
      </w:r>
    </w:p>
    <w:p w14:paraId="668D77C9" w14:textId="1A58C74B" w:rsidR="000D6219" w:rsidRDefault="000D6219" w:rsidP="00087999">
      <w:pPr>
        <w:pStyle w:val="ListParagraph"/>
        <w:numPr>
          <w:ilvl w:val="0"/>
          <w:numId w:val="2"/>
        </w:numPr>
      </w:pPr>
      <w:r>
        <w:t>Organised Immigration Crime</w:t>
      </w:r>
    </w:p>
    <w:p w14:paraId="37729357" w14:textId="10088F4C" w:rsidR="000D6219" w:rsidRDefault="005E12AB" w:rsidP="000D6219">
      <w:r>
        <w:lastRenderedPageBreak/>
        <w:t>More usefully there has been a move to understand the enablers that straddle</w:t>
      </w:r>
      <w:r w:rsidR="00A72231">
        <w:t xml:space="preserve"> and impact across </w:t>
      </w:r>
      <w:r w:rsidR="00053C95">
        <w:t>SOC, these being:</w:t>
      </w:r>
    </w:p>
    <w:p w14:paraId="2099C0E8" w14:textId="60024AD4" w:rsidR="00053C95" w:rsidRDefault="00053C95" w:rsidP="00053C95">
      <w:pPr>
        <w:pStyle w:val="ListParagraph"/>
        <w:numPr>
          <w:ilvl w:val="0"/>
          <w:numId w:val="3"/>
        </w:numPr>
      </w:pPr>
      <w:r>
        <w:t xml:space="preserve">The Criminal Use of technology </w:t>
      </w:r>
    </w:p>
    <w:p w14:paraId="6666F3A3" w14:textId="491A6549" w:rsidR="00053C95" w:rsidRDefault="00053C95" w:rsidP="00053C95">
      <w:pPr>
        <w:pStyle w:val="ListParagraph"/>
        <w:numPr>
          <w:ilvl w:val="0"/>
          <w:numId w:val="3"/>
        </w:numPr>
      </w:pPr>
      <w:r>
        <w:t>The UK Border</w:t>
      </w:r>
    </w:p>
    <w:p w14:paraId="38FC7EF9" w14:textId="0EF967E9" w:rsidR="00053C95" w:rsidRDefault="00053C95" w:rsidP="00053C95">
      <w:pPr>
        <w:pStyle w:val="ListParagraph"/>
        <w:numPr>
          <w:ilvl w:val="0"/>
          <w:numId w:val="3"/>
        </w:numPr>
      </w:pPr>
      <w:r>
        <w:t xml:space="preserve">Insider Threats, Bribery and Corruption </w:t>
      </w:r>
    </w:p>
    <w:p w14:paraId="49529490" w14:textId="12521E7C" w:rsidR="00053C95" w:rsidRDefault="00053C95" w:rsidP="00053C95">
      <w:pPr>
        <w:pStyle w:val="ListParagraph"/>
        <w:numPr>
          <w:ilvl w:val="0"/>
          <w:numId w:val="3"/>
        </w:numPr>
      </w:pPr>
      <w:r>
        <w:t xml:space="preserve">Prisons and Probation </w:t>
      </w:r>
    </w:p>
    <w:p w14:paraId="368D36C3" w14:textId="1B2D3C92" w:rsidR="00822BE3" w:rsidRDefault="00354886" w:rsidP="00354886">
      <w:r>
        <w:t>The</w:t>
      </w:r>
      <w:r w:rsidR="007F6E44">
        <w:t xml:space="preserve"> identified threats </w:t>
      </w:r>
      <w:r w:rsidR="00161F6F">
        <w:t>focus</w:t>
      </w:r>
      <w:r w:rsidR="001557E8">
        <w:t xml:space="preserve"> Forces and ROCUS in </w:t>
      </w:r>
      <w:r w:rsidR="00161F6F">
        <w:t xml:space="preserve">setting </w:t>
      </w:r>
      <w:r w:rsidR="001557E8">
        <w:t xml:space="preserve">priorities and </w:t>
      </w:r>
      <w:r w:rsidR="00161F6F">
        <w:t xml:space="preserve">helps to </w:t>
      </w:r>
      <w:r w:rsidR="001557E8">
        <w:t>align</w:t>
      </w:r>
      <w:r w:rsidR="004A3244">
        <w:t xml:space="preserve"> them</w:t>
      </w:r>
      <w:r w:rsidR="001557E8">
        <w:t xml:space="preserve"> with </w:t>
      </w:r>
      <w:r w:rsidR="004A3244">
        <w:t xml:space="preserve">the </w:t>
      </w:r>
      <w:r>
        <w:t>management of risk in law enforcement (</w:t>
      </w:r>
      <w:proofErr w:type="spellStart"/>
      <w:r>
        <w:t>MoRiLE</w:t>
      </w:r>
      <w:proofErr w:type="spellEnd"/>
      <w:r>
        <w:t>), a system that law enforcement agencies use to help them consistently assess and prioritise risk.</w:t>
      </w:r>
      <w:r w:rsidR="005C18F7">
        <w:t xml:space="preserve"> Consistency is to be commended </w:t>
      </w:r>
      <w:r w:rsidR="003D386A">
        <w:t>however the HMICFRS (2025, p.38</w:t>
      </w:r>
      <w:r w:rsidR="00AE6C7D">
        <w:t>a</w:t>
      </w:r>
      <w:r w:rsidR="003D386A">
        <w:t xml:space="preserve">) highlight </w:t>
      </w:r>
      <w:r>
        <w:t xml:space="preserve">problems with the current way of assessing the level of risk that OCGs present. </w:t>
      </w:r>
      <w:r w:rsidR="00F262F3">
        <w:t xml:space="preserve">The </w:t>
      </w:r>
      <w:proofErr w:type="spellStart"/>
      <w:r w:rsidR="00F262F3">
        <w:t>MoRiLE</w:t>
      </w:r>
      <w:proofErr w:type="spellEnd"/>
      <w:r w:rsidR="00F262F3">
        <w:t xml:space="preserve"> matrix has been </w:t>
      </w:r>
      <w:r w:rsidR="00F65034">
        <w:t>criticised</w:t>
      </w:r>
      <w:r w:rsidR="00F96371">
        <w:t xml:space="preserve"> as being unfairly weighted towards OCGS that operate in an environment associated with drugs and firearms and that these will often </w:t>
      </w:r>
      <w:r w:rsidR="00F65034">
        <w:t xml:space="preserve">outscore OCGS operating in the OIC space. </w:t>
      </w:r>
      <w:r w:rsidR="00CF50D7">
        <w:t>Moving forward w</w:t>
      </w:r>
      <w:r w:rsidR="00E769B2">
        <w:t xml:space="preserve">hen looking at commodities there </w:t>
      </w:r>
      <w:r w:rsidR="00AE6C7D">
        <w:t>must</w:t>
      </w:r>
      <w:r w:rsidR="00E769B2">
        <w:t xml:space="preserve"> be a </w:t>
      </w:r>
      <w:r w:rsidR="00E53CB8">
        <w:t>rationale</w:t>
      </w:r>
      <w:r w:rsidR="00E769B2">
        <w:t xml:space="preserve"> </w:t>
      </w:r>
      <w:r w:rsidR="00AE6C7D">
        <w:t>for</w:t>
      </w:r>
      <w:r w:rsidR="00E769B2">
        <w:t xml:space="preserve"> scor</w:t>
      </w:r>
      <w:r w:rsidR="00AE6C7D">
        <w:t>ing</w:t>
      </w:r>
      <w:r w:rsidR="00E769B2">
        <w:t xml:space="preserve"> the human aspect within the OIC space </w:t>
      </w:r>
      <w:r w:rsidR="00E53CB8">
        <w:t>above what can be seen as a</w:t>
      </w:r>
      <w:r w:rsidR="00715086">
        <w:t>n</w:t>
      </w:r>
      <w:r w:rsidR="00E53CB8">
        <w:t xml:space="preserve"> </w:t>
      </w:r>
      <w:r w:rsidR="00715086">
        <w:t>in</w:t>
      </w:r>
      <w:r w:rsidR="00EE6BA7">
        <w:t>animate</w:t>
      </w:r>
      <w:r w:rsidR="00E53CB8">
        <w:t xml:space="preserve"> commodity such a</w:t>
      </w:r>
      <w:r w:rsidR="00B41CD0">
        <w:t>s</w:t>
      </w:r>
      <w:r w:rsidR="00E53CB8">
        <w:t xml:space="preserve"> drugs</w:t>
      </w:r>
      <w:r w:rsidR="007B6660">
        <w:t xml:space="preserve"> (in the absence of associated violence). </w:t>
      </w:r>
    </w:p>
    <w:p w14:paraId="6270FFD1" w14:textId="43196DF8" w:rsidR="00475215" w:rsidRPr="00393EBC" w:rsidRDefault="000370BE" w:rsidP="00475215">
      <w:r>
        <w:t xml:space="preserve">The clarity in identifying such threats through accurate recording is </w:t>
      </w:r>
      <w:r w:rsidR="004F0BA2">
        <w:t>echoed by the Home Office (2023)</w:t>
      </w:r>
      <w:r w:rsidR="004E316D">
        <w:t xml:space="preserve"> which identifies the SOC </w:t>
      </w:r>
      <w:proofErr w:type="spellStart"/>
      <w:r w:rsidR="004E316D">
        <w:t>Masterlist</w:t>
      </w:r>
      <w:proofErr w:type="spellEnd"/>
      <w:r w:rsidR="00023EA8">
        <w:t xml:space="preserve">. The SOC </w:t>
      </w:r>
      <w:proofErr w:type="spellStart"/>
      <w:r w:rsidR="00023EA8">
        <w:t>Masterlist</w:t>
      </w:r>
      <w:proofErr w:type="spellEnd"/>
      <w:r w:rsidR="00023EA8">
        <w:t xml:space="preserve"> c</w:t>
      </w:r>
      <w:r w:rsidR="00776988">
        <w:t>apture</w:t>
      </w:r>
      <w:r w:rsidR="00DB761B">
        <w:t xml:space="preserve">s </w:t>
      </w:r>
      <w:r w:rsidR="00776988">
        <w:t>operational activity across law enforcement against SOC</w:t>
      </w:r>
      <w:r w:rsidR="006A6298">
        <w:t xml:space="preserve">. </w:t>
      </w:r>
      <w:r w:rsidR="002279E6">
        <w:t xml:space="preserve">In </w:t>
      </w:r>
      <w:r w:rsidR="00730C3A">
        <w:t>addition,</w:t>
      </w:r>
      <w:r w:rsidR="002279E6">
        <w:t xml:space="preserve"> the introduction of agency and partner management information system (APMIS) has seen the NCA, ROCUS and police forces </w:t>
      </w:r>
      <w:r w:rsidR="005C3BDE">
        <w:t>utilising one database to store and record SOC threats, development and disruptions</w:t>
      </w:r>
      <w:r w:rsidR="00393EBC">
        <w:rPr>
          <w:color w:val="FF0000"/>
        </w:rPr>
        <w:t xml:space="preserve"> </w:t>
      </w:r>
      <w:r w:rsidR="00393EBC" w:rsidRPr="00393EBC">
        <w:rPr>
          <w:color w:val="000000" w:themeColor="text1"/>
        </w:rPr>
        <w:t>HMICFRS (2025b, p.3)</w:t>
      </w:r>
      <w:r w:rsidR="002279E6">
        <w:t xml:space="preserve">. </w:t>
      </w:r>
      <w:r w:rsidR="006A6298">
        <w:t>T</w:t>
      </w:r>
      <w:r w:rsidR="00475215">
        <w:t xml:space="preserve">he </w:t>
      </w:r>
      <w:r w:rsidR="00475215" w:rsidRPr="001E5853">
        <w:rPr>
          <w:color w:val="000000" w:themeColor="text1"/>
        </w:rPr>
        <w:t>HMICFRS (2020, p. 36)</w:t>
      </w:r>
      <w:r w:rsidR="00CA479F">
        <w:rPr>
          <w:color w:val="000000" w:themeColor="text1"/>
        </w:rPr>
        <w:t xml:space="preserve"> explain</w:t>
      </w:r>
      <w:r w:rsidR="009D672E">
        <w:rPr>
          <w:color w:val="000000" w:themeColor="text1"/>
        </w:rPr>
        <w:t>ed</w:t>
      </w:r>
      <w:r w:rsidR="00CA479F">
        <w:rPr>
          <w:color w:val="000000" w:themeColor="text1"/>
        </w:rPr>
        <w:t xml:space="preserve"> that the NCA </w:t>
      </w:r>
      <w:r w:rsidR="00351DEB">
        <w:rPr>
          <w:color w:val="000000" w:themeColor="text1"/>
        </w:rPr>
        <w:t>is not configured to deal with SOC sufficiently to the standard that the public would expect</w:t>
      </w:r>
      <w:r w:rsidR="00572F56">
        <w:rPr>
          <w:color w:val="000000" w:themeColor="text1"/>
        </w:rPr>
        <w:t xml:space="preserve"> and it is yet to be seen if measures such as the </w:t>
      </w:r>
      <w:proofErr w:type="spellStart"/>
      <w:r w:rsidR="00572F56">
        <w:rPr>
          <w:color w:val="000000" w:themeColor="text1"/>
        </w:rPr>
        <w:t>Masterlist</w:t>
      </w:r>
      <w:proofErr w:type="spellEnd"/>
      <w:r w:rsidR="00572F56">
        <w:rPr>
          <w:color w:val="000000" w:themeColor="text1"/>
        </w:rPr>
        <w:t xml:space="preserve"> </w:t>
      </w:r>
      <w:r w:rsidR="00393EBC">
        <w:rPr>
          <w:color w:val="000000" w:themeColor="text1"/>
        </w:rPr>
        <w:t xml:space="preserve">and APMIS </w:t>
      </w:r>
      <w:r w:rsidR="00572F56">
        <w:rPr>
          <w:color w:val="000000" w:themeColor="text1"/>
        </w:rPr>
        <w:t xml:space="preserve">are sufficient to remedy such concerns. </w:t>
      </w:r>
      <w:r w:rsidR="00351DEB">
        <w:rPr>
          <w:color w:val="000000" w:themeColor="text1"/>
        </w:rPr>
        <w:t xml:space="preserve"> </w:t>
      </w:r>
    </w:p>
    <w:p w14:paraId="4C01401F" w14:textId="197366F0" w:rsidR="00ED6C27" w:rsidRPr="00817F64" w:rsidRDefault="00817F64" w:rsidP="00475215">
      <w:pPr>
        <w:rPr>
          <w:b/>
          <w:bCs/>
          <w:color w:val="000000" w:themeColor="text1"/>
          <w:u w:val="single"/>
        </w:rPr>
      </w:pPr>
      <w:r w:rsidRPr="00817F64">
        <w:rPr>
          <w:b/>
          <w:bCs/>
          <w:color w:val="000000" w:themeColor="text1"/>
          <w:u w:val="single"/>
        </w:rPr>
        <w:t>Public Perspective</w:t>
      </w:r>
    </w:p>
    <w:p w14:paraId="18753B64" w14:textId="31545F8D" w:rsidR="00C566C3" w:rsidRDefault="00A12149" w:rsidP="00354886">
      <w:r>
        <w:t>Understanding</w:t>
      </w:r>
      <w:r w:rsidR="000346E3">
        <w:t xml:space="preserve"> what the response to SOC has and continues to be is important</w:t>
      </w:r>
      <w:r w:rsidR="00514CF3">
        <w:t>,</w:t>
      </w:r>
      <w:r w:rsidR="000346E3">
        <w:t xml:space="preserve"> </w:t>
      </w:r>
      <w:r w:rsidR="00A03269">
        <w:t xml:space="preserve">equally so is </w:t>
      </w:r>
      <w:r w:rsidR="000346E3">
        <w:t>understand</w:t>
      </w:r>
      <w:r w:rsidR="00A03269">
        <w:t>ing</w:t>
      </w:r>
      <w:r w:rsidR="000346E3">
        <w:t xml:space="preserve"> what the public perception of SOC is</w:t>
      </w:r>
      <w:r w:rsidR="00E13D5C">
        <w:t>. Whilst accepting that the general population will be unaware of the intricate details of SOC it is important that we ensure that the Policing response is proportionate</w:t>
      </w:r>
      <w:r w:rsidR="00C36E8E">
        <w:t xml:space="preserve">. At a time when public confidence is constantly under scrutiny </w:t>
      </w:r>
      <w:r w:rsidR="00D2169C">
        <w:t xml:space="preserve">it </w:t>
      </w:r>
      <w:r w:rsidR="00C36E8E">
        <w:t xml:space="preserve">is </w:t>
      </w:r>
      <w:r w:rsidR="002B671F">
        <w:t>crucial</w:t>
      </w:r>
      <w:r w:rsidR="00C36E8E">
        <w:t xml:space="preserve"> that Policing is </w:t>
      </w:r>
      <w:r w:rsidR="00752209">
        <w:t xml:space="preserve">being seen to respond to the crimes and or concerns that impact the public and their perception of safety and security. </w:t>
      </w:r>
    </w:p>
    <w:p w14:paraId="6FA1210A" w14:textId="1EA1F7D1" w:rsidR="00ED5CB4" w:rsidRDefault="00D81673" w:rsidP="00354886">
      <w:r>
        <w:t xml:space="preserve">With fraud being identified as a SOC threat </w:t>
      </w:r>
      <w:r w:rsidR="00722E9B">
        <w:t xml:space="preserve">the </w:t>
      </w:r>
      <w:r w:rsidR="00ED5CB4">
        <w:t xml:space="preserve">Home Office (2026, p. </w:t>
      </w:r>
      <w:r w:rsidR="006849AC">
        <w:t xml:space="preserve">8) reports that </w:t>
      </w:r>
      <w:r w:rsidR="008C418B">
        <w:t>44% of all crime</w:t>
      </w:r>
      <w:r w:rsidR="00722E9B">
        <w:t xml:space="preserve"> in 2024/25</w:t>
      </w:r>
      <w:r w:rsidR="00E06D86">
        <w:t xml:space="preserve"> was</w:t>
      </w:r>
      <w:r w:rsidR="008C418B">
        <w:t xml:space="preserve"> </w:t>
      </w:r>
      <w:r w:rsidR="001037CF">
        <w:t>made up by fraud offences</w:t>
      </w:r>
      <w:r w:rsidR="004C413E">
        <w:t xml:space="preserve"> with the </w:t>
      </w:r>
      <w:r w:rsidR="000868FB">
        <w:t>NCA (2025) estimating that only 14% of frauds against individuals are reported</w:t>
      </w:r>
      <w:r w:rsidR="001037CF">
        <w:t xml:space="preserve">. </w:t>
      </w:r>
      <w:r w:rsidR="000868FB">
        <w:t>Accepting</w:t>
      </w:r>
      <w:r w:rsidR="001037CF">
        <w:t xml:space="preserve"> the impact </w:t>
      </w:r>
      <w:r w:rsidR="0036216F">
        <w:t xml:space="preserve">of fraud offences </w:t>
      </w:r>
      <w:r w:rsidR="001037CF">
        <w:t xml:space="preserve">by way of volume, does </w:t>
      </w:r>
      <w:r w:rsidR="002D7183">
        <w:t>it</w:t>
      </w:r>
      <w:r w:rsidR="001037CF">
        <w:t xml:space="preserve"> have a significant impact on the </w:t>
      </w:r>
      <w:r w:rsidR="009B2C97">
        <w:lastRenderedPageBreak/>
        <w:t>public</w:t>
      </w:r>
      <w:r w:rsidR="00E7275E">
        <w:t xml:space="preserve"> and in turn public </w:t>
      </w:r>
      <w:r w:rsidR="009B2C97">
        <w:t xml:space="preserve">confidence in the </w:t>
      </w:r>
      <w:r w:rsidR="00BE5461">
        <w:t>policing</w:t>
      </w:r>
      <w:r w:rsidR="00E7275E">
        <w:t>?</w:t>
      </w:r>
      <w:r w:rsidR="009B2C97">
        <w:t xml:space="preserve"> </w:t>
      </w:r>
      <w:r w:rsidR="00A55AEC">
        <w:t xml:space="preserve">Bullock and Leeney (2012, p.281) would argue not </w:t>
      </w:r>
      <w:r w:rsidR="008A696E">
        <w:t>sighting harm as being the key impact factor i</w:t>
      </w:r>
      <w:r w:rsidR="002D7183">
        <w:t xml:space="preserve">nfluencing </w:t>
      </w:r>
      <w:r w:rsidR="008A696E">
        <w:t xml:space="preserve">public concern and </w:t>
      </w:r>
      <w:r w:rsidR="004A44A6">
        <w:t xml:space="preserve">that due to the impact of fraud style offences being financial rather than physical it does not illicit the same levels of concern. </w:t>
      </w:r>
      <w:r w:rsidR="00066D06">
        <w:t>Of course,</w:t>
      </w:r>
      <w:r w:rsidR="001F0B54">
        <w:t xml:space="preserve"> fraud offences could be </w:t>
      </w:r>
      <w:r w:rsidR="001D1D73">
        <w:t xml:space="preserve">linked with funding more serious crime however when balancing the impact its demand has on police resources there is a strong argument to </w:t>
      </w:r>
      <w:r w:rsidR="0018593A">
        <w:t>support that this should be addresse</w:t>
      </w:r>
      <w:r w:rsidR="00517FCC">
        <w:t>d</w:t>
      </w:r>
      <w:r w:rsidR="0018593A">
        <w:t xml:space="preserve"> by those outside the police in the financial</w:t>
      </w:r>
      <w:r w:rsidR="00C612D9">
        <w:t>, private</w:t>
      </w:r>
      <w:r w:rsidR="0018593A">
        <w:t xml:space="preserve"> and business sectors. </w:t>
      </w:r>
    </w:p>
    <w:p w14:paraId="6612A282" w14:textId="09B9D891" w:rsidR="00514CF3" w:rsidRDefault="002F5988" w:rsidP="00354886">
      <w:r w:rsidRPr="002F5988">
        <w:t>Home Office (2026, p. 8)</w:t>
      </w:r>
      <w:r>
        <w:t xml:space="preserve"> </w:t>
      </w:r>
      <w:r w:rsidR="00F77402">
        <w:t>explained</w:t>
      </w:r>
      <w:r>
        <w:t xml:space="preserve"> that in 2024/2</w:t>
      </w:r>
      <w:r w:rsidR="00BE5461">
        <w:t>5</w:t>
      </w:r>
      <w:r>
        <w:t xml:space="preserve"> public </w:t>
      </w:r>
      <w:r w:rsidR="00F77402">
        <w:t xml:space="preserve">confidence in the police had fallen to 67%. </w:t>
      </w:r>
      <w:r w:rsidRPr="002F5988">
        <w:t xml:space="preserve"> </w:t>
      </w:r>
      <w:r w:rsidR="00DD64B8">
        <w:t>Skidmore et al. (2020</w:t>
      </w:r>
      <w:r w:rsidR="005122AC">
        <w:t>, p. 192</w:t>
      </w:r>
      <w:r w:rsidR="00DD64B8">
        <w:t xml:space="preserve">) </w:t>
      </w:r>
      <w:r w:rsidR="00B4707B">
        <w:t>sights</w:t>
      </w:r>
      <w:r w:rsidR="00C251D5">
        <w:t xml:space="preserve"> th</w:t>
      </w:r>
      <w:r w:rsidR="00EB31CB">
        <w:t xml:space="preserve">at 84% of the public believe that organised crime </w:t>
      </w:r>
      <w:r w:rsidR="00E81494">
        <w:t xml:space="preserve">is a problem however a third only perceive it as a problem in their area </w:t>
      </w:r>
      <w:r w:rsidR="00197E29">
        <w:t xml:space="preserve">with victims rarely having knowledge of the origin of the </w:t>
      </w:r>
      <w:r w:rsidR="00704885">
        <w:t>offences,</w:t>
      </w:r>
      <w:r w:rsidR="00197E29">
        <w:t xml:space="preserve"> they ar</w:t>
      </w:r>
      <w:r w:rsidR="00B4707B">
        <w:t xml:space="preserve">e subject to. </w:t>
      </w:r>
      <w:r w:rsidR="000D7B00">
        <w:t xml:space="preserve">Bullock and Leeney </w:t>
      </w:r>
      <w:r w:rsidR="00704885">
        <w:t xml:space="preserve">(2012, pp. 283-289) </w:t>
      </w:r>
      <w:r w:rsidR="00E81035">
        <w:t xml:space="preserve">discuss that SOC is </w:t>
      </w:r>
      <w:r w:rsidR="00714B55">
        <w:t xml:space="preserve">viewed by the public as something that is happening </w:t>
      </w:r>
      <w:r w:rsidR="0004434B">
        <w:t xml:space="preserve">somewhere else and to someone else. They go on to assert that the public perception of SOC is largely </w:t>
      </w:r>
      <w:r w:rsidR="005175F9">
        <w:t>in response to media reports of specific events</w:t>
      </w:r>
      <w:r w:rsidR="006B3816">
        <w:t>.</w:t>
      </w:r>
      <w:r w:rsidR="00555ADD">
        <w:t xml:space="preserve"> Arguably media reporting has as much impact on public confidence </w:t>
      </w:r>
      <w:r w:rsidR="00232B06">
        <w:t xml:space="preserve">and the perception of risk associated with SOC </w:t>
      </w:r>
      <w:r w:rsidR="006F6443">
        <w:t xml:space="preserve">threat </w:t>
      </w:r>
      <w:r w:rsidR="006D7843">
        <w:t xml:space="preserve">when weighed against </w:t>
      </w:r>
      <w:r w:rsidR="00CC0EC5">
        <w:t>any</w:t>
      </w:r>
      <w:r w:rsidR="006D7843">
        <w:t xml:space="preserve"> policing response.</w:t>
      </w:r>
      <w:r w:rsidR="0022446C">
        <w:t xml:space="preserve"> </w:t>
      </w:r>
      <w:proofErr w:type="spellStart"/>
      <w:r w:rsidR="0022446C">
        <w:t>Sorell</w:t>
      </w:r>
      <w:proofErr w:type="spellEnd"/>
      <w:r w:rsidR="0022446C">
        <w:t xml:space="preserve"> (</w:t>
      </w:r>
      <w:r w:rsidR="00B46AB8">
        <w:t xml:space="preserve">2018, p. 142) explains that the public perception </w:t>
      </w:r>
      <w:r w:rsidR="00107C28">
        <w:t xml:space="preserve">of seriousness is determined by the difference the offence makes to the </w:t>
      </w:r>
      <w:r w:rsidR="00FC223E">
        <w:t>victim’s</w:t>
      </w:r>
      <w:r w:rsidR="00107C28">
        <w:t xml:space="preserve"> standard of life</w:t>
      </w:r>
      <w:r w:rsidR="00EF0A14">
        <w:t xml:space="preserve"> rather than an explicit </w:t>
      </w:r>
      <w:r w:rsidR="00FC223E">
        <w:t>connection</w:t>
      </w:r>
      <w:r w:rsidR="00EF0A14">
        <w:t xml:space="preserve"> to SOC.</w:t>
      </w:r>
      <w:r w:rsidR="000A1F16">
        <w:t xml:space="preserve"> </w:t>
      </w:r>
      <w:r w:rsidR="000A1F16" w:rsidRPr="000A1F16">
        <w:t>The public appear more concerned with how overtly serious an offence is rather than if it was perpetrated by an OCG or categorised as a specific SOC threat. This must be central to considerations moving forward.</w:t>
      </w:r>
    </w:p>
    <w:p w14:paraId="677E6080" w14:textId="29DB3822" w:rsidR="000E534B" w:rsidRDefault="00827347">
      <w:proofErr w:type="spellStart"/>
      <w:r>
        <w:t>Sor</w:t>
      </w:r>
      <w:r w:rsidR="0066097A">
        <w:t>ell</w:t>
      </w:r>
      <w:proofErr w:type="spellEnd"/>
      <w:r w:rsidR="0066097A">
        <w:t xml:space="preserve"> (2018</w:t>
      </w:r>
      <w:r w:rsidR="00A75355">
        <w:t>, p.138</w:t>
      </w:r>
      <w:r w:rsidR="0066097A">
        <w:t>) and Williams (2012</w:t>
      </w:r>
      <w:r w:rsidR="00A75355">
        <w:t>, p. 402</w:t>
      </w:r>
      <w:r w:rsidR="0066097A">
        <w:t>) both discuss how SOC can at times be viewed romantically by the public, applying a</w:t>
      </w:r>
      <w:r w:rsidR="00381651">
        <w:t xml:space="preserve"> </w:t>
      </w:r>
      <w:r w:rsidR="0066097A">
        <w:t xml:space="preserve">Robin Hood style </w:t>
      </w:r>
      <w:r w:rsidR="00A75355">
        <w:t>rationale</w:t>
      </w:r>
      <w:r w:rsidR="00381651">
        <w:t xml:space="preserve"> to the morality of the offending especially when balanced against the cost of living </w:t>
      </w:r>
      <w:r w:rsidR="00F009F3">
        <w:t xml:space="preserve">with SOC being seen as a rationale economic decision </w:t>
      </w:r>
      <w:r w:rsidR="00355E3B">
        <w:t>to escape from economic deprivation</w:t>
      </w:r>
      <w:r w:rsidR="00161B7D">
        <w:t>.</w:t>
      </w:r>
      <w:r w:rsidR="00355E3B">
        <w:t xml:space="preserve"> </w:t>
      </w:r>
    </w:p>
    <w:p w14:paraId="13D7E5FF" w14:textId="4E224B71" w:rsidR="000A1F16" w:rsidRDefault="007050F9">
      <w:pPr>
        <w:rPr>
          <w:b/>
          <w:bCs/>
          <w:u w:val="single"/>
        </w:rPr>
      </w:pPr>
      <w:r w:rsidRPr="00785988">
        <w:rPr>
          <w:b/>
          <w:bCs/>
          <w:u w:val="single"/>
        </w:rPr>
        <w:t>Conclusion</w:t>
      </w:r>
    </w:p>
    <w:p w14:paraId="4B1DA77F" w14:textId="67B2CBBE" w:rsidR="00A977D0" w:rsidRDefault="007433D1" w:rsidP="00DB11B3">
      <w:r w:rsidRPr="007433D1">
        <w:t xml:space="preserve">Crocker </w:t>
      </w:r>
      <w:r>
        <w:t>et al. (2019, p.</w:t>
      </w:r>
      <w:r w:rsidR="00CF1700">
        <w:t xml:space="preserve"> </w:t>
      </w:r>
      <w:r>
        <w:t xml:space="preserve">443) assert that </w:t>
      </w:r>
      <w:r w:rsidR="00C35AD2">
        <w:t>an enforcement mentality confines police and prevents dexterity when looking to tackle criminality that is not neatly packaged</w:t>
      </w:r>
      <w:r w:rsidR="007E578A">
        <w:t xml:space="preserve">, often causing it to fall into the “too-hard” box. Kirby and </w:t>
      </w:r>
      <w:r w:rsidR="004D19C0">
        <w:t>N</w:t>
      </w:r>
      <w:r w:rsidR="007E578A">
        <w:t>ailer (2013, p.</w:t>
      </w:r>
      <w:r w:rsidR="0035638B">
        <w:t xml:space="preserve"> </w:t>
      </w:r>
      <w:r w:rsidR="00EB4B6F">
        <w:t xml:space="preserve">400) </w:t>
      </w:r>
      <w:r w:rsidR="0006148A">
        <w:t>and</w:t>
      </w:r>
      <w:r w:rsidR="0006148A" w:rsidRPr="0006148A">
        <w:t xml:space="preserve"> </w:t>
      </w:r>
      <w:r w:rsidR="0006148A">
        <w:t>Kirby and Snow (2016, p.112</w:t>
      </w:r>
      <w:r w:rsidR="0035638B">
        <w:t>) expand</w:t>
      </w:r>
      <w:r w:rsidR="00EB4B6F">
        <w:t xml:space="preserve"> on this suggesting that as preventative approaches</w:t>
      </w:r>
      <w:r w:rsidR="004446A1">
        <w:t xml:space="preserve"> are seen as being less popular as they</w:t>
      </w:r>
      <w:r w:rsidR="00EB4B6F">
        <w:t xml:space="preserve"> tend to require </w:t>
      </w:r>
      <w:r w:rsidR="004446A1">
        <w:t xml:space="preserve">more careful analysis and </w:t>
      </w:r>
      <w:r w:rsidR="008A1846">
        <w:t xml:space="preserve">collaboration resulting in </w:t>
      </w:r>
      <w:r w:rsidR="007B4488">
        <w:t>enforcement being the</w:t>
      </w:r>
      <w:r w:rsidR="00FE4BBB">
        <w:t xml:space="preserve"> easier option and</w:t>
      </w:r>
      <w:r w:rsidR="007B4488">
        <w:t xml:space="preserve"> default tactic.</w:t>
      </w:r>
      <w:r w:rsidR="004446A1">
        <w:t xml:space="preserve"> </w:t>
      </w:r>
    </w:p>
    <w:p w14:paraId="538D8CE7" w14:textId="5C30A59C" w:rsidR="00A036D6" w:rsidRPr="0001093E" w:rsidRDefault="00A036D6" w:rsidP="00DB11B3">
      <w:pPr>
        <w:rPr>
          <w:color w:val="000000" w:themeColor="text1"/>
        </w:rPr>
      </w:pPr>
      <w:r>
        <w:t xml:space="preserve">The recent </w:t>
      </w:r>
      <w:r w:rsidR="000B44EF">
        <w:t>emergence and identification of enablers as described within is a positive step however more needs to be done.</w:t>
      </w:r>
      <w:r w:rsidR="00274647">
        <w:t xml:space="preserve"> </w:t>
      </w:r>
      <w:r w:rsidR="00274647">
        <w:t>Looking at enablers and threads tha</w:t>
      </w:r>
      <w:r w:rsidR="00274647">
        <w:t>t</w:t>
      </w:r>
      <w:r w:rsidR="00274647">
        <w:t xml:space="preserve"> run through multiple crime types will help law enforcement to understand the modelling behind the criminality. A move towards finding vulnerabilities for law enforcement to exploit across various crime types as opposed to focusing on the OCG, invariably one of many operating with a single crime type. </w:t>
      </w:r>
      <w:proofErr w:type="spellStart"/>
      <w:r w:rsidR="00274647">
        <w:t>Zoutendijk</w:t>
      </w:r>
      <w:proofErr w:type="spellEnd"/>
      <w:r w:rsidR="00274647">
        <w:t xml:space="preserve"> (2010, p.</w:t>
      </w:r>
      <w:r w:rsidR="008413EB">
        <w:t xml:space="preserve"> </w:t>
      </w:r>
      <w:r w:rsidR="00274647">
        <w:t xml:space="preserve">69) expands on this suggesting </w:t>
      </w:r>
      <w:r w:rsidR="00274647">
        <w:lastRenderedPageBreak/>
        <w:t>that we should consider SOC as activities instead of OCGS.</w:t>
      </w:r>
      <w:r w:rsidR="00274647" w:rsidRPr="00CC28D9">
        <w:t xml:space="preserve"> </w:t>
      </w:r>
      <w:r w:rsidR="00274647">
        <w:t xml:space="preserve">Detailing that “Criminal groups are often ephemeral and once busted by the police, usually dissolve. Organised crime activities on the other hand are here to stay and therefore much more useful for strategic priority setting”. </w:t>
      </w:r>
      <w:r w:rsidR="00274647" w:rsidRPr="008A2508">
        <w:rPr>
          <w:color w:val="000000" w:themeColor="text1"/>
        </w:rPr>
        <w:t>Hopkins, Keighley and Sanders (2024, p.</w:t>
      </w:r>
      <w:r w:rsidR="008413EB">
        <w:rPr>
          <w:color w:val="000000" w:themeColor="text1"/>
        </w:rPr>
        <w:t xml:space="preserve"> </w:t>
      </w:r>
      <w:r w:rsidR="00274647" w:rsidRPr="008A2508">
        <w:rPr>
          <w:color w:val="000000" w:themeColor="text1"/>
        </w:rPr>
        <w:t>57)</w:t>
      </w:r>
      <w:r w:rsidR="00274647">
        <w:rPr>
          <w:color w:val="000000" w:themeColor="text1"/>
        </w:rPr>
        <w:t xml:space="preserve"> also emphasise the point that more focus should be paid to the acts of SOC and that to design effective preventative measures we must move away from the obsession of trying to understand the structures of OCG’s.</w:t>
      </w:r>
    </w:p>
    <w:p w14:paraId="4E459462" w14:textId="3FA836D3" w:rsidR="003E04ED" w:rsidRPr="00991520" w:rsidRDefault="00A24762" w:rsidP="003E04ED">
      <w:pPr>
        <w:rPr>
          <w:color w:val="000000" w:themeColor="text1"/>
        </w:rPr>
      </w:pPr>
      <w:r w:rsidRPr="001E08C8">
        <w:rPr>
          <w:color w:val="000000" w:themeColor="text1"/>
        </w:rPr>
        <w:t xml:space="preserve">SOC must be viewed as a business to help inform meaningful disruption. </w:t>
      </w:r>
      <w:r w:rsidR="003E04ED" w:rsidRPr="001E08C8">
        <w:rPr>
          <w:color w:val="000000" w:themeColor="text1"/>
        </w:rPr>
        <w:t xml:space="preserve">Murray (2015, p.199) describes organised crime as “business activity” with the </w:t>
      </w:r>
      <w:r w:rsidR="001E08C8" w:rsidRPr="001E08C8">
        <w:rPr>
          <w:color w:val="000000" w:themeColor="text1"/>
        </w:rPr>
        <w:t>Home Office (2023, p.</w:t>
      </w:r>
      <w:r w:rsidR="00067916">
        <w:rPr>
          <w:color w:val="000000" w:themeColor="text1"/>
        </w:rPr>
        <w:t xml:space="preserve"> </w:t>
      </w:r>
      <w:r w:rsidR="001E08C8" w:rsidRPr="001E08C8">
        <w:rPr>
          <w:color w:val="000000" w:themeColor="text1"/>
        </w:rPr>
        <w:t xml:space="preserve">9) describing the aim of SOC activity being to </w:t>
      </w:r>
      <w:r w:rsidR="007E0CE2" w:rsidRPr="001E08C8">
        <w:rPr>
          <w:color w:val="000000" w:themeColor="text1"/>
        </w:rPr>
        <w:t>extract the maximum profit with the minimum risk.</w:t>
      </w:r>
      <w:r w:rsidR="001E08C8">
        <w:rPr>
          <w:color w:val="000000" w:themeColor="text1"/>
        </w:rPr>
        <w:t xml:space="preserve"> Once we start to view </w:t>
      </w:r>
      <w:r w:rsidR="00AF307B">
        <w:rPr>
          <w:color w:val="000000" w:themeColor="text1"/>
        </w:rPr>
        <w:t xml:space="preserve">SOC in this way we can start to understand its strengths and </w:t>
      </w:r>
      <w:r w:rsidR="000F67A7">
        <w:rPr>
          <w:color w:val="000000" w:themeColor="text1"/>
        </w:rPr>
        <w:t>weaknesses</w:t>
      </w:r>
      <w:r w:rsidR="00AF307B">
        <w:rPr>
          <w:color w:val="000000" w:themeColor="text1"/>
        </w:rPr>
        <w:t>.</w:t>
      </w:r>
      <w:r w:rsidR="00DB61DA">
        <w:rPr>
          <w:color w:val="000000" w:themeColor="text1"/>
        </w:rPr>
        <w:t xml:space="preserve"> </w:t>
      </w:r>
      <w:r w:rsidR="00DB61DA" w:rsidRPr="003F39D0">
        <w:rPr>
          <w:color w:val="000000" w:themeColor="text1"/>
        </w:rPr>
        <w:t>Hopkins, Keighley and Sanders (2024, p.</w:t>
      </w:r>
      <w:r w:rsidR="00161E3D">
        <w:rPr>
          <w:color w:val="000000" w:themeColor="text1"/>
        </w:rPr>
        <w:t xml:space="preserve"> </w:t>
      </w:r>
      <w:r w:rsidR="00DB61DA" w:rsidRPr="003F39D0">
        <w:rPr>
          <w:color w:val="000000" w:themeColor="text1"/>
        </w:rPr>
        <w:t>57)</w:t>
      </w:r>
      <w:r w:rsidR="004F6851" w:rsidRPr="003F39D0">
        <w:rPr>
          <w:color w:val="000000" w:themeColor="text1"/>
        </w:rPr>
        <w:t xml:space="preserve"> suggest that a more analytical approach </w:t>
      </w:r>
      <w:r w:rsidR="003F39D0" w:rsidRPr="003F39D0">
        <w:rPr>
          <w:color w:val="000000" w:themeColor="text1"/>
        </w:rPr>
        <w:t>will assist in</w:t>
      </w:r>
      <w:r w:rsidR="00186293">
        <w:rPr>
          <w:color w:val="000000" w:themeColor="text1"/>
        </w:rPr>
        <w:t xml:space="preserve"> </w:t>
      </w:r>
      <w:r w:rsidR="003E04ED" w:rsidRPr="003F39D0">
        <w:rPr>
          <w:color w:val="000000" w:themeColor="text1"/>
        </w:rPr>
        <w:t xml:space="preserve">understanding </w:t>
      </w:r>
      <w:r w:rsidR="00D22510">
        <w:rPr>
          <w:color w:val="000000" w:themeColor="text1"/>
        </w:rPr>
        <w:t xml:space="preserve">the </w:t>
      </w:r>
      <w:r w:rsidR="009C118C">
        <w:rPr>
          <w:color w:val="000000" w:themeColor="text1"/>
        </w:rPr>
        <w:t xml:space="preserve">SOC </w:t>
      </w:r>
      <w:r w:rsidR="00D22510">
        <w:rPr>
          <w:color w:val="000000" w:themeColor="text1"/>
        </w:rPr>
        <w:t>business framework and</w:t>
      </w:r>
      <w:r w:rsidR="003E04ED" w:rsidRPr="003F39D0">
        <w:rPr>
          <w:color w:val="000000" w:themeColor="text1"/>
        </w:rPr>
        <w:t xml:space="preserve"> how </w:t>
      </w:r>
      <w:r w:rsidR="00E42D95">
        <w:rPr>
          <w:color w:val="000000" w:themeColor="text1"/>
        </w:rPr>
        <w:t xml:space="preserve">SOC </w:t>
      </w:r>
      <w:r w:rsidR="003E04ED" w:rsidRPr="003F39D0">
        <w:rPr>
          <w:color w:val="000000" w:themeColor="text1"/>
        </w:rPr>
        <w:t xml:space="preserve">activity </w:t>
      </w:r>
      <w:r w:rsidR="004D7D84">
        <w:rPr>
          <w:color w:val="000000" w:themeColor="text1"/>
        </w:rPr>
        <w:t xml:space="preserve">is </w:t>
      </w:r>
      <w:r w:rsidR="003E04ED" w:rsidRPr="003F39D0">
        <w:rPr>
          <w:color w:val="000000" w:themeColor="text1"/>
        </w:rPr>
        <w:t>concealed.</w:t>
      </w:r>
      <w:r w:rsidR="003B74A0">
        <w:rPr>
          <w:color w:val="000000" w:themeColor="text1"/>
        </w:rPr>
        <w:t xml:space="preserve"> Murray (2013, p.100) draws parallels</w:t>
      </w:r>
      <w:r w:rsidR="00F81861">
        <w:rPr>
          <w:color w:val="000000" w:themeColor="text1"/>
        </w:rPr>
        <w:t xml:space="preserve"> between the maxim of “understand the business” which </w:t>
      </w:r>
      <w:r w:rsidR="0014687F">
        <w:rPr>
          <w:color w:val="000000" w:themeColor="text1"/>
        </w:rPr>
        <w:t xml:space="preserve">is frequently used in equity investment </w:t>
      </w:r>
      <w:r w:rsidR="00D80A26">
        <w:rPr>
          <w:color w:val="000000" w:themeColor="text1"/>
        </w:rPr>
        <w:t>and how this should be mirrored in an approach to tackle SOC. Investing in or working alongside professionally qualified account</w:t>
      </w:r>
      <w:r w:rsidR="00CD7926">
        <w:rPr>
          <w:color w:val="000000" w:themeColor="text1"/>
        </w:rPr>
        <w:t>ant</w:t>
      </w:r>
      <w:r w:rsidR="00D80A26">
        <w:rPr>
          <w:color w:val="000000" w:themeColor="text1"/>
        </w:rPr>
        <w:t xml:space="preserve">s who have exposure to </w:t>
      </w:r>
      <w:r w:rsidR="00616E9D">
        <w:rPr>
          <w:color w:val="000000" w:themeColor="text1"/>
        </w:rPr>
        <w:t>accounting, business strategy and market analysis</w:t>
      </w:r>
      <w:r w:rsidR="00D80A26">
        <w:rPr>
          <w:color w:val="000000" w:themeColor="text1"/>
        </w:rPr>
        <w:t xml:space="preserve"> is a mu</w:t>
      </w:r>
      <w:r w:rsidR="001C7696">
        <w:rPr>
          <w:color w:val="000000" w:themeColor="text1"/>
        </w:rPr>
        <w:t xml:space="preserve">st to inform </w:t>
      </w:r>
      <w:r w:rsidR="00616E9D">
        <w:rPr>
          <w:color w:val="000000" w:themeColor="text1"/>
        </w:rPr>
        <w:t>development and disruption strategies.</w:t>
      </w:r>
      <w:r w:rsidR="00991520">
        <w:rPr>
          <w:color w:val="000000" w:themeColor="text1"/>
        </w:rPr>
        <w:t xml:space="preserve"> Murray (2013, p.107) states that “</w:t>
      </w:r>
      <w:r w:rsidR="003E04ED">
        <w:t>accountants and experienced business analysts should be as fundamental to the law enforcement process as forensic scientists and fingerprint experts</w:t>
      </w:r>
      <w:r w:rsidR="00991520">
        <w:t>”</w:t>
      </w:r>
      <w:r w:rsidR="003E04ED">
        <w:t>.</w:t>
      </w:r>
    </w:p>
    <w:p w14:paraId="2AA1F2DE" w14:textId="3300C8A5" w:rsidR="00DB4D27" w:rsidRDefault="00E3777D" w:rsidP="00096444">
      <w:r w:rsidRPr="008A7478">
        <w:rPr>
          <w:color w:val="000000" w:themeColor="text1"/>
        </w:rPr>
        <w:t xml:space="preserve">If SOC is to be viewed as a </w:t>
      </w:r>
      <w:r w:rsidR="008A7478" w:rsidRPr="008A7478">
        <w:rPr>
          <w:color w:val="000000" w:themeColor="text1"/>
        </w:rPr>
        <w:t>business,</w:t>
      </w:r>
      <w:r w:rsidRPr="008A7478">
        <w:rPr>
          <w:color w:val="000000" w:themeColor="text1"/>
        </w:rPr>
        <w:t xml:space="preserve"> we must upskill ourselves in law enforcement to understand the </w:t>
      </w:r>
      <w:r w:rsidR="008A7478" w:rsidRPr="008A7478">
        <w:rPr>
          <w:color w:val="000000" w:themeColor="text1"/>
        </w:rPr>
        <w:t xml:space="preserve">psychology behind the </w:t>
      </w:r>
      <w:r w:rsidR="002775EC" w:rsidRPr="008A7478">
        <w:rPr>
          <w:color w:val="000000" w:themeColor="text1"/>
        </w:rPr>
        <w:t>decision-making</w:t>
      </w:r>
      <w:r w:rsidR="008A7478" w:rsidRPr="008A7478">
        <w:rPr>
          <w:color w:val="000000" w:themeColor="text1"/>
        </w:rPr>
        <w:t xml:space="preserve"> process</w:t>
      </w:r>
      <w:r w:rsidR="009D12B0">
        <w:rPr>
          <w:color w:val="000000" w:themeColor="text1"/>
        </w:rPr>
        <w:t xml:space="preserve"> of actors in the context of SOC</w:t>
      </w:r>
      <w:r w:rsidR="008A7478" w:rsidRPr="008A7478">
        <w:rPr>
          <w:color w:val="000000" w:themeColor="text1"/>
        </w:rPr>
        <w:t xml:space="preserve">. </w:t>
      </w:r>
      <w:r w:rsidR="008A7478">
        <w:t xml:space="preserve">One of the most cited theories in this regard is </w:t>
      </w:r>
      <w:r w:rsidR="00934261">
        <w:t>r</w:t>
      </w:r>
      <w:r w:rsidR="008A7478">
        <w:t xml:space="preserve">ational </w:t>
      </w:r>
      <w:r w:rsidR="00934261">
        <w:t>c</w:t>
      </w:r>
      <w:r w:rsidR="008A7478">
        <w:t xml:space="preserve">hoice </w:t>
      </w:r>
      <w:r w:rsidR="00934261">
        <w:t>t</w:t>
      </w:r>
      <w:r w:rsidR="008A7478">
        <w:t>heory</w:t>
      </w:r>
      <w:r w:rsidR="009D12B0">
        <w:t>. Kirby and Snow (</w:t>
      </w:r>
      <w:r w:rsidR="00711E44">
        <w:t xml:space="preserve">2016, p.113) </w:t>
      </w:r>
      <w:r w:rsidR="00215FD5">
        <w:t xml:space="preserve">view offenders as rational actors who weigh up the </w:t>
      </w:r>
      <w:r w:rsidR="00673E6C">
        <w:t xml:space="preserve">risk </w:t>
      </w:r>
      <w:r w:rsidR="00856AFA">
        <w:t>offsetting</w:t>
      </w:r>
      <w:r w:rsidR="00673E6C">
        <w:t xml:space="preserve"> this against the reward</w:t>
      </w:r>
      <w:r w:rsidR="002775EC">
        <w:t>.</w:t>
      </w:r>
      <w:r w:rsidR="00AA55B4">
        <w:t xml:space="preserve"> Williams (2012, p.</w:t>
      </w:r>
      <w:r w:rsidR="009870F4">
        <w:t xml:space="preserve"> </w:t>
      </w:r>
      <w:r w:rsidR="00AA55B4">
        <w:t xml:space="preserve">404) </w:t>
      </w:r>
      <w:r w:rsidR="00C64540">
        <w:t>de</w:t>
      </w:r>
      <w:r w:rsidR="00D93DB3">
        <w:t xml:space="preserve">scribes profit in the context of </w:t>
      </w:r>
      <w:r w:rsidR="00074EE1">
        <w:t>rational</w:t>
      </w:r>
      <w:r w:rsidR="00D93DB3">
        <w:t xml:space="preserve"> choice as being th</w:t>
      </w:r>
      <w:r w:rsidR="00074EE1">
        <w:t>e prime motivator for those engaged with SOC.</w:t>
      </w:r>
      <w:r w:rsidR="00E44039">
        <w:t xml:space="preserve"> </w:t>
      </w:r>
      <w:r w:rsidR="00E44039" w:rsidRPr="007D5F2D">
        <w:rPr>
          <w:color w:val="000000" w:themeColor="text1"/>
        </w:rPr>
        <w:t>Kirby and Nailer (2013, p.</w:t>
      </w:r>
      <w:r w:rsidR="009870F4">
        <w:rPr>
          <w:color w:val="000000" w:themeColor="text1"/>
        </w:rPr>
        <w:t xml:space="preserve"> </w:t>
      </w:r>
      <w:r w:rsidR="00E44039" w:rsidRPr="007D5F2D">
        <w:rPr>
          <w:color w:val="000000" w:themeColor="text1"/>
        </w:rPr>
        <w:t xml:space="preserve">399) elaborate on the points above </w:t>
      </w:r>
      <w:r w:rsidR="00B55A26" w:rsidRPr="007D5F2D">
        <w:rPr>
          <w:color w:val="000000" w:themeColor="text1"/>
        </w:rPr>
        <w:t xml:space="preserve">advocating that practitioners </w:t>
      </w:r>
      <w:r w:rsidR="00192DDD" w:rsidRPr="007D5F2D">
        <w:rPr>
          <w:color w:val="000000" w:themeColor="text1"/>
        </w:rPr>
        <w:t>should be encouraged through the use of r</w:t>
      </w:r>
      <w:r w:rsidR="00DB4D27" w:rsidRPr="007D5F2D">
        <w:rPr>
          <w:color w:val="000000" w:themeColor="text1"/>
        </w:rPr>
        <w:t xml:space="preserve">ational </w:t>
      </w:r>
      <w:r w:rsidR="00192DDD">
        <w:t>c</w:t>
      </w:r>
      <w:r w:rsidR="00DB4D27">
        <w:t xml:space="preserve">hoice </w:t>
      </w:r>
      <w:r w:rsidR="00192DDD">
        <w:t>t</w:t>
      </w:r>
      <w:r w:rsidR="00DB4D27">
        <w:t>heory</w:t>
      </w:r>
      <w:r w:rsidR="00192DDD">
        <w:t xml:space="preserve"> </w:t>
      </w:r>
      <w:r w:rsidR="00DB4D27">
        <w:t xml:space="preserve">to understand the crime from the offender’s perspective when devising the intervention. </w:t>
      </w:r>
    </w:p>
    <w:p w14:paraId="672781C9" w14:textId="71C6A0E2" w:rsidR="008072C1" w:rsidRPr="004420FC" w:rsidRDefault="00F115C2" w:rsidP="00DB11B3">
      <w:pPr>
        <w:rPr>
          <w:color w:val="000000" w:themeColor="text1"/>
        </w:rPr>
      </w:pPr>
      <w:r w:rsidRPr="004420FC">
        <w:rPr>
          <w:color w:val="000000" w:themeColor="text1"/>
        </w:rPr>
        <w:t xml:space="preserve">The recent publication </w:t>
      </w:r>
      <w:proofErr w:type="gramStart"/>
      <w:r w:rsidR="00372F69" w:rsidRPr="004420FC">
        <w:rPr>
          <w:color w:val="000000" w:themeColor="text1"/>
        </w:rPr>
        <w:t>From</w:t>
      </w:r>
      <w:proofErr w:type="gramEnd"/>
      <w:r w:rsidR="00372F69" w:rsidRPr="004420FC">
        <w:rPr>
          <w:color w:val="000000" w:themeColor="text1"/>
        </w:rPr>
        <w:t xml:space="preserve"> local to national: a new model for policing</w:t>
      </w:r>
      <w:r w:rsidR="009A698E" w:rsidRPr="004420FC">
        <w:rPr>
          <w:color w:val="000000" w:themeColor="text1"/>
        </w:rPr>
        <w:t xml:space="preserve"> (</w:t>
      </w:r>
      <w:r w:rsidR="009A698E" w:rsidRPr="004420FC">
        <w:rPr>
          <w:color w:val="000000" w:themeColor="text1"/>
        </w:rPr>
        <w:t>Home Office</w:t>
      </w:r>
      <w:r w:rsidR="009A698E" w:rsidRPr="004420FC">
        <w:rPr>
          <w:color w:val="000000" w:themeColor="text1"/>
        </w:rPr>
        <w:t>,</w:t>
      </w:r>
      <w:r w:rsidR="009A698E" w:rsidRPr="004420FC">
        <w:rPr>
          <w:color w:val="000000" w:themeColor="text1"/>
        </w:rPr>
        <w:t xml:space="preserve"> 2026) </w:t>
      </w:r>
      <w:r w:rsidR="00372F69" w:rsidRPr="004420FC">
        <w:rPr>
          <w:color w:val="000000" w:themeColor="text1"/>
        </w:rPr>
        <w:t xml:space="preserve">makes some </w:t>
      </w:r>
      <w:r w:rsidR="00FE37E0" w:rsidRPr="004420FC">
        <w:rPr>
          <w:color w:val="000000" w:themeColor="text1"/>
        </w:rPr>
        <w:t>interesting recommendations however to avoid this being seen as “</w:t>
      </w:r>
      <w:r w:rsidR="00956148">
        <w:rPr>
          <w:color w:val="000000" w:themeColor="text1"/>
        </w:rPr>
        <w:t>T</w:t>
      </w:r>
      <w:r w:rsidR="00FE37E0" w:rsidRPr="004420FC">
        <w:rPr>
          <w:color w:val="000000" w:themeColor="text1"/>
        </w:rPr>
        <w:t xml:space="preserve">he </w:t>
      </w:r>
      <w:proofErr w:type="gramStart"/>
      <w:r w:rsidR="00FE37E0" w:rsidRPr="004420FC">
        <w:rPr>
          <w:color w:val="000000" w:themeColor="text1"/>
        </w:rPr>
        <w:t>emperors</w:t>
      </w:r>
      <w:proofErr w:type="gramEnd"/>
      <w:r w:rsidR="00FE37E0" w:rsidRPr="004420FC">
        <w:rPr>
          <w:color w:val="000000" w:themeColor="text1"/>
        </w:rPr>
        <w:t xml:space="preserve"> new clothes” law enforcement must </w:t>
      </w:r>
      <w:r w:rsidR="009A698E" w:rsidRPr="004420FC">
        <w:rPr>
          <w:color w:val="000000" w:themeColor="text1"/>
        </w:rPr>
        <w:t xml:space="preserve">reflect on past failures and accept that </w:t>
      </w:r>
      <w:r w:rsidR="00B8299B">
        <w:rPr>
          <w:color w:val="000000" w:themeColor="text1"/>
        </w:rPr>
        <w:t>policing</w:t>
      </w:r>
      <w:r w:rsidR="008053D2">
        <w:rPr>
          <w:color w:val="000000" w:themeColor="text1"/>
        </w:rPr>
        <w:t>,</w:t>
      </w:r>
      <w:r w:rsidR="00B8299B">
        <w:rPr>
          <w:color w:val="000000" w:themeColor="text1"/>
        </w:rPr>
        <w:t xml:space="preserve"> conventional or otherwise is no</w:t>
      </w:r>
      <w:r w:rsidR="00A1268B">
        <w:rPr>
          <w:color w:val="000000" w:themeColor="text1"/>
        </w:rPr>
        <w:t xml:space="preserve"> longer</w:t>
      </w:r>
      <w:r w:rsidR="00B8299B">
        <w:rPr>
          <w:color w:val="000000" w:themeColor="text1"/>
        </w:rPr>
        <w:t xml:space="preserve"> able to effectively disrupt SOC</w:t>
      </w:r>
      <w:r w:rsidR="009A698E" w:rsidRPr="004420FC">
        <w:rPr>
          <w:color w:val="000000" w:themeColor="text1"/>
        </w:rPr>
        <w:t xml:space="preserve"> </w:t>
      </w:r>
      <w:r w:rsidR="00A1268B">
        <w:rPr>
          <w:color w:val="000000" w:themeColor="text1"/>
        </w:rPr>
        <w:t>on its own.</w:t>
      </w:r>
    </w:p>
    <w:p w14:paraId="1C60970E" w14:textId="77777777" w:rsidR="00100854" w:rsidRDefault="00100854" w:rsidP="00DB11B3">
      <w:pPr>
        <w:rPr>
          <w:color w:val="FF0000"/>
        </w:rPr>
      </w:pPr>
    </w:p>
    <w:p w14:paraId="718BE385" w14:textId="77777777" w:rsidR="00B8299B" w:rsidRDefault="00B8299B" w:rsidP="00100854">
      <w:pPr>
        <w:spacing w:after="0" w:line="240" w:lineRule="auto"/>
        <w:rPr>
          <w:color w:val="FF0000"/>
        </w:rPr>
      </w:pPr>
    </w:p>
    <w:p w14:paraId="40A7D437" w14:textId="77777777" w:rsidR="00F039A6" w:rsidRDefault="00F039A6" w:rsidP="00100854">
      <w:pPr>
        <w:spacing w:after="0" w:line="240" w:lineRule="auto"/>
        <w:rPr>
          <w:rFonts w:ascii="Arial" w:eastAsia="Times New Roman" w:hAnsi="Arial" w:cs="Arial"/>
          <w:kern w:val="0"/>
          <w:sz w:val="22"/>
          <w:szCs w:val="22"/>
          <w:lang w:eastAsia="en-GB"/>
          <w14:ligatures w14:val="none"/>
        </w:rPr>
      </w:pPr>
    </w:p>
    <w:p w14:paraId="24336CED" w14:textId="77777777" w:rsidR="00B8299B" w:rsidRDefault="00B8299B" w:rsidP="00100854">
      <w:pPr>
        <w:spacing w:after="0" w:line="240" w:lineRule="auto"/>
        <w:rPr>
          <w:rFonts w:ascii="Arial" w:eastAsia="Times New Roman" w:hAnsi="Arial" w:cs="Arial"/>
          <w:kern w:val="0"/>
          <w:sz w:val="22"/>
          <w:szCs w:val="22"/>
          <w:lang w:eastAsia="en-GB"/>
          <w14:ligatures w14:val="none"/>
        </w:rPr>
      </w:pPr>
    </w:p>
    <w:p w14:paraId="1F228F94" w14:textId="17194814" w:rsidR="00B8299B" w:rsidRPr="00B8299B" w:rsidRDefault="00B8299B" w:rsidP="00100854">
      <w:pPr>
        <w:spacing w:after="0" w:line="240" w:lineRule="auto"/>
        <w:rPr>
          <w:rFonts w:ascii="Arial" w:eastAsia="Times New Roman" w:hAnsi="Arial" w:cs="Arial"/>
          <w:b/>
          <w:bCs/>
          <w:kern w:val="0"/>
          <w:sz w:val="22"/>
          <w:szCs w:val="22"/>
          <w:u w:val="single"/>
          <w:lang w:eastAsia="en-GB"/>
          <w14:ligatures w14:val="none"/>
        </w:rPr>
      </w:pPr>
      <w:r w:rsidRPr="00B8299B">
        <w:rPr>
          <w:rFonts w:ascii="Arial" w:eastAsia="Times New Roman" w:hAnsi="Arial" w:cs="Arial"/>
          <w:b/>
          <w:bCs/>
          <w:kern w:val="0"/>
          <w:sz w:val="22"/>
          <w:szCs w:val="22"/>
          <w:u w:val="single"/>
          <w:lang w:eastAsia="en-GB"/>
          <w14:ligatures w14:val="none"/>
        </w:rPr>
        <w:lastRenderedPageBreak/>
        <w:t>Refe</w:t>
      </w:r>
      <w:r>
        <w:rPr>
          <w:rFonts w:ascii="Arial" w:eastAsia="Times New Roman" w:hAnsi="Arial" w:cs="Arial"/>
          <w:b/>
          <w:bCs/>
          <w:kern w:val="0"/>
          <w:sz w:val="22"/>
          <w:szCs w:val="22"/>
          <w:u w:val="single"/>
          <w:lang w:eastAsia="en-GB"/>
          <w14:ligatures w14:val="none"/>
        </w:rPr>
        <w:t>re</w:t>
      </w:r>
      <w:r w:rsidRPr="00B8299B">
        <w:rPr>
          <w:rFonts w:ascii="Arial" w:eastAsia="Times New Roman" w:hAnsi="Arial" w:cs="Arial"/>
          <w:b/>
          <w:bCs/>
          <w:kern w:val="0"/>
          <w:sz w:val="22"/>
          <w:szCs w:val="22"/>
          <w:u w:val="single"/>
          <w:lang w:eastAsia="en-GB"/>
          <w14:ligatures w14:val="none"/>
        </w:rPr>
        <w:t>nce List</w:t>
      </w:r>
    </w:p>
    <w:p w14:paraId="4EEAD182" w14:textId="77777777" w:rsidR="00B8299B" w:rsidRDefault="00B8299B" w:rsidP="00100854">
      <w:pPr>
        <w:spacing w:after="0" w:line="240" w:lineRule="auto"/>
        <w:rPr>
          <w:rFonts w:ascii="Arial" w:eastAsia="Times New Roman" w:hAnsi="Arial" w:cs="Arial"/>
          <w:kern w:val="0"/>
          <w:sz w:val="22"/>
          <w:szCs w:val="22"/>
          <w:lang w:eastAsia="en-GB"/>
          <w14:ligatures w14:val="none"/>
        </w:rPr>
      </w:pPr>
    </w:p>
    <w:p w14:paraId="126FD0EC" w14:textId="1EA467EB" w:rsidR="00100854" w:rsidRDefault="00100854" w:rsidP="00100854">
      <w:pPr>
        <w:spacing w:after="0" w:line="240" w:lineRule="auto"/>
        <w:rPr>
          <w:rFonts w:ascii="Arial" w:eastAsia="Times New Roman" w:hAnsi="Arial" w:cs="Arial"/>
          <w:kern w:val="0"/>
          <w:sz w:val="22"/>
          <w:szCs w:val="22"/>
          <w:lang w:eastAsia="en-GB"/>
          <w14:ligatures w14:val="none"/>
        </w:rPr>
      </w:pPr>
      <w:r w:rsidRPr="001C6D69">
        <w:rPr>
          <w:rFonts w:ascii="Arial" w:eastAsia="Times New Roman" w:hAnsi="Arial" w:cs="Arial"/>
          <w:kern w:val="0"/>
          <w:sz w:val="22"/>
          <w:szCs w:val="22"/>
          <w:lang w:eastAsia="en-GB"/>
          <w14:ligatures w14:val="none"/>
        </w:rPr>
        <w:t xml:space="preserve">Bullock, K. and Leeney, D. (2012) “Public concern about serious organised crime,” </w:t>
      </w:r>
      <w:r w:rsidRPr="001C6D69">
        <w:rPr>
          <w:rFonts w:ascii="Arial" w:eastAsia="Times New Roman" w:hAnsi="Arial" w:cs="Arial"/>
          <w:i/>
          <w:iCs/>
          <w:kern w:val="0"/>
          <w:sz w:val="22"/>
          <w:szCs w:val="22"/>
          <w:lang w:eastAsia="en-GB"/>
          <w14:ligatures w14:val="none"/>
        </w:rPr>
        <w:t>Crime prevention and community safety</w:t>
      </w:r>
      <w:r w:rsidRPr="001C6D69">
        <w:rPr>
          <w:rFonts w:ascii="Arial" w:eastAsia="Times New Roman" w:hAnsi="Arial" w:cs="Arial"/>
          <w:kern w:val="0"/>
          <w:sz w:val="22"/>
          <w:szCs w:val="22"/>
          <w:lang w:eastAsia="en-GB"/>
          <w14:ligatures w14:val="none"/>
        </w:rPr>
        <w:t xml:space="preserve">, 14(4), pp. 278–292. Available at: </w:t>
      </w:r>
      <w:hyperlink r:id="rId10" w:history="1">
        <w:r w:rsidRPr="001C6D69">
          <w:rPr>
            <w:rStyle w:val="Hyperlink"/>
            <w:rFonts w:ascii="Arial" w:eastAsia="Times New Roman" w:hAnsi="Arial" w:cs="Arial"/>
            <w:kern w:val="0"/>
            <w:sz w:val="22"/>
            <w:szCs w:val="22"/>
            <w:lang w:eastAsia="en-GB"/>
            <w14:ligatures w14:val="none"/>
          </w:rPr>
          <w:t>https://doi.org/10.1057/cpcs.2012.8</w:t>
        </w:r>
      </w:hyperlink>
      <w:r w:rsidRPr="001C6D69">
        <w:rPr>
          <w:rFonts w:ascii="Arial" w:eastAsia="Times New Roman" w:hAnsi="Arial" w:cs="Arial"/>
          <w:kern w:val="0"/>
          <w:sz w:val="22"/>
          <w:szCs w:val="22"/>
          <w:lang w:eastAsia="en-GB"/>
          <w14:ligatures w14:val="none"/>
        </w:rPr>
        <w:t>.</w:t>
      </w:r>
    </w:p>
    <w:p w14:paraId="55FAF450"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
    <w:p w14:paraId="177B7D14" w14:textId="77777777" w:rsidR="00100854" w:rsidRPr="001C6D69" w:rsidRDefault="00100854" w:rsidP="00100854">
      <w:pPr>
        <w:spacing w:after="0" w:line="240" w:lineRule="auto"/>
        <w:rPr>
          <w:rFonts w:ascii="Arial" w:eastAsia="Times New Roman" w:hAnsi="Arial" w:cs="Arial"/>
          <w:kern w:val="0"/>
          <w:sz w:val="22"/>
          <w:szCs w:val="22"/>
          <w:lang w:eastAsia="en-GB"/>
          <w14:ligatures w14:val="none"/>
        </w:rPr>
      </w:pPr>
      <w:r w:rsidRPr="000A4F85">
        <w:rPr>
          <w:rFonts w:ascii="Arial" w:eastAsia="Times New Roman" w:hAnsi="Arial" w:cs="Arial"/>
          <w:kern w:val="0"/>
          <w:sz w:val="22"/>
          <w:szCs w:val="22"/>
          <w:lang w:eastAsia="en-GB"/>
          <w14:ligatures w14:val="none"/>
        </w:rPr>
        <w:t>Crocker,</w:t>
      </w:r>
      <w:r>
        <w:rPr>
          <w:rFonts w:ascii="Arial" w:eastAsia="Times New Roman" w:hAnsi="Arial" w:cs="Arial"/>
          <w:kern w:val="0"/>
          <w:sz w:val="22"/>
          <w:szCs w:val="22"/>
          <w:lang w:eastAsia="en-GB"/>
          <w14:ligatures w14:val="none"/>
        </w:rPr>
        <w:t xml:space="preserve"> R.</w:t>
      </w:r>
      <w:r w:rsidRPr="000A4F85">
        <w:rPr>
          <w:rFonts w:ascii="Arial" w:eastAsia="Times New Roman" w:hAnsi="Arial" w:cs="Arial"/>
          <w:kern w:val="0"/>
          <w:sz w:val="22"/>
          <w:szCs w:val="22"/>
          <w:lang w:eastAsia="en-GB"/>
          <w14:ligatures w14:val="none"/>
        </w:rPr>
        <w:t xml:space="preserve"> Webb,</w:t>
      </w:r>
      <w:r>
        <w:rPr>
          <w:rFonts w:ascii="Arial" w:eastAsia="Times New Roman" w:hAnsi="Arial" w:cs="Arial"/>
          <w:kern w:val="0"/>
          <w:sz w:val="22"/>
          <w:szCs w:val="22"/>
          <w:lang w:eastAsia="en-GB"/>
          <w14:ligatures w14:val="none"/>
        </w:rPr>
        <w:t xml:space="preserve"> S.</w:t>
      </w:r>
      <w:r w:rsidRPr="000A4F85">
        <w:rPr>
          <w:rFonts w:ascii="Arial" w:eastAsia="Times New Roman" w:hAnsi="Arial" w:cs="Arial"/>
          <w:kern w:val="0"/>
          <w:sz w:val="22"/>
          <w:szCs w:val="22"/>
          <w:lang w:eastAsia="en-GB"/>
          <w14:ligatures w14:val="none"/>
        </w:rPr>
        <w:t xml:space="preserve"> Skidmore,</w:t>
      </w:r>
      <w:r>
        <w:rPr>
          <w:rFonts w:ascii="Arial" w:eastAsia="Times New Roman" w:hAnsi="Arial" w:cs="Arial"/>
          <w:kern w:val="0"/>
          <w:sz w:val="22"/>
          <w:szCs w:val="22"/>
          <w:lang w:eastAsia="en-GB"/>
          <w14:ligatures w14:val="none"/>
        </w:rPr>
        <w:t xml:space="preserve"> M.</w:t>
      </w:r>
      <w:r w:rsidRPr="000A4F85">
        <w:rPr>
          <w:rFonts w:ascii="Arial" w:eastAsia="Times New Roman" w:hAnsi="Arial" w:cs="Arial"/>
          <w:kern w:val="0"/>
          <w:sz w:val="22"/>
          <w:szCs w:val="22"/>
          <w:lang w:eastAsia="en-GB"/>
          <w14:ligatures w14:val="none"/>
        </w:rPr>
        <w:t xml:space="preserve"> Garner,</w:t>
      </w:r>
      <w:r>
        <w:rPr>
          <w:rFonts w:ascii="Arial" w:eastAsia="Times New Roman" w:hAnsi="Arial" w:cs="Arial"/>
          <w:kern w:val="0"/>
          <w:sz w:val="22"/>
          <w:szCs w:val="22"/>
          <w:lang w:eastAsia="en-GB"/>
          <w14:ligatures w14:val="none"/>
        </w:rPr>
        <w:t xml:space="preserve"> S.</w:t>
      </w:r>
      <w:r w:rsidRPr="000A4F85">
        <w:rPr>
          <w:rFonts w:ascii="Arial" w:eastAsia="Times New Roman" w:hAnsi="Arial" w:cs="Arial"/>
          <w:kern w:val="0"/>
          <w:sz w:val="22"/>
          <w:szCs w:val="22"/>
          <w:lang w:eastAsia="en-GB"/>
          <w14:ligatures w14:val="none"/>
        </w:rPr>
        <w:t xml:space="preserve"> Gill, </w:t>
      </w:r>
      <w:r>
        <w:rPr>
          <w:rFonts w:ascii="Arial" w:eastAsia="Times New Roman" w:hAnsi="Arial" w:cs="Arial"/>
          <w:kern w:val="0"/>
          <w:sz w:val="22"/>
          <w:szCs w:val="22"/>
          <w:lang w:eastAsia="en-GB"/>
          <w14:ligatures w14:val="none"/>
        </w:rPr>
        <w:t xml:space="preserve">M </w:t>
      </w:r>
      <w:r w:rsidRPr="000A4F85">
        <w:rPr>
          <w:rFonts w:ascii="Arial" w:eastAsia="Times New Roman" w:hAnsi="Arial" w:cs="Arial"/>
          <w:kern w:val="0"/>
          <w:sz w:val="22"/>
          <w:szCs w:val="22"/>
          <w:lang w:eastAsia="en-GB"/>
          <w14:ligatures w14:val="none"/>
        </w:rPr>
        <w:t>and Graham</w:t>
      </w:r>
      <w:r>
        <w:rPr>
          <w:rFonts w:ascii="Arial" w:eastAsia="Times New Roman" w:hAnsi="Arial" w:cs="Arial"/>
          <w:kern w:val="0"/>
          <w:sz w:val="22"/>
          <w:szCs w:val="22"/>
          <w:lang w:eastAsia="en-GB"/>
          <w14:ligatures w14:val="none"/>
        </w:rPr>
        <w:t xml:space="preserve">, J. </w:t>
      </w:r>
      <w:r w:rsidRPr="00EE678E">
        <w:rPr>
          <w:rFonts w:ascii="Arial" w:eastAsia="Times New Roman" w:hAnsi="Arial" w:cs="Arial"/>
          <w:kern w:val="0"/>
          <w:sz w:val="22"/>
          <w:szCs w:val="22"/>
          <w:lang w:eastAsia="en-GB"/>
          <w14:ligatures w14:val="none"/>
        </w:rPr>
        <w:t xml:space="preserve">(2019) “Tackling local organised crime groups: lessons from research in two UK cities,” </w:t>
      </w:r>
      <w:r w:rsidRPr="00EE678E">
        <w:rPr>
          <w:rFonts w:ascii="Arial" w:eastAsia="Times New Roman" w:hAnsi="Arial" w:cs="Arial"/>
          <w:i/>
          <w:iCs/>
          <w:kern w:val="0"/>
          <w:sz w:val="22"/>
          <w:szCs w:val="22"/>
          <w:lang w:eastAsia="en-GB"/>
          <w14:ligatures w14:val="none"/>
        </w:rPr>
        <w:t>Trends in organized crime</w:t>
      </w:r>
      <w:r w:rsidRPr="00EE678E">
        <w:rPr>
          <w:rFonts w:ascii="Arial" w:eastAsia="Times New Roman" w:hAnsi="Arial" w:cs="Arial"/>
          <w:kern w:val="0"/>
          <w:sz w:val="22"/>
          <w:szCs w:val="22"/>
          <w:lang w:eastAsia="en-GB"/>
          <w14:ligatures w14:val="none"/>
        </w:rPr>
        <w:t xml:space="preserve">, 22(4), pp. 433–449. Available at: </w:t>
      </w:r>
      <w:hyperlink r:id="rId11" w:history="1">
        <w:r w:rsidRPr="00EE678E">
          <w:rPr>
            <w:rStyle w:val="Hyperlink"/>
            <w:rFonts w:ascii="Arial" w:eastAsia="Times New Roman" w:hAnsi="Arial" w:cs="Arial"/>
            <w:kern w:val="0"/>
            <w:sz w:val="22"/>
            <w:szCs w:val="22"/>
            <w:lang w:eastAsia="en-GB"/>
            <w14:ligatures w14:val="none"/>
          </w:rPr>
          <w:t>https://doi.org/10.1007/s12117-018-9335-x</w:t>
        </w:r>
      </w:hyperlink>
      <w:r w:rsidRPr="00EE678E">
        <w:rPr>
          <w:rFonts w:ascii="Arial" w:eastAsia="Times New Roman" w:hAnsi="Arial" w:cs="Arial"/>
          <w:kern w:val="0"/>
          <w:sz w:val="22"/>
          <w:szCs w:val="22"/>
          <w:lang w:eastAsia="en-GB"/>
          <w14:ligatures w14:val="none"/>
        </w:rPr>
        <w:t>.</w:t>
      </w:r>
    </w:p>
    <w:p w14:paraId="22D79614"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43A53024" w14:textId="77777777" w:rsidR="00100854" w:rsidRDefault="00100854" w:rsidP="00100854">
      <w:pPr>
        <w:spacing w:after="0" w:line="240" w:lineRule="auto"/>
        <w:rPr>
          <w:rFonts w:ascii="Arial" w:eastAsia="Times New Roman" w:hAnsi="Arial" w:cs="Arial"/>
          <w:kern w:val="0"/>
          <w:sz w:val="22"/>
          <w:szCs w:val="22"/>
          <w:lang w:eastAsia="en-GB"/>
          <w14:ligatures w14:val="none"/>
        </w:rPr>
      </w:pPr>
      <w:r w:rsidRPr="007C0957">
        <w:rPr>
          <w:rFonts w:ascii="Arial" w:eastAsia="Times New Roman" w:hAnsi="Arial" w:cs="Arial"/>
          <w:kern w:val="0"/>
          <w:sz w:val="22"/>
          <w:szCs w:val="22"/>
          <w:lang w:eastAsia="en-GB"/>
          <w14:ligatures w14:val="none"/>
        </w:rPr>
        <w:t>Fitzpatrick, D. (2006) “Crime fighting in the twenty</w:t>
      </w:r>
      <w:r w:rsidRPr="007C0957">
        <w:rPr>
          <w:rFonts w:ascii="Cambria Math" w:eastAsia="Times New Roman" w:hAnsi="Cambria Math" w:cs="Cambria Math"/>
          <w:kern w:val="0"/>
          <w:sz w:val="22"/>
          <w:szCs w:val="22"/>
          <w:lang w:eastAsia="en-GB"/>
          <w14:ligatures w14:val="none"/>
        </w:rPr>
        <w:t>‐</w:t>
      </w:r>
      <w:r w:rsidRPr="007C0957">
        <w:rPr>
          <w:rFonts w:ascii="Arial" w:eastAsia="Times New Roman" w:hAnsi="Arial" w:cs="Arial"/>
          <w:kern w:val="0"/>
          <w:sz w:val="22"/>
          <w:szCs w:val="22"/>
          <w:lang w:eastAsia="en-GB"/>
          <w14:ligatures w14:val="none"/>
        </w:rPr>
        <w:t xml:space="preserve">first </w:t>
      </w:r>
      <w:proofErr w:type="gramStart"/>
      <w:r w:rsidRPr="007C0957">
        <w:rPr>
          <w:rFonts w:ascii="Arial" w:eastAsia="Times New Roman" w:hAnsi="Arial" w:cs="Arial"/>
          <w:kern w:val="0"/>
          <w:sz w:val="22"/>
          <w:szCs w:val="22"/>
          <w:lang w:eastAsia="en-GB"/>
          <w14:ligatures w14:val="none"/>
        </w:rPr>
        <w:t>century?:</w:t>
      </w:r>
      <w:proofErr w:type="gramEnd"/>
      <w:r w:rsidRPr="007C0957">
        <w:rPr>
          <w:rFonts w:ascii="Arial" w:eastAsia="Times New Roman" w:hAnsi="Arial" w:cs="Arial"/>
          <w:kern w:val="0"/>
          <w:sz w:val="22"/>
          <w:szCs w:val="22"/>
          <w:lang w:eastAsia="en-GB"/>
          <w14:ligatures w14:val="none"/>
        </w:rPr>
        <w:t xml:space="preserve"> A practitioner’s assessment of the Serious Organised Crime and Police Act 2005,” </w:t>
      </w:r>
      <w:r w:rsidRPr="007C0957">
        <w:rPr>
          <w:rFonts w:ascii="Arial" w:eastAsia="Times New Roman" w:hAnsi="Arial" w:cs="Arial"/>
          <w:i/>
          <w:iCs/>
          <w:kern w:val="0"/>
          <w:sz w:val="22"/>
          <w:szCs w:val="22"/>
          <w:lang w:eastAsia="en-GB"/>
          <w14:ligatures w14:val="none"/>
        </w:rPr>
        <w:t>Journal of money laundering control</w:t>
      </w:r>
      <w:r w:rsidRPr="007C0957">
        <w:rPr>
          <w:rFonts w:ascii="Arial" w:eastAsia="Times New Roman" w:hAnsi="Arial" w:cs="Arial"/>
          <w:kern w:val="0"/>
          <w:sz w:val="22"/>
          <w:szCs w:val="22"/>
          <w:lang w:eastAsia="en-GB"/>
          <w14:ligatures w14:val="none"/>
        </w:rPr>
        <w:t xml:space="preserve">, 9(2), pp. 129–140. Available at: </w:t>
      </w:r>
      <w:hyperlink r:id="rId12" w:history="1">
        <w:r w:rsidRPr="007C0957">
          <w:rPr>
            <w:rStyle w:val="Hyperlink"/>
            <w:rFonts w:ascii="Arial" w:eastAsia="Times New Roman" w:hAnsi="Arial" w:cs="Arial"/>
            <w:kern w:val="0"/>
            <w:sz w:val="22"/>
            <w:szCs w:val="22"/>
            <w:lang w:eastAsia="en-GB"/>
            <w14:ligatures w14:val="none"/>
          </w:rPr>
          <w:t>https://doi.org/10.1108/13685200610660952</w:t>
        </w:r>
      </w:hyperlink>
      <w:r w:rsidRPr="007C0957">
        <w:rPr>
          <w:rFonts w:ascii="Arial" w:eastAsia="Times New Roman" w:hAnsi="Arial" w:cs="Arial"/>
          <w:kern w:val="0"/>
          <w:sz w:val="22"/>
          <w:szCs w:val="22"/>
          <w:lang w:eastAsia="en-GB"/>
          <w14:ligatures w14:val="none"/>
        </w:rPr>
        <w:t>.</w:t>
      </w:r>
    </w:p>
    <w:p w14:paraId="3334BBBB"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0912C8EF" w14:textId="77777777" w:rsidR="00100854" w:rsidRPr="00CB1D9B" w:rsidRDefault="00100854" w:rsidP="00100854">
      <w:pPr>
        <w:spacing w:after="0" w:line="300" w:lineRule="atLeast"/>
        <w:rPr>
          <w:rFonts w:ascii="Arial" w:eastAsia="Times New Roman" w:hAnsi="Arial" w:cs="Arial"/>
          <w:kern w:val="0"/>
          <w:sz w:val="22"/>
          <w:szCs w:val="22"/>
          <w:lang w:eastAsia="en-GB"/>
          <w14:ligatures w14:val="none"/>
        </w:rPr>
      </w:pPr>
      <w:r w:rsidRPr="00CB1D9B">
        <w:rPr>
          <w:rFonts w:ascii="Arial" w:eastAsia="Times New Roman" w:hAnsi="Arial" w:cs="Arial"/>
          <w:kern w:val="0"/>
          <w:sz w:val="22"/>
          <w:szCs w:val="22"/>
          <w:lang w:eastAsia="en-GB"/>
          <w14:ligatures w14:val="none"/>
        </w:rPr>
        <w:t>Her Majesty’s Inspectorate of Constabulary and Fire &amp; Rescue Services (HMICFRS) (2020) State of policing: the annual assessment of policing in England and Wales 2019</w:t>
      </w:r>
      <w:r w:rsidRPr="00CB1D9B">
        <w:rPr>
          <w:rFonts w:ascii="Arial" w:eastAsia="Times New Roman" w:hAnsi="Arial" w:cs="Arial"/>
          <w:i/>
          <w:iCs/>
          <w:kern w:val="0"/>
          <w:sz w:val="22"/>
          <w:szCs w:val="22"/>
          <w:lang w:eastAsia="en-GB"/>
          <w14:ligatures w14:val="none"/>
        </w:rPr>
        <w:t>.</w:t>
      </w:r>
      <w:r w:rsidRPr="00CB1D9B">
        <w:rPr>
          <w:rFonts w:ascii="Arial" w:eastAsia="Times New Roman" w:hAnsi="Arial" w:cs="Arial"/>
          <w:kern w:val="0"/>
          <w:sz w:val="22"/>
          <w:szCs w:val="22"/>
          <w:lang w:eastAsia="en-GB"/>
          <w14:ligatures w14:val="none"/>
        </w:rPr>
        <w:t xml:space="preserve"> </w:t>
      </w:r>
      <w:r w:rsidRPr="00CB1D9B">
        <w:rPr>
          <w:rFonts w:ascii="Arial" w:eastAsia="Times New Roman" w:hAnsi="Arial" w:cs="Arial"/>
          <w:i/>
          <w:iCs/>
          <w:kern w:val="0"/>
          <w:sz w:val="22"/>
          <w:szCs w:val="22"/>
          <w:lang w:eastAsia="en-GB"/>
          <w14:ligatures w14:val="none"/>
        </w:rPr>
        <w:t>HMICFRS</w:t>
      </w:r>
      <w:r w:rsidRPr="00CB1D9B">
        <w:rPr>
          <w:rFonts w:ascii="Arial" w:eastAsia="Times New Roman" w:hAnsi="Arial" w:cs="Arial"/>
          <w:kern w:val="0"/>
          <w:sz w:val="22"/>
          <w:szCs w:val="22"/>
          <w:lang w:eastAsia="en-GB"/>
          <w14:ligatures w14:val="none"/>
        </w:rPr>
        <w:t xml:space="preserve">. Available at: https://www.justiceinspectorates.gov.uk/hmicfrs/ (Accessed: </w:t>
      </w:r>
      <w:r w:rsidRPr="008D123B">
        <w:rPr>
          <w:rFonts w:ascii="Arial" w:eastAsia="Times New Roman" w:hAnsi="Arial" w:cs="Arial"/>
          <w:kern w:val="0"/>
          <w:sz w:val="22"/>
          <w:szCs w:val="22"/>
          <w:lang w:eastAsia="en-GB"/>
          <w14:ligatures w14:val="none"/>
        </w:rPr>
        <w:t>March 2026</w:t>
      </w:r>
      <w:r w:rsidRPr="00CB1D9B">
        <w:rPr>
          <w:rFonts w:ascii="Arial" w:eastAsia="Times New Roman" w:hAnsi="Arial" w:cs="Arial"/>
          <w:kern w:val="0"/>
          <w:sz w:val="22"/>
          <w:szCs w:val="22"/>
          <w:lang w:eastAsia="en-GB"/>
          <w14:ligatures w14:val="none"/>
        </w:rPr>
        <w:t>).</w:t>
      </w:r>
    </w:p>
    <w:p w14:paraId="30B31DB1"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
    <w:p w14:paraId="6286D0DC"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sidRPr="00CB1D9B">
        <w:rPr>
          <w:rFonts w:ascii="Arial" w:eastAsia="Times New Roman" w:hAnsi="Arial" w:cs="Arial"/>
          <w:kern w:val="0"/>
          <w:sz w:val="22"/>
          <w:szCs w:val="22"/>
          <w:lang w:eastAsia="en-GB"/>
          <w14:ligatures w14:val="none"/>
        </w:rPr>
        <w:t>Her Majesty’s Inspectorate of Constabulary and Fire &amp; Rescue Services (HMICFRS)</w:t>
      </w:r>
      <w:r w:rsidRPr="00E53013">
        <w:rPr>
          <w:rFonts w:ascii="Arial" w:eastAsia="Times New Roman" w:hAnsi="Arial" w:cs="Arial"/>
          <w:kern w:val="0"/>
          <w:sz w:val="22"/>
          <w:szCs w:val="22"/>
          <w:lang w:eastAsia="en-GB"/>
          <w14:ligatures w14:val="none"/>
        </w:rPr>
        <w:t xml:space="preserve"> (2021) Regional Organised Crime Units: An inspection of the effectiveness of the Regional Organised Crime Units. </w:t>
      </w:r>
      <w:r w:rsidRPr="00E53013">
        <w:rPr>
          <w:rFonts w:ascii="Arial" w:eastAsia="Times New Roman" w:hAnsi="Arial" w:cs="Arial"/>
          <w:i/>
          <w:iCs/>
          <w:kern w:val="0"/>
          <w:sz w:val="22"/>
          <w:szCs w:val="22"/>
          <w:lang w:eastAsia="en-GB"/>
          <w14:ligatures w14:val="none"/>
        </w:rPr>
        <w:t>HMICFRS.</w:t>
      </w:r>
      <w:r w:rsidRPr="008D123B">
        <w:rPr>
          <w:rFonts w:ascii="Arial" w:eastAsia="Times New Roman" w:hAnsi="Arial" w:cs="Arial"/>
          <w:i/>
          <w:iCs/>
          <w:kern w:val="0"/>
          <w:sz w:val="22"/>
          <w:szCs w:val="22"/>
          <w:lang w:eastAsia="en-GB"/>
          <w14:ligatures w14:val="none"/>
        </w:rPr>
        <w:t xml:space="preserve"> </w:t>
      </w:r>
      <w:r w:rsidRPr="00E53013">
        <w:rPr>
          <w:rFonts w:ascii="Arial" w:eastAsia="Times New Roman" w:hAnsi="Arial" w:cs="Arial"/>
          <w:kern w:val="0"/>
          <w:sz w:val="22"/>
          <w:szCs w:val="22"/>
          <w:lang w:eastAsia="en-GB"/>
          <w14:ligatures w14:val="none"/>
        </w:rPr>
        <w:t>Available at:</w:t>
      </w:r>
      <w:r w:rsidRPr="008D123B">
        <w:rPr>
          <w:rFonts w:ascii="Arial" w:eastAsia="Times New Roman" w:hAnsi="Arial" w:cs="Arial"/>
          <w:kern w:val="0"/>
          <w:sz w:val="22"/>
          <w:szCs w:val="22"/>
          <w:lang w:eastAsia="en-GB"/>
          <w14:ligatures w14:val="none"/>
        </w:rPr>
        <w:t xml:space="preserve"> </w:t>
      </w:r>
      <w:r w:rsidRPr="00E53013">
        <w:rPr>
          <w:rFonts w:ascii="Arial" w:eastAsia="Times New Roman" w:hAnsi="Arial" w:cs="Arial"/>
          <w:kern w:val="0"/>
          <w:sz w:val="22"/>
          <w:szCs w:val="22"/>
          <w:lang w:eastAsia="en-GB"/>
          <w14:ligatures w14:val="none"/>
        </w:rPr>
        <w:t xml:space="preserve">https://www.justiceinspectorates.gov.uk/hmicfrs (Accessed: </w:t>
      </w:r>
      <w:r w:rsidRPr="008D123B">
        <w:rPr>
          <w:rFonts w:ascii="Arial" w:eastAsia="Times New Roman" w:hAnsi="Arial" w:cs="Arial"/>
          <w:kern w:val="0"/>
          <w:sz w:val="22"/>
          <w:szCs w:val="22"/>
          <w:lang w:eastAsia="en-GB"/>
          <w14:ligatures w14:val="none"/>
        </w:rPr>
        <w:t>March 2026).</w:t>
      </w:r>
    </w:p>
    <w:p w14:paraId="690785A6"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p>
    <w:p w14:paraId="609F2990"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sidRPr="00CB1D9B">
        <w:rPr>
          <w:rFonts w:ascii="Arial" w:eastAsia="Times New Roman" w:hAnsi="Arial" w:cs="Arial"/>
          <w:kern w:val="0"/>
          <w:sz w:val="22"/>
          <w:szCs w:val="22"/>
          <w:lang w:eastAsia="en-GB"/>
          <w14:ligatures w14:val="none"/>
        </w:rPr>
        <w:t>Her Majesty’s Inspectorate of Constabulary and Fire &amp; Rescue Services (HMICFRS)</w:t>
      </w:r>
      <w:r w:rsidRPr="00A43C04">
        <w:rPr>
          <w:rFonts w:ascii="Arial" w:eastAsia="Times New Roman" w:hAnsi="Arial" w:cs="Arial"/>
          <w:kern w:val="0"/>
          <w:sz w:val="22"/>
          <w:szCs w:val="22"/>
          <w:lang w:eastAsia="en-GB"/>
          <w14:ligatures w14:val="none"/>
        </w:rPr>
        <w:t xml:space="preserve"> (2025</w:t>
      </w:r>
      <w:r>
        <w:rPr>
          <w:rFonts w:ascii="Arial" w:eastAsia="Times New Roman" w:hAnsi="Arial" w:cs="Arial"/>
          <w:kern w:val="0"/>
          <w:sz w:val="22"/>
          <w:szCs w:val="22"/>
          <w:lang w:eastAsia="en-GB"/>
          <w14:ligatures w14:val="none"/>
        </w:rPr>
        <w:t>a</w:t>
      </w:r>
      <w:r w:rsidRPr="00A43C04">
        <w:rPr>
          <w:rFonts w:ascii="Arial" w:eastAsia="Times New Roman" w:hAnsi="Arial" w:cs="Arial"/>
          <w:kern w:val="0"/>
          <w:sz w:val="22"/>
          <w:szCs w:val="22"/>
          <w:lang w:eastAsia="en-GB"/>
          <w14:ligatures w14:val="none"/>
        </w:rPr>
        <w:t xml:space="preserve">) Improving the response to organised immigration crime. </w:t>
      </w:r>
      <w:r w:rsidRPr="00A43C04">
        <w:rPr>
          <w:rFonts w:ascii="Arial" w:eastAsia="Times New Roman" w:hAnsi="Arial" w:cs="Arial"/>
          <w:i/>
          <w:iCs/>
          <w:kern w:val="0"/>
          <w:sz w:val="22"/>
          <w:szCs w:val="22"/>
          <w:lang w:eastAsia="en-GB"/>
          <w14:ligatures w14:val="none"/>
        </w:rPr>
        <w:t>HMICFRS</w:t>
      </w:r>
      <w:r w:rsidRPr="00A43C04">
        <w:rPr>
          <w:rFonts w:ascii="Arial" w:eastAsia="Times New Roman" w:hAnsi="Arial" w:cs="Arial"/>
          <w:kern w:val="0"/>
          <w:sz w:val="22"/>
          <w:szCs w:val="22"/>
          <w:lang w:eastAsia="en-GB"/>
          <w14:ligatures w14:val="none"/>
        </w:rPr>
        <w:t>.</w:t>
      </w:r>
      <w:r w:rsidRPr="00A43C04">
        <w:rPr>
          <w:rFonts w:ascii="Arial" w:eastAsia="Times New Roman" w:hAnsi="Arial" w:cs="Arial"/>
          <w:kern w:val="0"/>
          <w:sz w:val="22"/>
          <w:szCs w:val="22"/>
          <w:lang w:eastAsia="en-GB"/>
          <w14:ligatures w14:val="none"/>
        </w:rPr>
        <w:br/>
        <w:t xml:space="preserve">Available at: https://hmicfrs.justiceinspectorates.gov.uk (Accessed: </w:t>
      </w:r>
      <w:r w:rsidRPr="008D123B">
        <w:rPr>
          <w:rFonts w:ascii="Arial" w:eastAsia="Times New Roman" w:hAnsi="Arial" w:cs="Arial"/>
          <w:kern w:val="0"/>
          <w:sz w:val="22"/>
          <w:szCs w:val="22"/>
          <w:lang w:eastAsia="en-GB"/>
          <w14:ligatures w14:val="none"/>
        </w:rPr>
        <w:t>March 2026).</w:t>
      </w:r>
    </w:p>
    <w:p w14:paraId="0B358D8A"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p>
    <w:p w14:paraId="20838DA6" w14:textId="77777777" w:rsidR="00100854" w:rsidRPr="00A43C04" w:rsidRDefault="00100854" w:rsidP="00100854">
      <w:pPr>
        <w:spacing w:after="0" w:line="300" w:lineRule="atLeast"/>
        <w:rPr>
          <w:rFonts w:ascii="Arial" w:eastAsia="Times New Roman" w:hAnsi="Arial" w:cs="Arial"/>
          <w:kern w:val="0"/>
          <w:sz w:val="22"/>
          <w:szCs w:val="22"/>
          <w:lang w:eastAsia="en-GB"/>
          <w14:ligatures w14:val="none"/>
        </w:rPr>
      </w:pPr>
      <w:r w:rsidRPr="00CB1D9B">
        <w:rPr>
          <w:rFonts w:ascii="Arial" w:eastAsia="Times New Roman" w:hAnsi="Arial" w:cs="Arial"/>
          <w:kern w:val="0"/>
          <w:sz w:val="22"/>
          <w:szCs w:val="22"/>
          <w:lang w:eastAsia="en-GB"/>
          <w14:ligatures w14:val="none"/>
        </w:rPr>
        <w:t>Her Majesty’s Inspectorate of Constabulary and Fire &amp; Rescue Services (HMICFRS)</w:t>
      </w:r>
      <w:r w:rsidRPr="00A43C04">
        <w:rPr>
          <w:rFonts w:ascii="Arial" w:eastAsia="Times New Roman" w:hAnsi="Arial" w:cs="Arial"/>
          <w:kern w:val="0"/>
          <w:sz w:val="22"/>
          <w:szCs w:val="22"/>
          <w:lang w:eastAsia="en-GB"/>
          <w14:ligatures w14:val="none"/>
        </w:rPr>
        <w:t xml:space="preserve"> (2025</w:t>
      </w:r>
      <w:r>
        <w:rPr>
          <w:rFonts w:ascii="Arial" w:eastAsia="Times New Roman" w:hAnsi="Arial" w:cs="Arial"/>
          <w:kern w:val="0"/>
          <w:sz w:val="22"/>
          <w:szCs w:val="22"/>
          <w:lang w:eastAsia="en-GB"/>
          <w14:ligatures w14:val="none"/>
        </w:rPr>
        <w:t>b</w:t>
      </w:r>
      <w:r w:rsidRPr="00A43C04">
        <w:rPr>
          <w:rFonts w:ascii="Arial" w:eastAsia="Times New Roman" w:hAnsi="Arial" w:cs="Arial"/>
          <w:kern w:val="0"/>
          <w:sz w:val="22"/>
          <w:szCs w:val="22"/>
          <w:lang w:eastAsia="en-GB"/>
          <w14:ligatures w14:val="none"/>
        </w:rPr>
        <w:t xml:space="preserve">) An inspection of the Yorkshire and Humber regional response to serious and organised crime. </w:t>
      </w:r>
      <w:r w:rsidRPr="00A43C04">
        <w:rPr>
          <w:rFonts w:ascii="Arial" w:eastAsia="Times New Roman" w:hAnsi="Arial" w:cs="Arial"/>
          <w:i/>
          <w:iCs/>
          <w:kern w:val="0"/>
          <w:sz w:val="22"/>
          <w:szCs w:val="22"/>
          <w:lang w:eastAsia="en-GB"/>
          <w14:ligatures w14:val="none"/>
        </w:rPr>
        <w:t>HMICFRS</w:t>
      </w:r>
      <w:r w:rsidRPr="00A43C04">
        <w:rPr>
          <w:rFonts w:ascii="Arial" w:eastAsia="Times New Roman" w:hAnsi="Arial" w:cs="Arial"/>
          <w:kern w:val="0"/>
          <w:sz w:val="22"/>
          <w:szCs w:val="22"/>
          <w:lang w:eastAsia="en-GB"/>
          <w14:ligatures w14:val="none"/>
        </w:rPr>
        <w:t>.</w:t>
      </w:r>
      <w:r w:rsidRPr="00A43C04">
        <w:rPr>
          <w:rFonts w:ascii="Arial" w:eastAsia="Times New Roman" w:hAnsi="Arial" w:cs="Arial"/>
          <w:kern w:val="0"/>
          <w:sz w:val="22"/>
          <w:szCs w:val="22"/>
          <w:lang w:eastAsia="en-GB"/>
          <w14:ligatures w14:val="none"/>
        </w:rPr>
        <w:br/>
        <w:t xml:space="preserve">Available at: https://hmicfrs.justiceinspectorates.gov.uk (Accessed: </w:t>
      </w:r>
      <w:r w:rsidRPr="008D123B">
        <w:rPr>
          <w:rFonts w:ascii="Arial" w:eastAsia="Times New Roman" w:hAnsi="Arial" w:cs="Arial"/>
          <w:kern w:val="0"/>
          <w:sz w:val="22"/>
          <w:szCs w:val="22"/>
          <w:lang w:eastAsia="en-GB"/>
          <w14:ligatures w14:val="none"/>
        </w:rPr>
        <w:t>March 2026</w:t>
      </w:r>
      <w:r w:rsidRPr="00A43C04">
        <w:rPr>
          <w:rFonts w:ascii="Arial" w:eastAsia="Times New Roman" w:hAnsi="Arial" w:cs="Arial"/>
          <w:kern w:val="0"/>
          <w:sz w:val="22"/>
          <w:szCs w:val="22"/>
          <w:lang w:eastAsia="en-GB"/>
          <w14:ligatures w14:val="none"/>
        </w:rPr>
        <w:t>).</w:t>
      </w:r>
    </w:p>
    <w:p w14:paraId="71DDDAB7"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p>
    <w:p w14:paraId="671C8E45" w14:textId="77777777" w:rsidR="00100854" w:rsidRPr="00A43C04" w:rsidRDefault="00100854" w:rsidP="00100854">
      <w:pPr>
        <w:spacing w:after="0" w:line="300" w:lineRule="atLeast"/>
        <w:rPr>
          <w:rFonts w:ascii="Arial" w:eastAsia="Times New Roman" w:hAnsi="Arial" w:cs="Arial"/>
          <w:kern w:val="0"/>
          <w:sz w:val="22"/>
          <w:szCs w:val="22"/>
          <w:lang w:eastAsia="en-GB"/>
          <w14:ligatures w14:val="none"/>
        </w:rPr>
      </w:pPr>
      <w:r w:rsidRPr="0097017E">
        <w:rPr>
          <w:rFonts w:ascii="Arial" w:eastAsia="Times New Roman" w:hAnsi="Arial" w:cs="Arial"/>
          <w:kern w:val="0"/>
          <w:sz w:val="22"/>
          <w:szCs w:val="22"/>
          <w:lang w:eastAsia="en-GB"/>
          <w14:ligatures w14:val="none"/>
        </w:rPr>
        <w:t>HM Government (2021) From harm to hope: a 10</w:t>
      </w:r>
      <w:r w:rsidRPr="0097017E">
        <w:rPr>
          <w:rFonts w:ascii="Arial" w:eastAsia="Times New Roman" w:hAnsi="Arial" w:cs="Arial"/>
          <w:kern w:val="0"/>
          <w:sz w:val="22"/>
          <w:szCs w:val="22"/>
          <w:lang w:eastAsia="en-GB"/>
          <w14:ligatures w14:val="none"/>
        </w:rPr>
        <w:noBreakHyphen/>
        <w:t>year drugs plan to cut crime and save lives</w:t>
      </w:r>
      <w:r w:rsidRPr="0097017E">
        <w:rPr>
          <w:rFonts w:ascii="Arial" w:eastAsia="Times New Roman" w:hAnsi="Arial" w:cs="Arial"/>
          <w:i/>
          <w:iCs/>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r w:rsidRPr="0097017E">
        <w:rPr>
          <w:rFonts w:ascii="Arial" w:eastAsia="Times New Roman" w:hAnsi="Arial" w:cs="Arial"/>
          <w:i/>
          <w:iCs/>
          <w:kern w:val="0"/>
          <w:sz w:val="22"/>
          <w:szCs w:val="22"/>
          <w:lang w:eastAsia="en-GB"/>
          <w14:ligatures w14:val="none"/>
        </w:rPr>
        <w:t>HM Government</w:t>
      </w:r>
      <w:r w:rsidRPr="0097017E">
        <w:rPr>
          <w:rFonts w:ascii="Arial" w:eastAsia="Times New Roman" w:hAnsi="Arial" w:cs="Arial"/>
          <w:kern w:val="0"/>
          <w:sz w:val="22"/>
          <w:szCs w:val="22"/>
          <w:lang w:eastAsia="en-GB"/>
          <w14:ligatures w14:val="none"/>
        </w:rPr>
        <w:t xml:space="preserve">. Available at: https://www.gov.uk/government/publications/from-harm-to-hope-a-10-year-drugs-plan-to-cut-crime-and-save-lives (Accessed: </w:t>
      </w:r>
      <w:r w:rsidRPr="008D123B">
        <w:rPr>
          <w:rFonts w:ascii="Arial" w:eastAsia="Times New Roman" w:hAnsi="Arial" w:cs="Arial"/>
          <w:i/>
          <w:iCs/>
          <w:kern w:val="0"/>
          <w:sz w:val="22"/>
          <w:szCs w:val="22"/>
          <w:lang w:eastAsia="en-GB"/>
          <w14:ligatures w14:val="none"/>
        </w:rPr>
        <w:t>March 2026</w:t>
      </w:r>
      <w:r w:rsidRPr="0097017E">
        <w:rPr>
          <w:rFonts w:ascii="Arial" w:eastAsia="Times New Roman" w:hAnsi="Arial" w:cs="Arial"/>
          <w:kern w:val="0"/>
          <w:sz w:val="22"/>
          <w:szCs w:val="22"/>
          <w:lang w:eastAsia="en-GB"/>
          <w14:ligatures w14:val="none"/>
        </w:rPr>
        <w:t>).</w:t>
      </w:r>
    </w:p>
    <w:p w14:paraId="4D8AED91"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
    <w:p w14:paraId="65C8C138" w14:textId="77777777" w:rsidR="00100854" w:rsidRPr="00E72A11" w:rsidRDefault="00100854" w:rsidP="00100854">
      <w:pPr>
        <w:spacing w:after="0" w:line="300" w:lineRule="atLeast"/>
        <w:rPr>
          <w:rFonts w:ascii="Arial" w:eastAsia="Times New Roman" w:hAnsi="Arial" w:cs="Arial"/>
          <w:kern w:val="0"/>
          <w:sz w:val="22"/>
          <w:szCs w:val="22"/>
          <w:lang w:eastAsia="en-GB"/>
          <w14:ligatures w14:val="none"/>
        </w:rPr>
      </w:pPr>
      <w:r w:rsidRPr="002D0A8C">
        <w:rPr>
          <w:rFonts w:ascii="Arial" w:eastAsia="Times New Roman" w:hAnsi="Arial" w:cs="Arial"/>
          <w:kern w:val="0"/>
          <w:sz w:val="22"/>
          <w:szCs w:val="22"/>
          <w:lang w:eastAsia="en-GB"/>
          <w14:ligatures w14:val="none"/>
        </w:rPr>
        <w:t xml:space="preserve">Home Office (2004) One Step Ahead: A 21st Century Strategy to Defeat Organised Crime. </w:t>
      </w:r>
      <w:r w:rsidRPr="008D123B">
        <w:rPr>
          <w:rFonts w:ascii="Arial" w:eastAsia="Times New Roman" w:hAnsi="Arial" w:cs="Arial"/>
          <w:i/>
          <w:iCs/>
          <w:kern w:val="0"/>
          <w:sz w:val="22"/>
          <w:szCs w:val="22"/>
          <w:lang w:eastAsia="en-GB"/>
          <w14:ligatures w14:val="none"/>
        </w:rPr>
        <w:t xml:space="preserve">Home Office. </w:t>
      </w:r>
      <w:r w:rsidRPr="008D123B">
        <w:rPr>
          <w:rFonts w:ascii="Arial" w:eastAsia="Times New Roman" w:hAnsi="Arial" w:cs="Arial"/>
          <w:kern w:val="0"/>
          <w:sz w:val="22"/>
          <w:szCs w:val="22"/>
          <w:lang w:eastAsia="en-GB"/>
          <w14:ligatures w14:val="none"/>
        </w:rPr>
        <w:t xml:space="preserve">Available at: </w:t>
      </w:r>
      <w:hyperlink r:id="rId13" w:history="1">
        <w:r w:rsidRPr="008D123B">
          <w:rPr>
            <w:rStyle w:val="Hyperlink"/>
            <w:rFonts w:ascii="Arial" w:eastAsia="Times New Roman" w:hAnsi="Arial" w:cs="Arial"/>
            <w:kern w:val="0"/>
            <w:sz w:val="22"/>
            <w:szCs w:val="22"/>
            <w:lang w:eastAsia="en-GB"/>
            <w14:ligatures w14:val="none"/>
          </w:rPr>
          <w:t>https://www.gov.uk/government/publications/one-step-ahead-a-21st-century-strategy-to-defeat-organised-crime</w:t>
        </w:r>
      </w:hyperlink>
      <w:r w:rsidRPr="008D123B">
        <w:rPr>
          <w:rFonts w:ascii="Arial" w:eastAsia="Times New Roman" w:hAnsi="Arial" w:cs="Arial"/>
          <w:kern w:val="0"/>
          <w:sz w:val="22"/>
          <w:szCs w:val="22"/>
          <w:lang w:eastAsia="en-GB"/>
          <w14:ligatures w14:val="none"/>
        </w:rPr>
        <w:t xml:space="preserve"> (Accessed: March 2026)</w:t>
      </w:r>
    </w:p>
    <w:p w14:paraId="61A9709C" w14:textId="77777777" w:rsidR="00100854" w:rsidRPr="00DA44C1" w:rsidRDefault="00100854" w:rsidP="00100854">
      <w:pPr>
        <w:spacing w:after="0" w:line="240" w:lineRule="auto"/>
        <w:rPr>
          <w:rFonts w:ascii="Arial" w:eastAsia="Times New Roman" w:hAnsi="Arial" w:cs="Arial"/>
          <w:kern w:val="0"/>
          <w:sz w:val="22"/>
          <w:szCs w:val="22"/>
          <w:lang w:eastAsia="en-GB"/>
          <w14:ligatures w14:val="none"/>
        </w:rPr>
      </w:pPr>
    </w:p>
    <w:p w14:paraId="3C5206C2"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sidRPr="00E72A11">
        <w:rPr>
          <w:rFonts w:ascii="Arial" w:eastAsia="Times New Roman" w:hAnsi="Arial" w:cs="Arial"/>
          <w:kern w:val="0"/>
          <w:sz w:val="22"/>
          <w:szCs w:val="22"/>
          <w:lang w:eastAsia="en-GB"/>
          <w14:ligatures w14:val="none"/>
        </w:rPr>
        <w:t xml:space="preserve">Home Office (2023) No Place to Hide: Serious and Organised Crime Strategy 2023–2028. </w:t>
      </w:r>
      <w:r w:rsidRPr="00E72A11">
        <w:rPr>
          <w:rFonts w:ascii="Arial" w:eastAsia="Times New Roman" w:hAnsi="Arial" w:cs="Arial"/>
          <w:i/>
          <w:iCs/>
          <w:kern w:val="0"/>
          <w:sz w:val="22"/>
          <w:szCs w:val="22"/>
          <w:lang w:eastAsia="en-GB"/>
          <w14:ligatures w14:val="none"/>
        </w:rPr>
        <w:t>Home Office.</w:t>
      </w:r>
      <w:r w:rsidRPr="008D123B">
        <w:rPr>
          <w:rFonts w:ascii="Arial" w:eastAsia="Times New Roman" w:hAnsi="Arial" w:cs="Arial"/>
          <w:i/>
          <w:iCs/>
          <w:kern w:val="0"/>
          <w:sz w:val="22"/>
          <w:szCs w:val="22"/>
          <w:lang w:eastAsia="en-GB"/>
          <w14:ligatures w14:val="none"/>
        </w:rPr>
        <w:t xml:space="preserve"> </w:t>
      </w:r>
      <w:r w:rsidRPr="008D123B">
        <w:rPr>
          <w:rFonts w:ascii="Arial" w:eastAsia="Times New Roman" w:hAnsi="Arial" w:cs="Arial"/>
          <w:kern w:val="0"/>
          <w:sz w:val="22"/>
          <w:szCs w:val="22"/>
          <w:lang w:eastAsia="en-GB"/>
          <w14:ligatures w14:val="none"/>
        </w:rPr>
        <w:t xml:space="preserve">Available at: </w:t>
      </w:r>
      <w:hyperlink r:id="rId14" w:history="1">
        <w:r w:rsidRPr="008D123B">
          <w:rPr>
            <w:rStyle w:val="Hyperlink"/>
            <w:rFonts w:ascii="Arial" w:eastAsia="Times New Roman" w:hAnsi="Arial" w:cs="Arial"/>
            <w:kern w:val="0"/>
            <w:sz w:val="22"/>
            <w:szCs w:val="22"/>
            <w:lang w:eastAsia="en-GB"/>
            <w14:ligatures w14:val="none"/>
          </w:rPr>
          <w:t>https://assets.publishing.service.gov.uk/media/65798633254aaa0010050bdc/SOC_Strategy_23-28_V9_Web_Accessible.pdf</w:t>
        </w:r>
      </w:hyperlink>
      <w:r w:rsidRPr="008D123B">
        <w:rPr>
          <w:rFonts w:ascii="Arial" w:eastAsia="Times New Roman" w:hAnsi="Arial" w:cs="Arial"/>
          <w:kern w:val="0"/>
          <w:sz w:val="22"/>
          <w:szCs w:val="22"/>
          <w:lang w:eastAsia="en-GB"/>
          <w14:ligatures w14:val="none"/>
        </w:rPr>
        <w:t xml:space="preserve"> (Accessed: March 2026)</w:t>
      </w:r>
    </w:p>
    <w:p w14:paraId="31DA2482" w14:textId="77777777" w:rsidR="00100854" w:rsidRDefault="00100854" w:rsidP="00100854">
      <w:pPr>
        <w:rPr>
          <w:rFonts w:ascii="Arial" w:hAnsi="Arial" w:cs="Arial"/>
          <w:color w:val="FF0000"/>
          <w:sz w:val="22"/>
          <w:szCs w:val="22"/>
        </w:rPr>
      </w:pPr>
    </w:p>
    <w:p w14:paraId="18B75583"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sidRPr="00D67810">
        <w:rPr>
          <w:rFonts w:ascii="Arial" w:eastAsia="Times New Roman" w:hAnsi="Arial" w:cs="Arial"/>
          <w:kern w:val="0"/>
          <w:sz w:val="22"/>
          <w:szCs w:val="22"/>
          <w:lang w:eastAsia="en-GB"/>
          <w14:ligatures w14:val="none"/>
        </w:rPr>
        <w:t>Home Office (2026) From local to national: a new model for policing</w:t>
      </w:r>
      <w:r w:rsidRPr="00D67810">
        <w:rPr>
          <w:rFonts w:ascii="Arial" w:eastAsia="Times New Roman" w:hAnsi="Arial" w:cs="Arial"/>
          <w:i/>
          <w:iCs/>
          <w:kern w:val="0"/>
          <w:sz w:val="22"/>
          <w:szCs w:val="22"/>
          <w:lang w:eastAsia="en-GB"/>
          <w14:ligatures w14:val="none"/>
        </w:rPr>
        <w:t>.</w:t>
      </w:r>
      <w:r w:rsidRPr="008D123B">
        <w:rPr>
          <w:rFonts w:ascii="Arial" w:eastAsia="Times New Roman" w:hAnsi="Arial" w:cs="Arial"/>
          <w:kern w:val="0"/>
          <w:sz w:val="22"/>
          <w:szCs w:val="22"/>
          <w:lang w:eastAsia="en-GB"/>
          <w14:ligatures w14:val="none"/>
        </w:rPr>
        <w:t xml:space="preserve"> </w:t>
      </w:r>
      <w:r w:rsidRPr="00D67810">
        <w:rPr>
          <w:rFonts w:ascii="Arial" w:eastAsia="Times New Roman" w:hAnsi="Arial" w:cs="Arial"/>
          <w:i/>
          <w:iCs/>
          <w:kern w:val="0"/>
          <w:sz w:val="22"/>
          <w:szCs w:val="22"/>
          <w:lang w:eastAsia="en-GB"/>
          <w14:ligatures w14:val="none"/>
        </w:rPr>
        <w:t>Home Office</w:t>
      </w:r>
      <w:r w:rsidRPr="00D67810">
        <w:rPr>
          <w:rFonts w:ascii="Arial" w:eastAsia="Times New Roman" w:hAnsi="Arial" w:cs="Arial"/>
          <w:kern w:val="0"/>
          <w:sz w:val="22"/>
          <w:szCs w:val="22"/>
          <w:lang w:eastAsia="en-GB"/>
          <w14:ligatures w14:val="none"/>
        </w:rPr>
        <w:t xml:space="preserve">. Available at: https://www.gov.uk/official-documents (Accessed: </w:t>
      </w:r>
      <w:r w:rsidRPr="008D123B">
        <w:rPr>
          <w:rFonts w:ascii="Arial" w:eastAsia="Times New Roman" w:hAnsi="Arial" w:cs="Arial"/>
          <w:kern w:val="0"/>
          <w:sz w:val="22"/>
          <w:szCs w:val="22"/>
          <w:lang w:eastAsia="en-GB"/>
          <w14:ligatures w14:val="none"/>
        </w:rPr>
        <w:t>March 2026</w:t>
      </w:r>
      <w:r w:rsidRPr="00D67810">
        <w:rPr>
          <w:rFonts w:ascii="Arial" w:eastAsia="Times New Roman" w:hAnsi="Arial" w:cs="Arial"/>
          <w:kern w:val="0"/>
          <w:sz w:val="22"/>
          <w:szCs w:val="22"/>
          <w:lang w:eastAsia="en-GB"/>
          <w14:ligatures w14:val="none"/>
        </w:rPr>
        <w:t>).</w:t>
      </w:r>
    </w:p>
    <w:p w14:paraId="4C58449A"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240CCC03" w14:textId="771CC5A6" w:rsidR="00100854" w:rsidRDefault="00100854" w:rsidP="00B8299B">
      <w:pPr>
        <w:spacing w:after="0" w:line="240" w:lineRule="auto"/>
        <w:rPr>
          <w:rFonts w:ascii="Arial" w:eastAsia="Times New Roman" w:hAnsi="Arial" w:cs="Arial"/>
          <w:kern w:val="0"/>
          <w:sz w:val="22"/>
          <w:szCs w:val="22"/>
          <w:lang w:eastAsia="en-GB"/>
          <w14:ligatures w14:val="none"/>
        </w:rPr>
      </w:pPr>
      <w:r w:rsidRPr="008F3375">
        <w:rPr>
          <w:rFonts w:ascii="Arial" w:eastAsia="Times New Roman" w:hAnsi="Arial" w:cs="Arial"/>
          <w:kern w:val="0"/>
          <w:sz w:val="22"/>
          <w:szCs w:val="22"/>
          <w:lang w:eastAsia="en-GB"/>
          <w14:ligatures w14:val="none"/>
        </w:rPr>
        <w:lastRenderedPageBreak/>
        <w:t xml:space="preserve">Hopkins, M., Keighley, R. and Sanders, T. (2024) “Organised Crime and the ecosystems of sexual exploitation in the United Kingdom: How supply and demand generate sexual exploitation and protection from prosecution,” </w:t>
      </w:r>
      <w:r w:rsidRPr="008F3375">
        <w:rPr>
          <w:rFonts w:ascii="Arial" w:eastAsia="Times New Roman" w:hAnsi="Arial" w:cs="Arial"/>
          <w:i/>
          <w:iCs/>
          <w:kern w:val="0"/>
          <w:sz w:val="22"/>
          <w:szCs w:val="22"/>
          <w:lang w:eastAsia="en-GB"/>
          <w14:ligatures w14:val="none"/>
        </w:rPr>
        <w:t>Trends in organized crime</w:t>
      </w:r>
      <w:r w:rsidRPr="008F3375">
        <w:rPr>
          <w:rFonts w:ascii="Arial" w:eastAsia="Times New Roman" w:hAnsi="Arial" w:cs="Arial"/>
          <w:kern w:val="0"/>
          <w:sz w:val="22"/>
          <w:szCs w:val="22"/>
          <w:lang w:eastAsia="en-GB"/>
          <w14:ligatures w14:val="none"/>
        </w:rPr>
        <w:t xml:space="preserve">, 27(1), pp. 56–76. Available at: </w:t>
      </w:r>
      <w:hyperlink r:id="rId15" w:history="1">
        <w:r w:rsidR="00B8299B" w:rsidRPr="00404437">
          <w:rPr>
            <w:rStyle w:val="Hyperlink"/>
            <w:rFonts w:ascii="Arial" w:eastAsia="Times New Roman" w:hAnsi="Arial" w:cs="Arial"/>
            <w:kern w:val="0"/>
            <w:sz w:val="22"/>
            <w:szCs w:val="22"/>
            <w:lang w:eastAsia="en-GB"/>
            <w14:ligatures w14:val="none"/>
          </w:rPr>
          <w:t>https://doi.org/10.1007/s12117-023-09517-x</w:t>
        </w:r>
      </w:hyperlink>
      <w:r w:rsidRPr="008F3375">
        <w:rPr>
          <w:rFonts w:ascii="Arial" w:eastAsia="Times New Roman" w:hAnsi="Arial" w:cs="Arial"/>
          <w:kern w:val="0"/>
          <w:sz w:val="22"/>
          <w:szCs w:val="22"/>
          <w:lang w:eastAsia="en-GB"/>
          <w14:ligatures w14:val="none"/>
        </w:rPr>
        <w:t>.</w:t>
      </w:r>
    </w:p>
    <w:p w14:paraId="3095DD5C" w14:textId="77777777" w:rsidR="00B8299B" w:rsidRPr="00B8299B" w:rsidRDefault="00B8299B" w:rsidP="00B8299B">
      <w:pPr>
        <w:spacing w:after="0" w:line="240" w:lineRule="auto"/>
        <w:rPr>
          <w:rFonts w:ascii="Arial" w:eastAsia="Times New Roman" w:hAnsi="Arial" w:cs="Arial"/>
          <w:kern w:val="0"/>
          <w:sz w:val="22"/>
          <w:szCs w:val="22"/>
          <w:lang w:eastAsia="en-GB"/>
          <w14:ligatures w14:val="none"/>
        </w:rPr>
      </w:pPr>
    </w:p>
    <w:p w14:paraId="19FB5959" w14:textId="77777777" w:rsidR="00100854" w:rsidRPr="009B265C" w:rsidRDefault="00100854" w:rsidP="00100854">
      <w:pPr>
        <w:spacing w:after="0" w:line="240" w:lineRule="auto"/>
        <w:rPr>
          <w:rFonts w:ascii="Arial" w:eastAsia="Times New Roman" w:hAnsi="Arial" w:cs="Arial"/>
          <w:kern w:val="0"/>
          <w:sz w:val="22"/>
          <w:szCs w:val="22"/>
          <w:lang w:eastAsia="en-GB"/>
          <w14:ligatures w14:val="none"/>
        </w:rPr>
      </w:pPr>
      <w:r w:rsidRPr="009B265C">
        <w:rPr>
          <w:rFonts w:ascii="Arial" w:eastAsia="Times New Roman" w:hAnsi="Arial" w:cs="Arial"/>
          <w:kern w:val="0"/>
          <w:sz w:val="22"/>
          <w:szCs w:val="22"/>
          <w:lang w:eastAsia="en-GB"/>
          <w14:ligatures w14:val="none"/>
        </w:rPr>
        <w:t xml:space="preserve">Kirby, S. and Nailer, L. (2013) “Reducing the offending of a UK organized crime group using an opportunity-reducing framework—a </w:t>
      </w:r>
      <w:proofErr w:type="gramStart"/>
      <w:r w:rsidRPr="009B265C">
        <w:rPr>
          <w:rFonts w:ascii="Arial" w:eastAsia="Times New Roman" w:hAnsi="Arial" w:cs="Arial"/>
          <w:kern w:val="0"/>
          <w:sz w:val="22"/>
          <w:szCs w:val="22"/>
          <w:lang w:eastAsia="en-GB"/>
          <w14:ligatures w14:val="none"/>
        </w:rPr>
        <w:t>three year</w:t>
      </w:r>
      <w:proofErr w:type="gramEnd"/>
      <w:r w:rsidRPr="009B265C">
        <w:rPr>
          <w:rFonts w:ascii="Arial" w:eastAsia="Times New Roman" w:hAnsi="Arial" w:cs="Arial"/>
          <w:kern w:val="0"/>
          <w:sz w:val="22"/>
          <w:szCs w:val="22"/>
          <w:lang w:eastAsia="en-GB"/>
          <w14:ligatures w14:val="none"/>
        </w:rPr>
        <w:t xml:space="preserve"> case study,” </w:t>
      </w:r>
      <w:r w:rsidRPr="009B265C">
        <w:rPr>
          <w:rFonts w:ascii="Arial" w:eastAsia="Times New Roman" w:hAnsi="Arial" w:cs="Arial"/>
          <w:i/>
          <w:iCs/>
          <w:kern w:val="0"/>
          <w:sz w:val="22"/>
          <w:szCs w:val="22"/>
          <w:lang w:eastAsia="en-GB"/>
          <w14:ligatures w14:val="none"/>
        </w:rPr>
        <w:t>Trends in organized crime</w:t>
      </w:r>
      <w:r w:rsidRPr="009B265C">
        <w:rPr>
          <w:rFonts w:ascii="Arial" w:eastAsia="Times New Roman" w:hAnsi="Arial" w:cs="Arial"/>
          <w:kern w:val="0"/>
          <w:sz w:val="22"/>
          <w:szCs w:val="22"/>
          <w:lang w:eastAsia="en-GB"/>
          <w14:ligatures w14:val="none"/>
        </w:rPr>
        <w:t>, 16(4), pp. 397–412. Available at: https://doi.org/10.1007/s12117-013-9195-3.</w:t>
      </w:r>
    </w:p>
    <w:p w14:paraId="5A9F5F08" w14:textId="77777777" w:rsidR="00100854" w:rsidRPr="008D123B" w:rsidRDefault="00100854" w:rsidP="00100854">
      <w:pPr>
        <w:rPr>
          <w:rFonts w:ascii="Arial" w:hAnsi="Arial" w:cs="Arial"/>
          <w:color w:val="FF0000"/>
          <w:sz w:val="22"/>
          <w:szCs w:val="22"/>
        </w:rPr>
      </w:pPr>
    </w:p>
    <w:p w14:paraId="38390E13" w14:textId="4196B6E3" w:rsidR="00100854" w:rsidRDefault="00100854" w:rsidP="00B8299B">
      <w:pPr>
        <w:spacing w:after="0" w:line="240" w:lineRule="auto"/>
        <w:rPr>
          <w:rFonts w:ascii="Arial" w:eastAsia="Times New Roman" w:hAnsi="Arial" w:cs="Arial"/>
          <w:kern w:val="0"/>
          <w:sz w:val="22"/>
          <w:szCs w:val="22"/>
          <w:lang w:eastAsia="en-GB"/>
          <w14:ligatures w14:val="none"/>
        </w:rPr>
      </w:pPr>
      <w:r w:rsidRPr="002048CA">
        <w:rPr>
          <w:rFonts w:ascii="Arial" w:eastAsia="Times New Roman" w:hAnsi="Arial" w:cs="Arial"/>
          <w:kern w:val="0"/>
          <w:sz w:val="22"/>
          <w:szCs w:val="22"/>
          <w:lang w:eastAsia="en-GB"/>
          <w14:ligatures w14:val="none"/>
        </w:rPr>
        <w:t xml:space="preserve">Kirby, S. and Snow, N. (2016) “Praxis and the disruption of organized crime groups,” </w:t>
      </w:r>
      <w:r w:rsidRPr="002048CA">
        <w:rPr>
          <w:rFonts w:ascii="Arial" w:eastAsia="Times New Roman" w:hAnsi="Arial" w:cs="Arial"/>
          <w:i/>
          <w:iCs/>
          <w:kern w:val="0"/>
          <w:sz w:val="22"/>
          <w:szCs w:val="22"/>
          <w:lang w:eastAsia="en-GB"/>
          <w14:ligatures w14:val="none"/>
        </w:rPr>
        <w:t>Trends in organized crime</w:t>
      </w:r>
      <w:r w:rsidRPr="002048CA">
        <w:rPr>
          <w:rFonts w:ascii="Arial" w:eastAsia="Times New Roman" w:hAnsi="Arial" w:cs="Arial"/>
          <w:kern w:val="0"/>
          <w:sz w:val="22"/>
          <w:szCs w:val="22"/>
          <w:lang w:eastAsia="en-GB"/>
          <w14:ligatures w14:val="none"/>
        </w:rPr>
        <w:t xml:space="preserve">, 19(2), pp. 111–124. Available at: </w:t>
      </w:r>
      <w:hyperlink r:id="rId16" w:history="1">
        <w:r w:rsidR="00B8299B" w:rsidRPr="00404437">
          <w:rPr>
            <w:rStyle w:val="Hyperlink"/>
            <w:rFonts w:ascii="Arial" w:eastAsia="Times New Roman" w:hAnsi="Arial" w:cs="Arial"/>
            <w:kern w:val="0"/>
            <w:sz w:val="22"/>
            <w:szCs w:val="22"/>
            <w:lang w:eastAsia="en-GB"/>
            <w14:ligatures w14:val="none"/>
          </w:rPr>
          <w:t>https://doi.org/10.1007/s12117-016-9269-0</w:t>
        </w:r>
      </w:hyperlink>
      <w:r w:rsidRPr="002048CA">
        <w:rPr>
          <w:rFonts w:ascii="Arial" w:eastAsia="Times New Roman" w:hAnsi="Arial" w:cs="Arial"/>
          <w:kern w:val="0"/>
          <w:sz w:val="22"/>
          <w:szCs w:val="22"/>
          <w:lang w:eastAsia="en-GB"/>
          <w14:ligatures w14:val="none"/>
        </w:rPr>
        <w:t>.</w:t>
      </w:r>
    </w:p>
    <w:p w14:paraId="7921A578" w14:textId="77777777" w:rsidR="00B8299B" w:rsidRPr="00B8299B" w:rsidRDefault="00B8299B" w:rsidP="00B8299B">
      <w:pPr>
        <w:spacing w:after="0" w:line="240" w:lineRule="auto"/>
        <w:rPr>
          <w:rFonts w:ascii="Arial" w:eastAsia="Times New Roman" w:hAnsi="Arial" w:cs="Arial"/>
          <w:kern w:val="0"/>
          <w:sz w:val="22"/>
          <w:szCs w:val="22"/>
          <w:lang w:eastAsia="en-GB"/>
          <w14:ligatures w14:val="none"/>
        </w:rPr>
      </w:pPr>
    </w:p>
    <w:p w14:paraId="7FDDBE3F" w14:textId="77777777" w:rsidR="00100854" w:rsidRDefault="00100854" w:rsidP="00100854">
      <w:pPr>
        <w:spacing w:after="0" w:line="240" w:lineRule="auto"/>
        <w:rPr>
          <w:rFonts w:ascii="Arial" w:eastAsia="Times New Roman" w:hAnsi="Arial" w:cs="Arial"/>
          <w:kern w:val="0"/>
          <w:sz w:val="22"/>
          <w:szCs w:val="22"/>
          <w:lang w:eastAsia="en-GB"/>
          <w14:ligatures w14:val="none"/>
        </w:rPr>
      </w:pPr>
      <w:r w:rsidRPr="003B6E45">
        <w:rPr>
          <w:rFonts w:ascii="Arial" w:eastAsia="Times New Roman" w:hAnsi="Arial" w:cs="Arial"/>
          <w:kern w:val="0"/>
          <w:sz w:val="22"/>
          <w:szCs w:val="22"/>
          <w:lang w:eastAsia="en-GB"/>
          <w14:ligatures w14:val="none"/>
        </w:rPr>
        <w:t xml:space="preserve">Leukfeldt, E.R., Lavorgna, A. and </w:t>
      </w:r>
      <w:proofErr w:type="spellStart"/>
      <w:r w:rsidRPr="003B6E45">
        <w:rPr>
          <w:rFonts w:ascii="Arial" w:eastAsia="Times New Roman" w:hAnsi="Arial" w:cs="Arial"/>
          <w:kern w:val="0"/>
          <w:sz w:val="22"/>
          <w:szCs w:val="22"/>
          <w:lang w:eastAsia="en-GB"/>
          <w14:ligatures w14:val="none"/>
        </w:rPr>
        <w:t>Kleemans</w:t>
      </w:r>
      <w:proofErr w:type="spellEnd"/>
      <w:r w:rsidRPr="003B6E45">
        <w:rPr>
          <w:rFonts w:ascii="Arial" w:eastAsia="Times New Roman" w:hAnsi="Arial" w:cs="Arial"/>
          <w:kern w:val="0"/>
          <w:sz w:val="22"/>
          <w:szCs w:val="22"/>
          <w:lang w:eastAsia="en-GB"/>
          <w14:ligatures w14:val="none"/>
        </w:rPr>
        <w:t xml:space="preserve">, E.R. (2017) “Organised Cybercrime or Cybercrime that is Organised? An Assessment of the Conceptualisation of Financial Cybercrime as Organised Crime,” </w:t>
      </w:r>
      <w:r w:rsidRPr="003B6E45">
        <w:rPr>
          <w:rFonts w:ascii="Arial" w:eastAsia="Times New Roman" w:hAnsi="Arial" w:cs="Arial"/>
          <w:i/>
          <w:iCs/>
          <w:kern w:val="0"/>
          <w:sz w:val="22"/>
          <w:szCs w:val="22"/>
          <w:lang w:eastAsia="en-GB"/>
          <w14:ligatures w14:val="none"/>
        </w:rPr>
        <w:t>European journal on criminal policy and research</w:t>
      </w:r>
      <w:r w:rsidRPr="003B6E45">
        <w:rPr>
          <w:rFonts w:ascii="Arial" w:eastAsia="Times New Roman" w:hAnsi="Arial" w:cs="Arial"/>
          <w:kern w:val="0"/>
          <w:sz w:val="22"/>
          <w:szCs w:val="22"/>
          <w:lang w:eastAsia="en-GB"/>
          <w14:ligatures w14:val="none"/>
        </w:rPr>
        <w:t xml:space="preserve">, 23(3), pp. 287–300. Available at: </w:t>
      </w:r>
      <w:hyperlink r:id="rId17" w:history="1">
        <w:r w:rsidRPr="003B6E45">
          <w:rPr>
            <w:rStyle w:val="Hyperlink"/>
            <w:rFonts w:ascii="Arial" w:eastAsia="Times New Roman" w:hAnsi="Arial" w:cs="Arial"/>
            <w:kern w:val="0"/>
            <w:sz w:val="22"/>
            <w:szCs w:val="22"/>
            <w:lang w:eastAsia="en-GB"/>
            <w14:ligatures w14:val="none"/>
          </w:rPr>
          <w:t>https://doi.org/10.1007/s10610-016-9332-z</w:t>
        </w:r>
      </w:hyperlink>
      <w:r w:rsidRPr="003B6E45">
        <w:rPr>
          <w:rFonts w:ascii="Arial" w:eastAsia="Times New Roman" w:hAnsi="Arial" w:cs="Arial"/>
          <w:kern w:val="0"/>
          <w:sz w:val="22"/>
          <w:szCs w:val="22"/>
          <w:lang w:eastAsia="en-GB"/>
          <w14:ligatures w14:val="none"/>
        </w:rPr>
        <w:t>.</w:t>
      </w:r>
    </w:p>
    <w:p w14:paraId="78D884CC" w14:textId="77777777" w:rsidR="00100854" w:rsidRPr="003B6E45" w:rsidRDefault="00100854" w:rsidP="00100854">
      <w:pPr>
        <w:spacing w:after="0" w:line="240" w:lineRule="auto"/>
        <w:rPr>
          <w:rFonts w:ascii="Arial" w:eastAsia="Times New Roman" w:hAnsi="Arial" w:cs="Arial"/>
          <w:kern w:val="0"/>
          <w:sz w:val="22"/>
          <w:szCs w:val="22"/>
          <w:lang w:eastAsia="en-GB"/>
          <w14:ligatures w14:val="none"/>
        </w:rPr>
      </w:pPr>
    </w:p>
    <w:p w14:paraId="256B8783"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
    <w:p w14:paraId="293A7ABE" w14:textId="77777777" w:rsidR="00100854" w:rsidRPr="006A7912" w:rsidRDefault="00100854" w:rsidP="00100854">
      <w:pPr>
        <w:spacing w:after="0" w:line="240" w:lineRule="auto"/>
        <w:rPr>
          <w:rFonts w:ascii="Arial" w:eastAsia="Times New Roman" w:hAnsi="Arial" w:cs="Arial"/>
          <w:kern w:val="0"/>
          <w:sz w:val="22"/>
          <w:szCs w:val="22"/>
          <w:lang w:eastAsia="en-GB"/>
          <w14:ligatures w14:val="none"/>
        </w:rPr>
      </w:pPr>
      <w:r w:rsidRPr="006A7912">
        <w:rPr>
          <w:rFonts w:ascii="Arial" w:eastAsia="Times New Roman" w:hAnsi="Arial" w:cs="Arial"/>
          <w:kern w:val="0"/>
          <w:sz w:val="22"/>
          <w:szCs w:val="22"/>
          <w:lang w:eastAsia="en-GB"/>
          <w14:ligatures w14:val="none"/>
        </w:rPr>
        <w:t xml:space="preserve">Murray, K. (2013) “A square go: tackling organised crime where it doesn’t want to be tackled,” </w:t>
      </w:r>
      <w:r w:rsidRPr="006A7912">
        <w:rPr>
          <w:rFonts w:ascii="Arial" w:eastAsia="Times New Roman" w:hAnsi="Arial" w:cs="Arial"/>
          <w:i/>
          <w:iCs/>
          <w:kern w:val="0"/>
          <w:sz w:val="22"/>
          <w:szCs w:val="22"/>
          <w:lang w:eastAsia="en-GB"/>
          <w14:ligatures w14:val="none"/>
        </w:rPr>
        <w:t>Journal of money laundering control</w:t>
      </w:r>
      <w:r w:rsidRPr="006A7912">
        <w:rPr>
          <w:rFonts w:ascii="Arial" w:eastAsia="Times New Roman" w:hAnsi="Arial" w:cs="Arial"/>
          <w:kern w:val="0"/>
          <w:sz w:val="22"/>
          <w:szCs w:val="22"/>
          <w:lang w:eastAsia="en-GB"/>
          <w14:ligatures w14:val="none"/>
        </w:rPr>
        <w:t>, 16(2), pp. 99–108. Available at: https://doi.org/10.1108/13685201311318458.</w:t>
      </w:r>
    </w:p>
    <w:p w14:paraId="2930C84D"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4F80EC1E" w14:textId="77777777" w:rsidR="00100854" w:rsidRDefault="00100854" w:rsidP="00100854">
      <w:pPr>
        <w:spacing w:after="0" w:line="240" w:lineRule="auto"/>
        <w:rPr>
          <w:rFonts w:ascii="Arial" w:eastAsia="Times New Roman" w:hAnsi="Arial" w:cs="Arial"/>
          <w:kern w:val="0"/>
          <w:sz w:val="22"/>
          <w:szCs w:val="22"/>
          <w:lang w:eastAsia="en-GB"/>
          <w14:ligatures w14:val="none"/>
        </w:rPr>
      </w:pPr>
      <w:r w:rsidRPr="00CB2465">
        <w:rPr>
          <w:rFonts w:ascii="Arial" w:eastAsia="Times New Roman" w:hAnsi="Arial" w:cs="Arial"/>
          <w:kern w:val="0"/>
          <w:sz w:val="22"/>
          <w:szCs w:val="22"/>
          <w:lang w:eastAsia="en-GB"/>
          <w14:ligatures w14:val="none"/>
        </w:rPr>
        <w:t xml:space="preserve">Murray, K.R. (2015) “Walking the walk: practical measures to undermine the business of organised crime,” </w:t>
      </w:r>
      <w:r w:rsidRPr="00CB2465">
        <w:rPr>
          <w:rFonts w:ascii="Arial" w:eastAsia="Times New Roman" w:hAnsi="Arial" w:cs="Arial"/>
          <w:i/>
          <w:iCs/>
          <w:kern w:val="0"/>
          <w:sz w:val="22"/>
          <w:szCs w:val="22"/>
          <w:lang w:eastAsia="en-GB"/>
          <w14:ligatures w14:val="none"/>
        </w:rPr>
        <w:t>Journal of financial crime</w:t>
      </w:r>
      <w:r w:rsidRPr="00CB2465">
        <w:rPr>
          <w:rFonts w:ascii="Arial" w:eastAsia="Times New Roman" w:hAnsi="Arial" w:cs="Arial"/>
          <w:kern w:val="0"/>
          <w:sz w:val="22"/>
          <w:szCs w:val="22"/>
          <w:lang w:eastAsia="en-GB"/>
          <w14:ligatures w14:val="none"/>
        </w:rPr>
        <w:t xml:space="preserve">, 22(2), pp. 199–207. Available at: </w:t>
      </w:r>
      <w:hyperlink r:id="rId18" w:history="1">
        <w:r w:rsidRPr="00CB2465">
          <w:rPr>
            <w:rStyle w:val="Hyperlink"/>
            <w:rFonts w:ascii="Arial" w:eastAsia="Times New Roman" w:hAnsi="Arial" w:cs="Arial"/>
            <w:kern w:val="0"/>
            <w:sz w:val="22"/>
            <w:szCs w:val="22"/>
            <w:lang w:eastAsia="en-GB"/>
            <w14:ligatures w14:val="none"/>
          </w:rPr>
          <w:t>https://doi.org/10.1108/JFC-05-2014-0024</w:t>
        </w:r>
      </w:hyperlink>
      <w:r w:rsidRPr="00CB2465">
        <w:rPr>
          <w:rFonts w:ascii="Arial" w:eastAsia="Times New Roman" w:hAnsi="Arial" w:cs="Arial"/>
          <w:kern w:val="0"/>
          <w:sz w:val="22"/>
          <w:szCs w:val="22"/>
          <w:lang w:eastAsia="en-GB"/>
          <w14:ligatures w14:val="none"/>
        </w:rPr>
        <w:t>.</w:t>
      </w:r>
    </w:p>
    <w:p w14:paraId="1FEF12F1"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31B66B70"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sidRPr="00E72A11">
        <w:rPr>
          <w:rFonts w:ascii="Arial" w:eastAsia="Times New Roman" w:hAnsi="Arial" w:cs="Arial"/>
          <w:kern w:val="0"/>
          <w:sz w:val="22"/>
          <w:szCs w:val="22"/>
          <w:lang w:eastAsia="en-GB"/>
          <w14:ligatures w14:val="none"/>
        </w:rPr>
        <w:t xml:space="preserve">National Crime Agency (2025) National Strategic Assessment 2025 of Serious and Organised Crime. </w:t>
      </w:r>
      <w:r w:rsidRPr="00E72A11">
        <w:rPr>
          <w:rFonts w:ascii="Arial" w:eastAsia="Times New Roman" w:hAnsi="Arial" w:cs="Arial"/>
          <w:i/>
          <w:iCs/>
          <w:kern w:val="0"/>
          <w:sz w:val="22"/>
          <w:szCs w:val="22"/>
          <w:lang w:eastAsia="en-GB"/>
          <w14:ligatures w14:val="none"/>
        </w:rPr>
        <w:t>NCA</w:t>
      </w:r>
      <w:r w:rsidRPr="00E72A11">
        <w:rPr>
          <w:rFonts w:ascii="Arial" w:eastAsia="Times New Roman" w:hAnsi="Arial" w:cs="Arial"/>
          <w:kern w:val="0"/>
          <w:sz w:val="22"/>
          <w:szCs w:val="22"/>
          <w:lang w:eastAsia="en-GB"/>
          <w14:ligatures w14:val="none"/>
        </w:rPr>
        <w:t>.</w:t>
      </w:r>
      <w:r w:rsidRPr="008D123B">
        <w:rPr>
          <w:rFonts w:ascii="Arial" w:eastAsia="Times New Roman" w:hAnsi="Arial" w:cs="Arial"/>
          <w:kern w:val="0"/>
          <w:sz w:val="22"/>
          <w:szCs w:val="22"/>
          <w:lang w:eastAsia="en-GB"/>
          <w14:ligatures w14:val="none"/>
        </w:rPr>
        <w:t xml:space="preserve"> Available at: </w:t>
      </w:r>
      <w:hyperlink r:id="rId19" w:history="1">
        <w:r w:rsidRPr="008D123B">
          <w:rPr>
            <w:rStyle w:val="Hyperlink"/>
            <w:rFonts w:ascii="Arial" w:eastAsia="Times New Roman" w:hAnsi="Arial" w:cs="Arial"/>
            <w:kern w:val="0"/>
            <w:sz w:val="22"/>
            <w:szCs w:val="22"/>
            <w:lang w:eastAsia="en-GB"/>
            <w14:ligatures w14:val="none"/>
          </w:rPr>
          <w:t>https://www.nationalcrimeagency.gov.uk/nsa-overview-of-soc-2025</w:t>
        </w:r>
      </w:hyperlink>
      <w:r w:rsidRPr="008D123B">
        <w:rPr>
          <w:rFonts w:ascii="Arial" w:eastAsia="Times New Roman" w:hAnsi="Arial" w:cs="Arial"/>
          <w:kern w:val="0"/>
          <w:sz w:val="22"/>
          <w:szCs w:val="22"/>
          <w:lang w:eastAsia="en-GB"/>
          <w14:ligatures w14:val="none"/>
        </w:rPr>
        <w:t xml:space="preserve"> (Accessed: March 2026)</w:t>
      </w:r>
    </w:p>
    <w:p w14:paraId="3E4470E5"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p>
    <w:p w14:paraId="62ABC66C"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National Crime Agency (2026) NCA Launches the National Strategic Assessment 2026. </w:t>
      </w:r>
      <w:r>
        <w:rPr>
          <w:rFonts w:ascii="Arial" w:eastAsia="Times New Roman" w:hAnsi="Arial" w:cs="Arial"/>
          <w:i/>
          <w:iCs/>
          <w:kern w:val="0"/>
          <w:sz w:val="22"/>
          <w:szCs w:val="22"/>
          <w:lang w:eastAsia="en-GB"/>
          <w14:ligatures w14:val="none"/>
        </w:rPr>
        <w:t xml:space="preserve">NCA. </w:t>
      </w:r>
      <w:r>
        <w:rPr>
          <w:rFonts w:ascii="Arial" w:eastAsia="Times New Roman" w:hAnsi="Arial" w:cs="Arial"/>
          <w:kern w:val="0"/>
          <w:sz w:val="22"/>
          <w:szCs w:val="22"/>
          <w:lang w:eastAsia="en-GB"/>
          <w14:ligatures w14:val="none"/>
        </w:rPr>
        <w:t xml:space="preserve">Available at: </w:t>
      </w:r>
      <w:r w:rsidRPr="00DD7042">
        <w:rPr>
          <w:rFonts w:ascii="Arial" w:eastAsia="Times New Roman" w:hAnsi="Arial" w:cs="Arial"/>
          <w:kern w:val="0"/>
          <w:sz w:val="22"/>
          <w:szCs w:val="22"/>
          <w:lang w:eastAsia="en-GB"/>
          <w14:ligatures w14:val="none"/>
        </w:rPr>
        <w:t xml:space="preserve">https://www.nationalcrimeagency.gov.uk/news/nca-launches-the-national-strategic-assessment-2026 </w:t>
      </w:r>
      <w:r>
        <w:rPr>
          <w:rFonts w:ascii="Arial" w:eastAsia="Times New Roman" w:hAnsi="Arial" w:cs="Arial"/>
          <w:kern w:val="0"/>
          <w:sz w:val="22"/>
          <w:szCs w:val="22"/>
          <w:lang w:eastAsia="en-GB"/>
          <w14:ligatures w14:val="none"/>
        </w:rPr>
        <w:t>(Accessed: March 2026)</w:t>
      </w:r>
    </w:p>
    <w:p w14:paraId="72E81724" w14:textId="77777777" w:rsidR="00100854" w:rsidRDefault="00100854" w:rsidP="00100854">
      <w:pPr>
        <w:spacing w:after="0" w:line="300" w:lineRule="atLeast"/>
        <w:rPr>
          <w:rFonts w:ascii="Arial" w:eastAsia="Times New Roman" w:hAnsi="Arial" w:cs="Arial"/>
          <w:kern w:val="0"/>
          <w:sz w:val="22"/>
          <w:szCs w:val="22"/>
          <w:lang w:eastAsia="en-GB"/>
          <w14:ligatures w14:val="none"/>
        </w:rPr>
      </w:pPr>
    </w:p>
    <w:p w14:paraId="4CCCAE39" w14:textId="77777777" w:rsidR="00100854" w:rsidRPr="00E72A11" w:rsidRDefault="00100854" w:rsidP="00100854">
      <w:pPr>
        <w:spacing w:after="0" w:line="300" w:lineRule="atLeast"/>
        <w:rPr>
          <w:rFonts w:ascii="Arial" w:eastAsia="Times New Roman" w:hAnsi="Arial" w:cs="Arial"/>
          <w:kern w:val="0"/>
          <w:sz w:val="22"/>
          <w:szCs w:val="22"/>
          <w:lang w:eastAsia="en-GB"/>
          <w14:ligatures w14:val="none"/>
        </w:rPr>
      </w:pPr>
      <w:r w:rsidRPr="00E24839">
        <w:rPr>
          <w:rFonts w:ascii="Arial" w:eastAsia="Times New Roman" w:hAnsi="Arial" w:cs="Arial"/>
          <w:kern w:val="0"/>
          <w:sz w:val="22"/>
          <w:szCs w:val="22"/>
          <w:lang w:eastAsia="en-GB"/>
          <w14:ligatures w14:val="none"/>
        </w:rPr>
        <w:t>Serious Organise Crime Agency (SOCA) (2011) “Annual Report and Accounts 2010/11,” Home Office. Available at: https://assets.publishing.service.gov.uk/media/5a7c3312e5274a1f5cc76744/1241.pdf (Accessed: March 2026)</w:t>
      </w:r>
      <w:r>
        <w:rPr>
          <w:rFonts w:ascii="Arial" w:eastAsia="Times New Roman" w:hAnsi="Arial" w:cs="Arial"/>
          <w:kern w:val="0"/>
          <w:sz w:val="22"/>
          <w:szCs w:val="22"/>
          <w:lang w:eastAsia="en-GB"/>
          <w14:ligatures w14:val="none"/>
        </w:rPr>
        <w:t>.</w:t>
      </w:r>
    </w:p>
    <w:p w14:paraId="63449B25"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5A00BD7F" w14:textId="77777777" w:rsidR="00100854" w:rsidRPr="00E04135" w:rsidRDefault="00100854" w:rsidP="00100854">
      <w:pPr>
        <w:spacing w:after="0" w:line="240" w:lineRule="auto"/>
        <w:rPr>
          <w:rFonts w:ascii="Arial" w:eastAsia="Times New Roman" w:hAnsi="Arial" w:cs="Arial"/>
          <w:kern w:val="0"/>
          <w:sz w:val="22"/>
          <w:szCs w:val="22"/>
          <w:lang w:eastAsia="en-GB"/>
          <w14:ligatures w14:val="none"/>
        </w:rPr>
      </w:pPr>
      <w:r w:rsidRPr="00E04135">
        <w:rPr>
          <w:rFonts w:ascii="Arial" w:hAnsi="Arial" w:cs="Arial"/>
          <w:color w:val="3A3A3A"/>
          <w:sz w:val="22"/>
          <w:szCs w:val="22"/>
          <w:shd w:val="clear" w:color="auto" w:fill="FFFFFF"/>
        </w:rPr>
        <w:t>Skidmore, M. Crocker, R. Webb, S. Gill, M. Garner, S and Graham, J</w:t>
      </w:r>
      <w:r w:rsidRPr="00E04135">
        <w:rPr>
          <w:rFonts w:ascii="Arial" w:eastAsia="Times New Roman" w:hAnsi="Arial" w:cs="Arial"/>
          <w:kern w:val="0"/>
          <w:sz w:val="22"/>
          <w:szCs w:val="22"/>
          <w:lang w:eastAsia="en-GB"/>
          <w14:ligatures w14:val="none"/>
        </w:rPr>
        <w:t xml:space="preserve"> </w:t>
      </w:r>
      <w:r w:rsidRPr="00290155">
        <w:rPr>
          <w:rFonts w:ascii="Arial" w:eastAsia="Times New Roman" w:hAnsi="Arial" w:cs="Arial"/>
          <w:kern w:val="0"/>
          <w:sz w:val="22"/>
          <w:szCs w:val="22"/>
          <w:lang w:eastAsia="en-GB"/>
          <w14:ligatures w14:val="none"/>
        </w:rPr>
        <w:t xml:space="preserve">(2020) “Peeling back the layers of organised crime in local communities: integrating data and analyses to strengthen the narrative,” </w:t>
      </w:r>
      <w:r w:rsidRPr="00290155">
        <w:rPr>
          <w:rFonts w:ascii="Arial" w:eastAsia="Times New Roman" w:hAnsi="Arial" w:cs="Arial"/>
          <w:i/>
          <w:iCs/>
          <w:kern w:val="0"/>
          <w:sz w:val="22"/>
          <w:szCs w:val="22"/>
          <w:lang w:eastAsia="en-GB"/>
          <w14:ligatures w14:val="none"/>
        </w:rPr>
        <w:t>Crime prevention and community safety</w:t>
      </w:r>
      <w:r w:rsidRPr="00290155">
        <w:rPr>
          <w:rFonts w:ascii="Arial" w:eastAsia="Times New Roman" w:hAnsi="Arial" w:cs="Arial"/>
          <w:kern w:val="0"/>
          <w:sz w:val="22"/>
          <w:szCs w:val="22"/>
          <w:lang w:eastAsia="en-GB"/>
          <w14:ligatures w14:val="none"/>
        </w:rPr>
        <w:t xml:space="preserve">, 22(3), pp. 191–209. Available at: </w:t>
      </w:r>
      <w:hyperlink r:id="rId20" w:history="1">
        <w:r w:rsidRPr="00290155">
          <w:rPr>
            <w:rStyle w:val="Hyperlink"/>
            <w:rFonts w:ascii="Arial" w:eastAsia="Times New Roman" w:hAnsi="Arial" w:cs="Arial"/>
            <w:kern w:val="0"/>
            <w:sz w:val="22"/>
            <w:szCs w:val="22"/>
            <w:lang w:eastAsia="en-GB"/>
            <w14:ligatures w14:val="none"/>
          </w:rPr>
          <w:t>https://doi.org/10.1057/s41300-020-00092-9</w:t>
        </w:r>
      </w:hyperlink>
      <w:r w:rsidRPr="00290155">
        <w:rPr>
          <w:rFonts w:ascii="Arial" w:eastAsia="Times New Roman" w:hAnsi="Arial" w:cs="Arial"/>
          <w:kern w:val="0"/>
          <w:sz w:val="22"/>
          <w:szCs w:val="22"/>
          <w:lang w:eastAsia="en-GB"/>
          <w14:ligatures w14:val="none"/>
        </w:rPr>
        <w:t>.</w:t>
      </w:r>
    </w:p>
    <w:p w14:paraId="6B0821F4" w14:textId="77777777" w:rsidR="00100854" w:rsidRPr="00290155" w:rsidRDefault="00100854" w:rsidP="00100854">
      <w:pPr>
        <w:spacing w:after="0" w:line="240" w:lineRule="auto"/>
        <w:rPr>
          <w:rFonts w:ascii="Arial" w:eastAsia="Times New Roman" w:hAnsi="Arial" w:cs="Arial"/>
          <w:kern w:val="0"/>
          <w:sz w:val="22"/>
          <w:szCs w:val="22"/>
          <w:lang w:eastAsia="en-GB"/>
          <w14:ligatures w14:val="none"/>
        </w:rPr>
      </w:pPr>
    </w:p>
    <w:p w14:paraId="320B89F3" w14:textId="77777777" w:rsidR="00100854" w:rsidRDefault="00100854" w:rsidP="00100854">
      <w:pPr>
        <w:spacing w:after="0" w:line="240" w:lineRule="auto"/>
        <w:rPr>
          <w:rFonts w:ascii="Arial" w:eastAsia="Times New Roman" w:hAnsi="Arial" w:cs="Arial"/>
          <w:kern w:val="0"/>
          <w:sz w:val="22"/>
          <w:szCs w:val="22"/>
          <w:lang w:eastAsia="en-GB"/>
          <w14:ligatures w14:val="none"/>
        </w:rPr>
      </w:pPr>
      <w:proofErr w:type="spellStart"/>
      <w:r w:rsidRPr="00E24839">
        <w:rPr>
          <w:rFonts w:ascii="Arial" w:eastAsia="Times New Roman" w:hAnsi="Arial" w:cs="Arial"/>
          <w:kern w:val="0"/>
          <w:sz w:val="22"/>
          <w:szCs w:val="22"/>
          <w:lang w:eastAsia="en-GB"/>
          <w14:ligatures w14:val="none"/>
        </w:rPr>
        <w:t>Sorell</w:t>
      </w:r>
      <w:proofErr w:type="spellEnd"/>
      <w:r w:rsidRPr="00E24839">
        <w:rPr>
          <w:rFonts w:ascii="Arial" w:eastAsia="Times New Roman" w:hAnsi="Arial" w:cs="Arial"/>
          <w:kern w:val="0"/>
          <w:sz w:val="22"/>
          <w:szCs w:val="22"/>
          <w:lang w:eastAsia="en-GB"/>
          <w14:ligatures w14:val="none"/>
        </w:rPr>
        <w:t>, T. (2018) “Organized Crime and Preventive Justice,” Ethical theory and moral practice, 21(1), pp. 137–153. Available at: https://doi.org/10.1007/s10677-017-9861-7.</w:t>
      </w:r>
    </w:p>
    <w:p w14:paraId="7FB7EFF0" w14:textId="77777777" w:rsidR="00100854" w:rsidRDefault="00100854" w:rsidP="00100854">
      <w:pPr>
        <w:spacing w:after="0" w:line="240" w:lineRule="auto"/>
        <w:rPr>
          <w:rFonts w:ascii="Arial" w:eastAsia="Times New Roman" w:hAnsi="Arial" w:cs="Arial"/>
          <w:kern w:val="0"/>
          <w:sz w:val="22"/>
          <w:szCs w:val="22"/>
          <w:lang w:eastAsia="en-GB"/>
          <w14:ligatures w14:val="none"/>
        </w:rPr>
      </w:pPr>
    </w:p>
    <w:p w14:paraId="337B54CD" w14:textId="37D8570C" w:rsidR="00100854" w:rsidRPr="008D123B" w:rsidRDefault="00100854" w:rsidP="00100854">
      <w:pPr>
        <w:spacing w:after="0" w:line="240" w:lineRule="auto"/>
        <w:rPr>
          <w:rFonts w:ascii="Arial" w:eastAsia="Times New Roman" w:hAnsi="Arial" w:cs="Arial"/>
          <w:kern w:val="0"/>
          <w:sz w:val="22"/>
          <w:szCs w:val="22"/>
          <w:lang w:eastAsia="en-GB"/>
          <w14:ligatures w14:val="none"/>
        </w:rPr>
      </w:pPr>
      <w:r w:rsidRPr="00DA5766">
        <w:rPr>
          <w:rFonts w:ascii="Arial" w:eastAsia="Times New Roman" w:hAnsi="Arial" w:cs="Arial"/>
          <w:kern w:val="0"/>
          <w:sz w:val="22"/>
          <w:szCs w:val="22"/>
          <w:lang w:eastAsia="en-GB"/>
          <w14:ligatures w14:val="none"/>
        </w:rPr>
        <w:t xml:space="preserve">Sproat, P.A. (2012) “Phoney war or appeasement? The policing of organised crime in the UK,” </w:t>
      </w:r>
      <w:r w:rsidRPr="00DA5766">
        <w:rPr>
          <w:rFonts w:ascii="Arial" w:eastAsia="Times New Roman" w:hAnsi="Arial" w:cs="Arial"/>
          <w:i/>
          <w:iCs/>
          <w:kern w:val="0"/>
          <w:sz w:val="22"/>
          <w:szCs w:val="22"/>
          <w:lang w:eastAsia="en-GB"/>
          <w14:ligatures w14:val="none"/>
        </w:rPr>
        <w:t>Trends in organized crime</w:t>
      </w:r>
      <w:r w:rsidRPr="00DA5766">
        <w:rPr>
          <w:rFonts w:ascii="Arial" w:eastAsia="Times New Roman" w:hAnsi="Arial" w:cs="Arial"/>
          <w:kern w:val="0"/>
          <w:sz w:val="22"/>
          <w:szCs w:val="22"/>
          <w:lang w:eastAsia="en-GB"/>
          <w14:ligatures w14:val="none"/>
        </w:rPr>
        <w:t>, 15(4), pp. 313–330. Available at: https://doi.org/10.1007/s12117-012-9154-4.</w:t>
      </w:r>
    </w:p>
    <w:p w14:paraId="1D70F9FE"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r w:rsidRPr="0066526E">
        <w:rPr>
          <w:rFonts w:ascii="Arial" w:eastAsia="Times New Roman" w:hAnsi="Arial" w:cs="Arial"/>
          <w:kern w:val="0"/>
          <w:sz w:val="22"/>
          <w:szCs w:val="22"/>
          <w:lang w:eastAsia="en-GB"/>
          <w14:ligatures w14:val="none"/>
        </w:rPr>
        <w:lastRenderedPageBreak/>
        <w:t xml:space="preserve">Williams, G.W.E. (2012) “Policy implications of different theoretical approaches to organised crime,” </w:t>
      </w:r>
      <w:r w:rsidRPr="0066526E">
        <w:rPr>
          <w:rFonts w:ascii="Arial" w:eastAsia="Times New Roman" w:hAnsi="Arial" w:cs="Arial"/>
          <w:i/>
          <w:iCs/>
          <w:kern w:val="0"/>
          <w:sz w:val="22"/>
          <w:szCs w:val="22"/>
          <w:lang w:eastAsia="en-GB"/>
          <w14:ligatures w14:val="none"/>
        </w:rPr>
        <w:t>Journal of financial crime</w:t>
      </w:r>
      <w:r w:rsidRPr="0066526E">
        <w:rPr>
          <w:rFonts w:ascii="Arial" w:eastAsia="Times New Roman" w:hAnsi="Arial" w:cs="Arial"/>
          <w:kern w:val="0"/>
          <w:sz w:val="22"/>
          <w:szCs w:val="22"/>
          <w:lang w:eastAsia="en-GB"/>
          <w14:ligatures w14:val="none"/>
        </w:rPr>
        <w:t xml:space="preserve">, 19(4), pp. 400–409. Available at: </w:t>
      </w:r>
      <w:hyperlink r:id="rId21" w:history="1">
        <w:r w:rsidRPr="0066526E">
          <w:rPr>
            <w:rStyle w:val="Hyperlink"/>
            <w:rFonts w:ascii="Arial" w:eastAsia="Times New Roman" w:hAnsi="Arial" w:cs="Arial"/>
            <w:kern w:val="0"/>
            <w:sz w:val="22"/>
            <w:szCs w:val="22"/>
            <w:lang w:eastAsia="en-GB"/>
            <w14:ligatures w14:val="none"/>
          </w:rPr>
          <w:t>https://doi.org/10.1108/13590791211266386</w:t>
        </w:r>
      </w:hyperlink>
      <w:r w:rsidRPr="0066526E">
        <w:rPr>
          <w:rFonts w:ascii="Arial" w:eastAsia="Times New Roman" w:hAnsi="Arial" w:cs="Arial"/>
          <w:kern w:val="0"/>
          <w:sz w:val="22"/>
          <w:szCs w:val="22"/>
          <w:lang w:eastAsia="en-GB"/>
          <w14:ligatures w14:val="none"/>
        </w:rPr>
        <w:t>.</w:t>
      </w:r>
    </w:p>
    <w:p w14:paraId="12333D9F"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
    <w:p w14:paraId="52CFC704" w14:textId="77777777" w:rsidR="00100854" w:rsidRPr="008D123B" w:rsidRDefault="00100854" w:rsidP="00100854">
      <w:pPr>
        <w:spacing w:after="0" w:line="240" w:lineRule="auto"/>
        <w:rPr>
          <w:rFonts w:ascii="Arial" w:eastAsia="Times New Roman" w:hAnsi="Arial" w:cs="Arial"/>
          <w:kern w:val="0"/>
          <w:sz w:val="22"/>
          <w:szCs w:val="22"/>
          <w:lang w:eastAsia="en-GB"/>
          <w14:ligatures w14:val="none"/>
        </w:rPr>
      </w:pPr>
      <w:proofErr w:type="spellStart"/>
      <w:r w:rsidRPr="00D4665E">
        <w:rPr>
          <w:rFonts w:ascii="Arial" w:eastAsia="Times New Roman" w:hAnsi="Arial" w:cs="Arial"/>
          <w:kern w:val="0"/>
          <w:sz w:val="22"/>
          <w:szCs w:val="22"/>
          <w:lang w:eastAsia="en-GB"/>
          <w14:ligatures w14:val="none"/>
        </w:rPr>
        <w:t>Zoutendijk</w:t>
      </w:r>
      <w:proofErr w:type="spellEnd"/>
      <w:r w:rsidRPr="00D4665E">
        <w:rPr>
          <w:rFonts w:ascii="Arial" w:eastAsia="Times New Roman" w:hAnsi="Arial" w:cs="Arial"/>
          <w:kern w:val="0"/>
          <w:sz w:val="22"/>
          <w:szCs w:val="22"/>
          <w:lang w:eastAsia="en-GB"/>
          <w14:ligatures w14:val="none"/>
        </w:rPr>
        <w:t xml:space="preserve">, A.J. (2010) “Organised crime threat assessments: a critical review,” </w:t>
      </w:r>
      <w:r w:rsidRPr="00D4665E">
        <w:rPr>
          <w:rFonts w:ascii="Arial" w:eastAsia="Times New Roman" w:hAnsi="Arial" w:cs="Arial"/>
          <w:i/>
          <w:iCs/>
          <w:kern w:val="0"/>
          <w:sz w:val="22"/>
          <w:szCs w:val="22"/>
          <w:lang w:eastAsia="en-GB"/>
          <w14:ligatures w14:val="none"/>
        </w:rPr>
        <w:t>Crime, law, and social change</w:t>
      </w:r>
      <w:r w:rsidRPr="00D4665E">
        <w:rPr>
          <w:rFonts w:ascii="Arial" w:eastAsia="Times New Roman" w:hAnsi="Arial" w:cs="Arial"/>
          <w:kern w:val="0"/>
          <w:sz w:val="22"/>
          <w:szCs w:val="22"/>
          <w:lang w:eastAsia="en-GB"/>
          <w14:ligatures w14:val="none"/>
        </w:rPr>
        <w:t xml:space="preserve">, 54(1), pp. 63–86. Available at: </w:t>
      </w:r>
      <w:hyperlink r:id="rId22" w:history="1">
        <w:r w:rsidRPr="00D4665E">
          <w:rPr>
            <w:rStyle w:val="Hyperlink"/>
            <w:rFonts w:ascii="Arial" w:eastAsia="Times New Roman" w:hAnsi="Arial" w:cs="Arial"/>
            <w:kern w:val="0"/>
            <w:sz w:val="22"/>
            <w:szCs w:val="22"/>
            <w:lang w:eastAsia="en-GB"/>
            <w14:ligatures w14:val="none"/>
          </w:rPr>
          <w:t>https://doi.org/10.1007/s10611-010-9244-7</w:t>
        </w:r>
      </w:hyperlink>
      <w:r w:rsidRPr="00D4665E">
        <w:rPr>
          <w:rFonts w:ascii="Arial" w:eastAsia="Times New Roman" w:hAnsi="Arial" w:cs="Arial"/>
          <w:kern w:val="0"/>
          <w:sz w:val="22"/>
          <w:szCs w:val="22"/>
          <w:lang w:eastAsia="en-GB"/>
          <w14:ligatures w14:val="none"/>
        </w:rPr>
        <w:t>.</w:t>
      </w:r>
    </w:p>
    <w:p w14:paraId="663821A6" w14:textId="77777777" w:rsidR="00100854" w:rsidRDefault="00100854" w:rsidP="00DB11B3">
      <w:pPr>
        <w:rPr>
          <w:color w:val="FF0000"/>
        </w:rPr>
      </w:pPr>
    </w:p>
    <w:sectPr w:rsidR="00100854" w:rsidSect="00D11D3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CD0CB8" w14:textId="77777777" w:rsidR="001A5BA7" w:rsidRDefault="001A5BA7" w:rsidP="00D11D34">
      <w:pPr>
        <w:spacing w:after="0" w:line="240" w:lineRule="auto"/>
      </w:pPr>
      <w:r>
        <w:separator/>
      </w:r>
    </w:p>
  </w:endnote>
  <w:endnote w:type="continuationSeparator" w:id="0">
    <w:p w14:paraId="30200315" w14:textId="77777777" w:rsidR="001A5BA7" w:rsidRDefault="001A5BA7" w:rsidP="00D11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6643719"/>
      <w:docPartObj>
        <w:docPartGallery w:val="Page Numbers (Bottom of Page)"/>
        <w:docPartUnique/>
      </w:docPartObj>
    </w:sdtPr>
    <w:sdtEndPr>
      <w:rPr>
        <w:noProof/>
      </w:rPr>
    </w:sdtEndPr>
    <w:sdtContent>
      <w:p w14:paraId="752DC1F8" w14:textId="628CE2F2" w:rsidR="00D11D34" w:rsidRDefault="00D11D34">
        <w:pPr>
          <w:pStyle w:val="Footer"/>
          <w:rPr>
            <w:noProof/>
          </w:rP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B2D9965" w14:textId="693C29F1" w:rsidR="00D11D34" w:rsidRDefault="00D11D34" w:rsidP="00D11D34">
    <w:pPr>
      <w:pStyle w:val="Footer"/>
      <w:jc w:val="center"/>
    </w:pPr>
    <w:r w:rsidRPr="00D11D34">
      <w:t>BMPO7006D – Contemporary Issues in Policing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7F61D" w14:textId="77777777" w:rsidR="001A5BA7" w:rsidRDefault="001A5BA7" w:rsidP="00D11D34">
      <w:pPr>
        <w:spacing w:after="0" w:line="240" w:lineRule="auto"/>
      </w:pPr>
      <w:r>
        <w:separator/>
      </w:r>
    </w:p>
  </w:footnote>
  <w:footnote w:type="continuationSeparator" w:id="0">
    <w:p w14:paraId="0522466B" w14:textId="77777777" w:rsidR="001A5BA7" w:rsidRDefault="001A5BA7" w:rsidP="00D11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611E13"/>
    <w:multiLevelType w:val="hybridMultilevel"/>
    <w:tmpl w:val="E7962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C7067"/>
    <w:multiLevelType w:val="hybridMultilevel"/>
    <w:tmpl w:val="EE525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A7838"/>
    <w:multiLevelType w:val="hybridMultilevel"/>
    <w:tmpl w:val="8876A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96151">
    <w:abstractNumId w:val="1"/>
  </w:num>
  <w:num w:numId="2" w16cid:durableId="391199035">
    <w:abstractNumId w:val="2"/>
  </w:num>
  <w:num w:numId="3" w16cid:durableId="270404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D34"/>
    <w:rsid w:val="00000794"/>
    <w:rsid w:val="00002F1F"/>
    <w:rsid w:val="00003199"/>
    <w:rsid w:val="00005321"/>
    <w:rsid w:val="0001093E"/>
    <w:rsid w:val="000169FF"/>
    <w:rsid w:val="00020DFF"/>
    <w:rsid w:val="00022118"/>
    <w:rsid w:val="00023EA8"/>
    <w:rsid w:val="0002415A"/>
    <w:rsid w:val="00026A6B"/>
    <w:rsid w:val="000327A9"/>
    <w:rsid w:val="000346E3"/>
    <w:rsid w:val="000370BE"/>
    <w:rsid w:val="00042651"/>
    <w:rsid w:val="0004434B"/>
    <w:rsid w:val="00053C95"/>
    <w:rsid w:val="00055CC8"/>
    <w:rsid w:val="000575E5"/>
    <w:rsid w:val="0006148A"/>
    <w:rsid w:val="000651D6"/>
    <w:rsid w:val="00065A38"/>
    <w:rsid w:val="00066D06"/>
    <w:rsid w:val="00067916"/>
    <w:rsid w:val="000740E6"/>
    <w:rsid w:val="00074EE1"/>
    <w:rsid w:val="000761E6"/>
    <w:rsid w:val="00076ABB"/>
    <w:rsid w:val="0008627C"/>
    <w:rsid w:val="000868FB"/>
    <w:rsid w:val="00087999"/>
    <w:rsid w:val="000929C5"/>
    <w:rsid w:val="00096444"/>
    <w:rsid w:val="000A1F16"/>
    <w:rsid w:val="000A2E64"/>
    <w:rsid w:val="000B44EF"/>
    <w:rsid w:val="000B710F"/>
    <w:rsid w:val="000C37C9"/>
    <w:rsid w:val="000D0B82"/>
    <w:rsid w:val="000D6219"/>
    <w:rsid w:val="000D7B00"/>
    <w:rsid w:val="000E534B"/>
    <w:rsid w:val="000F0469"/>
    <w:rsid w:val="000F4184"/>
    <w:rsid w:val="000F67A7"/>
    <w:rsid w:val="000F6DE7"/>
    <w:rsid w:val="000F73B8"/>
    <w:rsid w:val="00100854"/>
    <w:rsid w:val="001037CF"/>
    <w:rsid w:val="00107C28"/>
    <w:rsid w:val="001161F2"/>
    <w:rsid w:val="00124E34"/>
    <w:rsid w:val="001278D0"/>
    <w:rsid w:val="00132556"/>
    <w:rsid w:val="00144861"/>
    <w:rsid w:val="00145746"/>
    <w:rsid w:val="0014687F"/>
    <w:rsid w:val="001547A3"/>
    <w:rsid w:val="001557E8"/>
    <w:rsid w:val="00161B7D"/>
    <w:rsid w:val="00161E3D"/>
    <w:rsid w:val="00161F6F"/>
    <w:rsid w:val="0018593A"/>
    <w:rsid w:val="00186293"/>
    <w:rsid w:val="00190365"/>
    <w:rsid w:val="00192DDD"/>
    <w:rsid w:val="00194989"/>
    <w:rsid w:val="00197E29"/>
    <w:rsid w:val="001A2DE7"/>
    <w:rsid w:val="001A5BA7"/>
    <w:rsid w:val="001B1A25"/>
    <w:rsid w:val="001C2EB1"/>
    <w:rsid w:val="001C7696"/>
    <w:rsid w:val="001D1D73"/>
    <w:rsid w:val="001E08C8"/>
    <w:rsid w:val="001E3F48"/>
    <w:rsid w:val="001E5853"/>
    <w:rsid w:val="001F0B54"/>
    <w:rsid w:val="001F28B6"/>
    <w:rsid w:val="001F6F47"/>
    <w:rsid w:val="00201E57"/>
    <w:rsid w:val="0020228F"/>
    <w:rsid w:val="0020706E"/>
    <w:rsid w:val="00215FD5"/>
    <w:rsid w:val="0022446C"/>
    <w:rsid w:val="002279E6"/>
    <w:rsid w:val="00232B06"/>
    <w:rsid w:val="0023695D"/>
    <w:rsid w:val="00242B9B"/>
    <w:rsid w:val="002434A5"/>
    <w:rsid w:val="002440E5"/>
    <w:rsid w:val="00251A84"/>
    <w:rsid w:val="002664AB"/>
    <w:rsid w:val="002704F8"/>
    <w:rsid w:val="002728AC"/>
    <w:rsid w:val="00274647"/>
    <w:rsid w:val="002775EC"/>
    <w:rsid w:val="00281B26"/>
    <w:rsid w:val="00287F14"/>
    <w:rsid w:val="00296B2D"/>
    <w:rsid w:val="002A7AEE"/>
    <w:rsid w:val="002B671F"/>
    <w:rsid w:val="002C0BB7"/>
    <w:rsid w:val="002D1E96"/>
    <w:rsid w:val="002D2022"/>
    <w:rsid w:val="002D4002"/>
    <w:rsid w:val="002D7183"/>
    <w:rsid w:val="002F22AB"/>
    <w:rsid w:val="002F5988"/>
    <w:rsid w:val="00303145"/>
    <w:rsid w:val="00306CC8"/>
    <w:rsid w:val="003157D5"/>
    <w:rsid w:val="0031709F"/>
    <w:rsid w:val="00351DEB"/>
    <w:rsid w:val="003527D4"/>
    <w:rsid w:val="00354886"/>
    <w:rsid w:val="00355E3B"/>
    <w:rsid w:val="0035638B"/>
    <w:rsid w:val="0036196A"/>
    <w:rsid w:val="0036216F"/>
    <w:rsid w:val="00372F69"/>
    <w:rsid w:val="00381651"/>
    <w:rsid w:val="00391183"/>
    <w:rsid w:val="00392B9C"/>
    <w:rsid w:val="00393EBC"/>
    <w:rsid w:val="003A789D"/>
    <w:rsid w:val="003B74A0"/>
    <w:rsid w:val="003C0470"/>
    <w:rsid w:val="003C73B8"/>
    <w:rsid w:val="003D238C"/>
    <w:rsid w:val="003D386A"/>
    <w:rsid w:val="003D510C"/>
    <w:rsid w:val="003E04ED"/>
    <w:rsid w:val="003F39D0"/>
    <w:rsid w:val="003F4195"/>
    <w:rsid w:val="004035C2"/>
    <w:rsid w:val="00417213"/>
    <w:rsid w:val="00423D5A"/>
    <w:rsid w:val="00424F4E"/>
    <w:rsid w:val="00434B64"/>
    <w:rsid w:val="00437538"/>
    <w:rsid w:val="004420FC"/>
    <w:rsid w:val="004421DC"/>
    <w:rsid w:val="004446A1"/>
    <w:rsid w:val="004534BA"/>
    <w:rsid w:val="0045669F"/>
    <w:rsid w:val="00464F3C"/>
    <w:rsid w:val="004709DF"/>
    <w:rsid w:val="00475215"/>
    <w:rsid w:val="00475615"/>
    <w:rsid w:val="00476C85"/>
    <w:rsid w:val="00481E1E"/>
    <w:rsid w:val="00494BAE"/>
    <w:rsid w:val="004A0070"/>
    <w:rsid w:val="004A3244"/>
    <w:rsid w:val="004A44A6"/>
    <w:rsid w:val="004B5C35"/>
    <w:rsid w:val="004C413E"/>
    <w:rsid w:val="004C42D9"/>
    <w:rsid w:val="004D19C0"/>
    <w:rsid w:val="004D74F5"/>
    <w:rsid w:val="004D7D84"/>
    <w:rsid w:val="004E1DB8"/>
    <w:rsid w:val="004E316D"/>
    <w:rsid w:val="004F0BA2"/>
    <w:rsid w:val="004F4CA8"/>
    <w:rsid w:val="004F6851"/>
    <w:rsid w:val="005027FE"/>
    <w:rsid w:val="00503741"/>
    <w:rsid w:val="005122AC"/>
    <w:rsid w:val="00514CF3"/>
    <w:rsid w:val="005175F9"/>
    <w:rsid w:val="00517FCC"/>
    <w:rsid w:val="0052693F"/>
    <w:rsid w:val="00527A1D"/>
    <w:rsid w:val="005367E5"/>
    <w:rsid w:val="005415A2"/>
    <w:rsid w:val="005445CB"/>
    <w:rsid w:val="00544616"/>
    <w:rsid w:val="00546437"/>
    <w:rsid w:val="00554941"/>
    <w:rsid w:val="005550E6"/>
    <w:rsid w:val="00555ADD"/>
    <w:rsid w:val="00556390"/>
    <w:rsid w:val="00571021"/>
    <w:rsid w:val="00572F56"/>
    <w:rsid w:val="0059776E"/>
    <w:rsid w:val="005A5EB8"/>
    <w:rsid w:val="005B11D4"/>
    <w:rsid w:val="005B5748"/>
    <w:rsid w:val="005B5C30"/>
    <w:rsid w:val="005C18F7"/>
    <w:rsid w:val="005C3BDE"/>
    <w:rsid w:val="005C54C2"/>
    <w:rsid w:val="005E12AB"/>
    <w:rsid w:val="005E1349"/>
    <w:rsid w:val="005E7182"/>
    <w:rsid w:val="005F0F79"/>
    <w:rsid w:val="00602D75"/>
    <w:rsid w:val="00613C4A"/>
    <w:rsid w:val="00614975"/>
    <w:rsid w:val="00616E9D"/>
    <w:rsid w:val="0062091A"/>
    <w:rsid w:val="00621C0D"/>
    <w:rsid w:val="0062703B"/>
    <w:rsid w:val="00631ABD"/>
    <w:rsid w:val="00633D65"/>
    <w:rsid w:val="00640C0D"/>
    <w:rsid w:val="006468FB"/>
    <w:rsid w:val="00650E9B"/>
    <w:rsid w:val="00653565"/>
    <w:rsid w:val="00654A7F"/>
    <w:rsid w:val="0065581C"/>
    <w:rsid w:val="0066097A"/>
    <w:rsid w:val="00663568"/>
    <w:rsid w:val="00673E6C"/>
    <w:rsid w:val="00676794"/>
    <w:rsid w:val="006829BA"/>
    <w:rsid w:val="006849AC"/>
    <w:rsid w:val="006851E5"/>
    <w:rsid w:val="00697F87"/>
    <w:rsid w:val="006A13E5"/>
    <w:rsid w:val="006A6298"/>
    <w:rsid w:val="006B1208"/>
    <w:rsid w:val="006B3816"/>
    <w:rsid w:val="006D1678"/>
    <w:rsid w:val="006D7843"/>
    <w:rsid w:val="006E2471"/>
    <w:rsid w:val="006E487D"/>
    <w:rsid w:val="006E7344"/>
    <w:rsid w:val="006F6443"/>
    <w:rsid w:val="00701882"/>
    <w:rsid w:val="00703080"/>
    <w:rsid w:val="00704885"/>
    <w:rsid w:val="007050F9"/>
    <w:rsid w:val="00706825"/>
    <w:rsid w:val="00711E44"/>
    <w:rsid w:val="0071388E"/>
    <w:rsid w:val="00714B55"/>
    <w:rsid w:val="00715086"/>
    <w:rsid w:val="00722E9B"/>
    <w:rsid w:val="00730C3A"/>
    <w:rsid w:val="007433D1"/>
    <w:rsid w:val="0074411B"/>
    <w:rsid w:val="00747BE2"/>
    <w:rsid w:val="0075078B"/>
    <w:rsid w:val="00752209"/>
    <w:rsid w:val="007546C2"/>
    <w:rsid w:val="00754C70"/>
    <w:rsid w:val="00754D79"/>
    <w:rsid w:val="00772026"/>
    <w:rsid w:val="00776988"/>
    <w:rsid w:val="00785988"/>
    <w:rsid w:val="00787825"/>
    <w:rsid w:val="00790245"/>
    <w:rsid w:val="00797C66"/>
    <w:rsid w:val="007A5BF5"/>
    <w:rsid w:val="007B3A03"/>
    <w:rsid w:val="007B4488"/>
    <w:rsid w:val="007B6660"/>
    <w:rsid w:val="007C1D15"/>
    <w:rsid w:val="007C5305"/>
    <w:rsid w:val="007D5F2D"/>
    <w:rsid w:val="007E0CE2"/>
    <w:rsid w:val="007E2F10"/>
    <w:rsid w:val="007E578A"/>
    <w:rsid w:val="007F111F"/>
    <w:rsid w:val="007F27E8"/>
    <w:rsid w:val="007F6E44"/>
    <w:rsid w:val="008053D2"/>
    <w:rsid w:val="008072C1"/>
    <w:rsid w:val="00817F64"/>
    <w:rsid w:val="0082035D"/>
    <w:rsid w:val="008216AA"/>
    <w:rsid w:val="00822B07"/>
    <w:rsid w:val="00822BE3"/>
    <w:rsid w:val="008251DF"/>
    <w:rsid w:val="00827347"/>
    <w:rsid w:val="0083736F"/>
    <w:rsid w:val="00840F01"/>
    <w:rsid w:val="008413EB"/>
    <w:rsid w:val="00842C08"/>
    <w:rsid w:val="008521BD"/>
    <w:rsid w:val="00854702"/>
    <w:rsid w:val="0085610D"/>
    <w:rsid w:val="00856AFA"/>
    <w:rsid w:val="00861A47"/>
    <w:rsid w:val="00862626"/>
    <w:rsid w:val="008749AC"/>
    <w:rsid w:val="00885F55"/>
    <w:rsid w:val="008A1846"/>
    <w:rsid w:val="008A2508"/>
    <w:rsid w:val="008A5E85"/>
    <w:rsid w:val="008A696E"/>
    <w:rsid w:val="008A7478"/>
    <w:rsid w:val="008B4860"/>
    <w:rsid w:val="008B7E95"/>
    <w:rsid w:val="008C418B"/>
    <w:rsid w:val="008D5B6A"/>
    <w:rsid w:val="008F0F73"/>
    <w:rsid w:val="008F5563"/>
    <w:rsid w:val="00934261"/>
    <w:rsid w:val="00943DAF"/>
    <w:rsid w:val="009500F5"/>
    <w:rsid w:val="009510FE"/>
    <w:rsid w:val="00951500"/>
    <w:rsid w:val="0095253B"/>
    <w:rsid w:val="00956148"/>
    <w:rsid w:val="009665B8"/>
    <w:rsid w:val="009870F4"/>
    <w:rsid w:val="00991520"/>
    <w:rsid w:val="00997E50"/>
    <w:rsid w:val="009A698E"/>
    <w:rsid w:val="009A6C0B"/>
    <w:rsid w:val="009B0C39"/>
    <w:rsid w:val="009B114E"/>
    <w:rsid w:val="009B2C97"/>
    <w:rsid w:val="009C118C"/>
    <w:rsid w:val="009D12B0"/>
    <w:rsid w:val="009D4A98"/>
    <w:rsid w:val="009D672E"/>
    <w:rsid w:val="009E5350"/>
    <w:rsid w:val="009E68ED"/>
    <w:rsid w:val="00A03269"/>
    <w:rsid w:val="00A036D6"/>
    <w:rsid w:val="00A054F8"/>
    <w:rsid w:val="00A12149"/>
    <w:rsid w:val="00A1268B"/>
    <w:rsid w:val="00A2076F"/>
    <w:rsid w:val="00A2440B"/>
    <w:rsid w:val="00A24762"/>
    <w:rsid w:val="00A33732"/>
    <w:rsid w:val="00A372E6"/>
    <w:rsid w:val="00A40898"/>
    <w:rsid w:val="00A42FC3"/>
    <w:rsid w:val="00A50DF5"/>
    <w:rsid w:val="00A55AEC"/>
    <w:rsid w:val="00A66895"/>
    <w:rsid w:val="00A67CF7"/>
    <w:rsid w:val="00A7040E"/>
    <w:rsid w:val="00A72231"/>
    <w:rsid w:val="00A75355"/>
    <w:rsid w:val="00A777DF"/>
    <w:rsid w:val="00A83305"/>
    <w:rsid w:val="00A87CF7"/>
    <w:rsid w:val="00A977D0"/>
    <w:rsid w:val="00AA55B4"/>
    <w:rsid w:val="00AA7915"/>
    <w:rsid w:val="00AB1F73"/>
    <w:rsid w:val="00AC66E3"/>
    <w:rsid w:val="00AE6C7D"/>
    <w:rsid w:val="00AF307B"/>
    <w:rsid w:val="00B132BE"/>
    <w:rsid w:val="00B24271"/>
    <w:rsid w:val="00B31A67"/>
    <w:rsid w:val="00B3334F"/>
    <w:rsid w:val="00B41CD0"/>
    <w:rsid w:val="00B46AB8"/>
    <w:rsid w:val="00B4707B"/>
    <w:rsid w:val="00B47491"/>
    <w:rsid w:val="00B4759C"/>
    <w:rsid w:val="00B55A26"/>
    <w:rsid w:val="00B55EEA"/>
    <w:rsid w:val="00B61D74"/>
    <w:rsid w:val="00B71427"/>
    <w:rsid w:val="00B71936"/>
    <w:rsid w:val="00B8299B"/>
    <w:rsid w:val="00BA27F7"/>
    <w:rsid w:val="00BB2387"/>
    <w:rsid w:val="00BB49DE"/>
    <w:rsid w:val="00BC4086"/>
    <w:rsid w:val="00BD5DBA"/>
    <w:rsid w:val="00BD6E59"/>
    <w:rsid w:val="00BE0C4E"/>
    <w:rsid w:val="00BE5461"/>
    <w:rsid w:val="00BE60BB"/>
    <w:rsid w:val="00BE6519"/>
    <w:rsid w:val="00C01F46"/>
    <w:rsid w:val="00C06122"/>
    <w:rsid w:val="00C15D43"/>
    <w:rsid w:val="00C251D5"/>
    <w:rsid w:val="00C26F55"/>
    <w:rsid w:val="00C334B4"/>
    <w:rsid w:val="00C35AD2"/>
    <w:rsid w:val="00C36E8E"/>
    <w:rsid w:val="00C40D43"/>
    <w:rsid w:val="00C46EE7"/>
    <w:rsid w:val="00C54247"/>
    <w:rsid w:val="00C5581E"/>
    <w:rsid w:val="00C566C3"/>
    <w:rsid w:val="00C607C0"/>
    <w:rsid w:val="00C612D9"/>
    <w:rsid w:val="00C64180"/>
    <w:rsid w:val="00C64540"/>
    <w:rsid w:val="00CA479F"/>
    <w:rsid w:val="00CA7E12"/>
    <w:rsid w:val="00CB02BB"/>
    <w:rsid w:val="00CB548D"/>
    <w:rsid w:val="00CB69A9"/>
    <w:rsid w:val="00CC0EC5"/>
    <w:rsid w:val="00CD649B"/>
    <w:rsid w:val="00CD77C7"/>
    <w:rsid w:val="00CD7926"/>
    <w:rsid w:val="00CE183D"/>
    <w:rsid w:val="00CE33A6"/>
    <w:rsid w:val="00CF0330"/>
    <w:rsid w:val="00CF1700"/>
    <w:rsid w:val="00CF50D7"/>
    <w:rsid w:val="00CF66A2"/>
    <w:rsid w:val="00D01E8C"/>
    <w:rsid w:val="00D0250A"/>
    <w:rsid w:val="00D02CEF"/>
    <w:rsid w:val="00D11D34"/>
    <w:rsid w:val="00D12AC0"/>
    <w:rsid w:val="00D208F9"/>
    <w:rsid w:val="00D2169C"/>
    <w:rsid w:val="00D22510"/>
    <w:rsid w:val="00D3321F"/>
    <w:rsid w:val="00D53AC4"/>
    <w:rsid w:val="00D546D7"/>
    <w:rsid w:val="00D57160"/>
    <w:rsid w:val="00D73305"/>
    <w:rsid w:val="00D80A26"/>
    <w:rsid w:val="00D81673"/>
    <w:rsid w:val="00D90CED"/>
    <w:rsid w:val="00D913F5"/>
    <w:rsid w:val="00D93DB3"/>
    <w:rsid w:val="00DA0E9C"/>
    <w:rsid w:val="00DA4EC9"/>
    <w:rsid w:val="00DB11B3"/>
    <w:rsid w:val="00DB4D27"/>
    <w:rsid w:val="00DB61DA"/>
    <w:rsid w:val="00DB761B"/>
    <w:rsid w:val="00DD4E8C"/>
    <w:rsid w:val="00DD64B8"/>
    <w:rsid w:val="00DF1BA1"/>
    <w:rsid w:val="00DF1BDF"/>
    <w:rsid w:val="00E06D86"/>
    <w:rsid w:val="00E13D5C"/>
    <w:rsid w:val="00E148A0"/>
    <w:rsid w:val="00E21D9C"/>
    <w:rsid w:val="00E3777D"/>
    <w:rsid w:val="00E42D95"/>
    <w:rsid w:val="00E44039"/>
    <w:rsid w:val="00E44F4D"/>
    <w:rsid w:val="00E53CB8"/>
    <w:rsid w:val="00E57AE0"/>
    <w:rsid w:val="00E65FC5"/>
    <w:rsid w:val="00E7275E"/>
    <w:rsid w:val="00E769B2"/>
    <w:rsid w:val="00E77FA1"/>
    <w:rsid w:val="00E81035"/>
    <w:rsid w:val="00E81494"/>
    <w:rsid w:val="00E90602"/>
    <w:rsid w:val="00E950C7"/>
    <w:rsid w:val="00E964A5"/>
    <w:rsid w:val="00E97426"/>
    <w:rsid w:val="00EA2D53"/>
    <w:rsid w:val="00EB31CB"/>
    <w:rsid w:val="00EB362E"/>
    <w:rsid w:val="00EB4B6F"/>
    <w:rsid w:val="00EB79A5"/>
    <w:rsid w:val="00EC4EDC"/>
    <w:rsid w:val="00ED2552"/>
    <w:rsid w:val="00ED2C6D"/>
    <w:rsid w:val="00ED5CB4"/>
    <w:rsid w:val="00ED6127"/>
    <w:rsid w:val="00ED6C27"/>
    <w:rsid w:val="00EE6BA7"/>
    <w:rsid w:val="00EF0A14"/>
    <w:rsid w:val="00EF40A0"/>
    <w:rsid w:val="00F009F3"/>
    <w:rsid w:val="00F039A6"/>
    <w:rsid w:val="00F115C2"/>
    <w:rsid w:val="00F144EA"/>
    <w:rsid w:val="00F205CC"/>
    <w:rsid w:val="00F24B12"/>
    <w:rsid w:val="00F262F3"/>
    <w:rsid w:val="00F300C6"/>
    <w:rsid w:val="00F30BBA"/>
    <w:rsid w:val="00F514E9"/>
    <w:rsid w:val="00F55483"/>
    <w:rsid w:val="00F61E78"/>
    <w:rsid w:val="00F640EC"/>
    <w:rsid w:val="00F65034"/>
    <w:rsid w:val="00F77402"/>
    <w:rsid w:val="00F77E2E"/>
    <w:rsid w:val="00F81861"/>
    <w:rsid w:val="00F864F9"/>
    <w:rsid w:val="00F96371"/>
    <w:rsid w:val="00F97864"/>
    <w:rsid w:val="00FA5FF0"/>
    <w:rsid w:val="00FC223E"/>
    <w:rsid w:val="00FD4ABF"/>
    <w:rsid w:val="00FE0C9B"/>
    <w:rsid w:val="00FE37E0"/>
    <w:rsid w:val="00FE4BBB"/>
    <w:rsid w:val="00FF0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0261F"/>
  <w15:chartTrackingRefBased/>
  <w15:docId w15:val="{BB3F5B9F-41A6-4E24-9968-07F64EF40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0602"/>
  </w:style>
  <w:style w:type="paragraph" w:styleId="Heading1">
    <w:name w:val="heading 1"/>
    <w:basedOn w:val="Normal"/>
    <w:next w:val="Normal"/>
    <w:link w:val="Heading1Char"/>
    <w:uiPriority w:val="9"/>
    <w:qFormat/>
    <w:rsid w:val="00D11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1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1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1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1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1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1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1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1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1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1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1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1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1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1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1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1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1D34"/>
    <w:rPr>
      <w:rFonts w:eastAsiaTheme="majorEastAsia" w:cstheme="majorBidi"/>
      <w:color w:val="272727" w:themeColor="text1" w:themeTint="D8"/>
    </w:rPr>
  </w:style>
  <w:style w:type="paragraph" w:styleId="Title">
    <w:name w:val="Title"/>
    <w:basedOn w:val="Normal"/>
    <w:next w:val="Normal"/>
    <w:link w:val="TitleChar"/>
    <w:uiPriority w:val="10"/>
    <w:qFormat/>
    <w:rsid w:val="00D11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1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1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1D34"/>
    <w:pPr>
      <w:spacing w:before="160"/>
      <w:jc w:val="center"/>
    </w:pPr>
    <w:rPr>
      <w:i/>
      <w:iCs/>
      <w:color w:val="404040" w:themeColor="text1" w:themeTint="BF"/>
    </w:rPr>
  </w:style>
  <w:style w:type="character" w:customStyle="1" w:styleId="QuoteChar">
    <w:name w:val="Quote Char"/>
    <w:basedOn w:val="DefaultParagraphFont"/>
    <w:link w:val="Quote"/>
    <w:uiPriority w:val="29"/>
    <w:rsid w:val="00D11D34"/>
    <w:rPr>
      <w:i/>
      <w:iCs/>
      <w:color w:val="404040" w:themeColor="text1" w:themeTint="BF"/>
    </w:rPr>
  </w:style>
  <w:style w:type="paragraph" w:styleId="ListParagraph">
    <w:name w:val="List Paragraph"/>
    <w:basedOn w:val="Normal"/>
    <w:uiPriority w:val="34"/>
    <w:qFormat/>
    <w:rsid w:val="00D11D34"/>
    <w:pPr>
      <w:ind w:left="720"/>
      <w:contextualSpacing/>
    </w:pPr>
  </w:style>
  <w:style w:type="character" w:styleId="IntenseEmphasis">
    <w:name w:val="Intense Emphasis"/>
    <w:basedOn w:val="DefaultParagraphFont"/>
    <w:uiPriority w:val="21"/>
    <w:qFormat/>
    <w:rsid w:val="00D11D34"/>
    <w:rPr>
      <w:i/>
      <w:iCs/>
      <w:color w:val="0F4761" w:themeColor="accent1" w:themeShade="BF"/>
    </w:rPr>
  </w:style>
  <w:style w:type="paragraph" w:styleId="IntenseQuote">
    <w:name w:val="Intense Quote"/>
    <w:basedOn w:val="Normal"/>
    <w:next w:val="Normal"/>
    <w:link w:val="IntenseQuoteChar"/>
    <w:uiPriority w:val="30"/>
    <w:qFormat/>
    <w:rsid w:val="00D11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1D34"/>
    <w:rPr>
      <w:i/>
      <w:iCs/>
      <w:color w:val="0F4761" w:themeColor="accent1" w:themeShade="BF"/>
    </w:rPr>
  </w:style>
  <w:style w:type="character" w:styleId="IntenseReference">
    <w:name w:val="Intense Reference"/>
    <w:basedOn w:val="DefaultParagraphFont"/>
    <w:uiPriority w:val="32"/>
    <w:qFormat/>
    <w:rsid w:val="00D11D34"/>
    <w:rPr>
      <w:b/>
      <w:bCs/>
      <w:smallCaps/>
      <w:color w:val="0F4761" w:themeColor="accent1" w:themeShade="BF"/>
      <w:spacing w:val="5"/>
    </w:rPr>
  </w:style>
  <w:style w:type="paragraph" w:styleId="NoSpacing">
    <w:name w:val="No Spacing"/>
    <w:link w:val="NoSpacingChar"/>
    <w:uiPriority w:val="1"/>
    <w:qFormat/>
    <w:rsid w:val="00D11D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11D34"/>
    <w:rPr>
      <w:rFonts w:eastAsiaTheme="minorEastAsia"/>
      <w:kern w:val="0"/>
      <w:sz w:val="22"/>
      <w:szCs w:val="22"/>
      <w:lang w:val="en-US"/>
      <w14:ligatures w14:val="none"/>
    </w:rPr>
  </w:style>
  <w:style w:type="paragraph" w:styleId="Header">
    <w:name w:val="header"/>
    <w:basedOn w:val="Normal"/>
    <w:link w:val="HeaderChar"/>
    <w:uiPriority w:val="99"/>
    <w:unhideWhenUsed/>
    <w:rsid w:val="00D11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D34"/>
  </w:style>
  <w:style w:type="paragraph" w:styleId="Footer">
    <w:name w:val="footer"/>
    <w:basedOn w:val="Normal"/>
    <w:link w:val="FooterChar"/>
    <w:uiPriority w:val="99"/>
    <w:unhideWhenUsed/>
    <w:rsid w:val="00D11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D34"/>
  </w:style>
  <w:style w:type="paragraph" w:styleId="NormalWeb">
    <w:name w:val="Normal (Web)"/>
    <w:basedOn w:val="Normal"/>
    <w:uiPriority w:val="99"/>
    <w:semiHidden/>
    <w:unhideWhenUsed/>
    <w:rsid w:val="00DB11B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00854"/>
    <w:rPr>
      <w:color w:val="467886" w:themeColor="hyperlink"/>
      <w:u w:val="single"/>
    </w:rPr>
  </w:style>
  <w:style w:type="character" w:styleId="UnresolvedMention">
    <w:name w:val="Unresolved Mention"/>
    <w:basedOn w:val="DefaultParagraphFont"/>
    <w:uiPriority w:val="99"/>
    <w:semiHidden/>
    <w:unhideWhenUsed/>
    <w:rsid w:val="00B829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one-step-ahead-a-21st-century-strategy-to-defeat-organised-crime" TargetMode="External"/><Relationship Id="rId18" Type="http://schemas.openxmlformats.org/officeDocument/2006/relationships/hyperlink" Target="https://doi.org/10.1108/JFC-05-2014-0024" TargetMode="External"/><Relationship Id="rId3" Type="http://schemas.openxmlformats.org/officeDocument/2006/relationships/styles" Target="styles.xml"/><Relationship Id="rId21" Type="http://schemas.openxmlformats.org/officeDocument/2006/relationships/hyperlink" Target="https://doi.org/10.1108/13590791211266386" TargetMode="External"/><Relationship Id="rId7" Type="http://schemas.openxmlformats.org/officeDocument/2006/relationships/endnotes" Target="endnotes.xml"/><Relationship Id="rId12" Type="http://schemas.openxmlformats.org/officeDocument/2006/relationships/hyperlink" Target="https://doi.org/10.1108/13685200610660952" TargetMode="External"/><Relationship Id="rId17" Type="http://schemas.openxmlformats.org/officeDocument/2006/relationships/hyperlink" Target="https://doi.org/10.1007/s10610-016-9332-z"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12117-016-9269-0" TargetMode="External"/><Relationship Id="rId20" Type="http://schemas.openxmlformats.org/officeDocument/2006/relationships/hyperlink" Target="https://doi.org/10.1057/s41300-020-0009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2117-018-9335-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7/s12117-023-09517-x" TargetMode="External"/><Relationship Id="rId23" Type="http://schemas.openxmlformats.org/officeDocument/2006/relationships/footer" Target="footer1.xml"/><Relationship Id="rId10" Type="http://schemas.openxmlformats.org/officeDocument/2006/relationships/hyperlink" Target="https://doi.org/10.1057/cpcs.2012.8" TargetMode="External"/><Relationship Id="rId19" Type="http://schemas.openxmlformats.org/officeDocument/2006/relationships/hyperlink" Target="https://www.nationalcrimeagency.gov.uk/nsa-overview-of-soc-20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media/65798633254aaa0010050bdc/SOC_Strategy_23-28_V9_Web_Accessible.pdf" TargetMode="External"/><Relationship Id="rId22" Type="http://schemas.openxmlformats.org/officeDocument/2006/relationships/hyperlink" Target="https://doi.org/10.1007/s10611-010-924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Matthew.Smy@suffolk.police.uk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11</Pages>
  <Words>3760</Words>
  <Characters>19670</Characters>
  <Application>Microsoft Office Word</Application>
  <DocSecurity>0</DocSecurity>
  <Lines>371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Serious and Organised crime</dc:title>
  <dc:subject>A literary Review</dc:subject>
  <dc:creator>Smy, Matthew</dc:creator>
  <cp:keywords/>
  <dc:description/>
  <cp:lastModifiedBy>Smy, Matthew</cp:lastModifiedBy>
  <cp:revision>494</cp:revision>
  <dcterms:created xsi:type="dcterms:W3CDTF">2026-03-26T15:11:00Z</dcterms:created>
  <dcterms:modified xsi:type="dcterms:W3CDTF">2026-04-15T19:30:00Z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98ce926-556f-4b1d-a91b-c6365a99e315_Enabled">
    <vt:lpwstr>true</vt:lpwstr>
  </property>
  <property fmtid="{D5CDD505-2E9C-101B-9397-08002B2CF9AE}" pid="3" name="MSIP_Label_a98ce926-556f-4b1d-a91b-c6365a99e315_SetDate">
    <vt:lpwstr>2026-03-26T17:04:44Z</vt:lpwstr>
  </property>
  <property fmtid="{D5CDD505-2E9C-101B-9397-08002B2CF9AE}" pid="4" name="MSIP_Label_a98ce926-556f-4b1d-a91b-c6365a99e315_Method">
    <vt:lpwstr>Standard</vt:lpwstr>
  </property>
  <property fmtid="{D5CDD505-2E9C-101B-9397-08002B2CF9AE}" pid="5" name="MSIP_Label_a98ce926-556f-4b1d-a91b-c6365a99e315_Name">
    <vt:lpwstr>a98ce926-556f-4b1d-a91b-c6365a99e315</vt:lpwstr>
  </property>
  <property fmtid="{D5CDD505-2E9C-101B-9397-08002B2CF9AE}" pid="6" name="MSIP_Label_a98ce926-556f-4b1d-a91b-c6365a99e315_SiteId">
    <vt:lpwstr>63c6bc72-b093-42db-bf8a-14e2a998e211</vt:lpwstr>
  </property>
  <property fmtid="{D5CDD505-2E9C-101B-9397-08002B2CF9AE}" pid="7" name="MSIP_Label_a98ce926-556f-4b1d-a91b-c6365a99e315_ActionId">
    <vt:lpwstr>5d94ebe3-89f1-44a2-8bc0-f563c5420a86</vt:lpwstr>
  </property>
  <property fmtid="{D5CDD505-2E9C-101B-9397-08002B2CF9AE}" pid="8" name="MSIP_Label_a98ce926-556f-4b1d-a91b-c6365a99e315_ContentBits">
    <vt:lpwstr>0</vt:lpwstr>
  </property>
  <property fmtid="{D5CDD505-2E9C-101B-9397-08002B2CF9AE}" pid="9" name="MSIP_Label_a98ce926-556f-4b1d-a91b-c6365a99e315_Tag">
    <vt:lpwstr>10, 3, 0, 1</vt:lpwstr>
  </property>
</Properties>
</file>