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06D238" w14:textId="12932270" w:rsidR="00773E0E" w:rsidRDefault="00773E0E" w:rsidP="00BE0B55">
      <w:pPr>
        <w:spacing w:line="240" w:lineRule="auto"/>
        <w:jc w:val="both"/>
        <w:rPr>
          <w:rFonts w:ascii="Perpetua" w:hAnsi="Perpetua"/>
          <w:b/>
          <w:bCs/>
        </w:rPr>
      </w:pPr>
      <w:r>
        <w:rPr>
          <w:rFonts w:ascii="Perpetua" w:hAnsi="Perpetua"/>
          <w:b/>
          <w:bCs/>
        </w:rPr>
        <w:t>Environmental Ethics: Assignment 1</w:t>
      </w:r>
    </w:p>
    <w:p w14:paraId="6C829061" w14:textId="4FBDD542" w:rsidR="00773E0E" w:rsidRDefault="00773E0E" w:rsidP="00BE0B55">
      <w:pPr>
        <w:spacing w:line="240" w:lineRule="auto"/>
        <w:jc w:val="both"/>
        <w:rPr>
          <w:rFonts w:ascii="Perpetua" w:hAnsi="Perpetua"/>
          <w:b/>
          <w:bCs/>
        </w:rPr>
      </w:pPr>
      <w:r>
        <w:rPr>
          <w:rFonts w:ascii="Perpetua" w:hAnsi="Perpetua"/>
          <w:b/>
          <w:bCs/>
        </w:rPr>
        <w:t>Edward Kenny</w:t>
      </w:r>
    </w:p>
    <w:p w14:paraId="7ECA351B" w14:textId="77777777" w:rsidR="00773E0E" w:rsidRDefault="00773E0E" w:rsidP="00BE0B55">
      <w:pPr>
        <w:spacing w:line="240" w:lineRule="auto"/>
        <w:jc w:val="both"/>
        <w:rPr>
          <w:rFonts w:ascii="Perpetua" w:hAnsi="Perpetua"/>
          <w:b/>
          <w:bCs/>
        </w:rPr>
      </w:pPr>
    </w:p>
    <w:p w14:paraId="230D5AAA" w14:textId="77777777" w:rsidR="00773E0E" w:rsidRDefault="00773E0E" w:rsidP="00BE0B55">
      <w:pPr>
        <w:spacing w:line="240" w:lineRule="auto"/>
        <w:jc w:val="both"/>
        <w:rPr>
          <w:rFonts w:ascii="Perpetua" w:hAnsi="Perpetua"/>
          <w:b/>
          <w:bCs/>
        </w:rPr>
      </w:pPr>
    </w:p>
    <w:p w14:paraId="5779B80E" w14:textId="72BBA09B" w:rsidR="00BE0B55" w:rsidRPr="00BE0B55" w:rsidRDefault="00BE0B55" w:rsidP="00BE0B55">
      <w:pPr>
        <w:spacing w:line="240" w:lineRule="auto"/>
        <w:jc w:val="both"/>
        <w:rPr>
          <w:rFonts w:ascii="Perpetua" w:hAnsi="Perpetua"/>
          <w:b/>
          <w:bCs/>
        </w:rPr>
      </w:pPr>
      <w:r w:rsidRPr="00BE0B55">
        <w:rPr>
          <w:rFonts w:ascii="Perpetua" w:hAnsi="Perpetua"/>
          <w:b/>
          <w:bCs/>
        </w:rPr>
        <w:t>1.</w:t>
      </w:r>
    </w:p>
    <w:p w14:paraId="2387EAF4" w14:textId="1782A2F9" w:rsidR="00BE0B55" w:rsidRPr="00BE0B55" w:rsidRDefault="00BE0B55" w:rsidP="00BE0B55">
      <w:pPr>
        <w:spacing w:line="240" w:lineRule="auto"/>
        <w:jc w:val="both"/>
        <w:rPr>
          <w:rFonts w:ascii="Perpetua" w:hAnsi="Perpetua"/>
          <w:b/>
          <w:bCs/>
        </w:rPr>
      </w:pPr>
      <w:r w:rsidRPr="00BE0B55">
        <w:rPr>
          <w:rFonts w:ascii="Perpetua" w:hAnsi="Perpetua"/>
          <w:b/>
          <w:bCs/>
        </w:rPr>
        <w:t xml:space="preserve">Kenneth E. Goodpaster, ‘On Being Morally Considerable’, </w:t>
      </w:r>
      <w:r w:rsidRPr="00BE0B55">
        <w:rPr>
          <w:rFonts w:ascii="Perpetua" w:hAnsi="Perpetua"/>
          <w:b/>
          <w:bCs/>
          <w:i/>
          <w:iCs/>
        </w:rPr>
        <w:t>Journal of Philosophy</w:t>
      </w:r>
      <w:r w:rsidRPr="00BE0B55">
        <w:rPr>
          <w:rFonts w:ascii="Perpetua" w:hAnsi="Perpetua"/>
          <w:b/>
          <w:bCs/>
        </w:rPr>
        <w:t>,</w:t>
      </w:r>
      <w:r w:rsidRPr="00BE0B55">
        <w:rPr>
          <w:rFonts w:ascii="Perpetua" w:hAnsi="Perpetua"/>
          <w:b/>
          <w:bCs/>
          <w:i/>
          <w:iCs/>
        </w:rPr>
        <w:t xml:space="preserve"> </w:t>
      </w:r>
      <w:r w:rsidRPr="00BE0B55">
        <w:rPr>
          <w:rFonts w:ascii="Perpetua" w:hAnsi="Perpetua"/>
          <w:b/>
          <w:bCs/>
        </w:rPr>
        <w:t xml:space="preserve">75 (1978), pp.308 – </w:t>
      </w:r>
      <w:r w:rsidR="0046390E">
        <w:rPr>
          <w:rFonts w:ascii="Perpetua" w:hAnsi="Perpetua"/>
          <w:b/>
          <w:bCs/>
        </w:rPr>
        <w:t>3</w:t>
      </w:r>
      <w:r w:rsidRPr="00BE0B55">
        <w:rPr>
          <w:rFonts w:ascii="Perpetua" w:hAnsi="Perpetua"/>
          <w:b/>
          <w:bCs/>
        </w:rPr>
        <w:t>25.</w:t>
      </w:r>
      <w:r w:rsidRPr="00BE0B55">
        <w:rPr>
          <w:rStyle w:val="FootnoteReference"/>
          <w:rFonts w:ascii="Perpetua" w:hAnsi="Perpetua"/>
          <w:b/>
          <w:bCs/>
        </w:rPr>
        <w:footnoteReference w:id="1"/>
      </w:r>
    </w:p>
    <w:p w14:paraId="304D667D" w14:textId="77777777" w:rsidR="00BE0B55" w:rsidRDefault="00BE0B55" w:rsidP="00BE0B55">
      <w:pPr>
        <w:spacing w:line="480" w:lineRule="auto"/>
        <w:jc w:val="both"/>
        <w:rPr>
          <w:rFonts w:ascii="Perpetua" w:hAnsi="Perpetua"/>
        </w:rPr>
      </w:pPr>
    </w:p>
    <w:p w14:paraId="0D4CAFAA" w14:textId="77777777" w:rsidR="00DD7C70" w:rsidRDefault="009C34C2" w:rsidP="00BE0B55">
      <w:pPr>
        <w:spacing w:line="480" w:lineRule="auto"/>
        <w:jc w:val="both"/>
        <w:rPr>
          <w:rFonts w:ascii="Perpetua" w:hAnsi="Perpetua"/>
        </w:rPr>
      </w:pPr>
      <w:r>
        <w:rPr>
          <w:rFonts w:ascii="Perpetua" w:hAnsi="Perpetua"/>
        </w:rPr>
        <w:t>J</w:t>
      </w:r>
      <w:r w:rsidR="00BE0B55" w:rsidRPr="004A5973">
        <w:rPr>
          <w:rFonts w:ascii="Perpetua" w:hAnsi="Perpetua"/>
        </w:rPr>
        <w:t xml:space="preserve">. Baird Callicott described Kenneth Goodpaster’s </w:t>
      </w:r>
      <w:r w:rsidR="00BE0B55">
        <w:rPr>
          <w:rFonts w:ascii="Perpetua" w:hAnsi="Perpetua"/>
        </w:rPr>
        <w:t>article</w:t>
      </w:r>
      <w:r w:rsidR="00BE0B55" w:rsidRPr="004A5973">
        <w:rPr>
          <w:rFonts w:ascii="Perpetua" w:hAnsi="Perpetua"/>
        </w:rPr>
        <w:t xml:space="preserve"> on the scope and extent of moral standing as ‘among the finest papers ever written on environmental philosophy’.</w:t>
      </w:r>
      <w:r w:rsidR="00BE0B55" w:rsidRPr="004A5973">
        <w:rPr>
          <w:rStyle w:val="FootnoteReference"/>
          <w:rFonts w:ascii="Perpetua" w:hAnsi="Perpetua"/>
        </w:rPr>
        <w:footnoteReference w:id="2"/>
      </w:r>
      <w:r w:rsidR="00BE0B55" w:rsidRPr="004A5973">
        <w:rPr>
          <w:rFonts w:ascii="Perpetua" w:hAnsi="Perpetua"/>
        </w:rPr>
        <w:t xml:space="preserve"> We may not always agree with Callicott</w:t>
      </w:r>
      <w:r w:rsidR="00BE0B55">
        <w:rPr>
          <w:rFonts w:ascii="Perpetua" w:hAnsi="Perpetua"/>
        </w:rPr>
        <w:t xml:space="preserve"> but s</w:t>
      </w:r>
      <w:r w:rsidR="00BE0B55" w:rsidRPr="004A5973">
        <w:rPr>
          <w:rFonts w:ascii="Perpetua" w:hAnsi="Perpetua"/>
        </w:rPr>
        <w:t>econding his praise for the clarity, elegance and quiet radicalism of this canonical text is an easy task.</w:t>
      </w:r>
      <w:r w:rsidR="00BE0B55">
        <w:rPr>
          <w:rStyle w:val="FootnoteReference"/>
          <w:rFonts w:ascii="Perpetua" w:hAnsi="Perpetua"/>
        </w:rPr>
        <w:footnoteReference w:id="3"/>
      </w:r>
    </w:p>
    <w:p w14:paraId="40D41D70" w14:textId="77777777" w:rsidR="00DD7C70" w:rsidRDefault="00DD7C70" w:rsidP="00BE0B55">
      <w:pPr>
        <w:spacing w:line="480" w:lineRule="auto"/>
        <w:jc w:val="both"/>
        <w:rPr>
          <w:rFonts w:ascii="Perpetua" w:hAnsi="Perpetua"/>
        </w:rPr>
      </w:pPr>
    </w:p>
    <w:p w14:paraId="69F861C7" w14:textId="51FBB824" w:rsidR="00BE0B55" w:rsidRDefault="00BE0B55" w:rsidP="00BE0B55">
      <w:pPr>
        <w:spacing w:line="480" w:lineRule="auto"/>
        <w:jc w:val="both"/>
        <w:rPr>
          <w:rFonts w:ascii="Perpetua" w:hAnsi="Perpetua"/>
        </w:rPr>
      </w:pPr>
      <w:r>
        <w:rPr>
          <w:rFonts w:ascii="Perpetua" w:hAnsi="Perpetua"/>
        </w:rPr>
        <w:t xml:space="preserve">For </w:t>
      </w:r>
      <w:r w:rsidRPr="004A5973">
        <w:rPr>
          <w:rFonts w:ascii="Perpetua" w:hAnsi="Perpetua"/>
        </w:rPr>
        <w:t>‘On Being Morally Considerable’ (</w:t>
      </w:r>
      <w:r>
        <w:rPr>
          <w:rFonts w:ascii="Perpetua" w:hAnsi="Perpetua"/>
        </w:rPr>
        <w:t>“</w:t>
      </w:r>
      <w:r w:rsidRPr="004A5973">
        <w:rPr>
          <w:rFonts w:ascii="Perpetua" w:hAnsi="Perpetua"/>
        </w:rPr>
        <w:t>OBMC</w:t>
      </w:r>
      <w:r>
        <w:rPr>
          <w:rFonts w:ascii="Perpetua" w:hAnsi="Perpetua"/>
        </w:rPr>
        <w:t>”</w:t>
      </w:r>
      <w:r w:rsidRPr="004A5973">
        <w:rPr>
          <w:rFonts w:ascii="Perpetua" w:hAnsi="Perpetua"/>
        </w:rPr>
        <w:t>)</w:t>
      </w:r>
      <w:r>
        <w:rPr>
          <w:rFonts w:ascii="Perpetua" w:hAnsi="Perpetua"/>
        </w:rPr>
        <w:t xml:space="preserve"> did not just</w:t>
      </w:r>
      <w:r w:rsidRPr="004A5973">
        <w:rPr>
          <w:rFonts w:ascii="Perpetua" w:hAnsi="Perpetua"/>
        </w:rPr>
        <w:t xml:space="preserve"> introduce</w:t>
      </w:r>
      <w:r>
        <w:rPr>
          <w:rFonts w:ascii="Perpetua" w:hAnsi="Perpetua"/>
        </w:rPr>
        <w:t xml:space="preserve"> </w:t>
      </w:r>
      <w:r w:rsidRPr="004A5973">
        <w:rPr>
          <w:rFonts w:ascii="Perpetua" w:hAnsi="Perpetua"/>
        </w:rPr>
        <w:t xml:space="preserve">the now commonplace ‘moral </w:t>
      </w:r>
      <w:proofErr w:type="spellStart"/>
      <w:r w:rsidRPr="004A5973">
        <w:rPr>
          <w:rFonts w:ascii="Perpetua" w:hAnsi="Perpetua"/>
        </w:rPr>
        <w:t>considerability</w:t>
      </w:r>
      <w:proofErr w:type="spellEnd"/>
      <w:r w:rsidRPr="004A5973">
        <w:rPr>
          <w:rFonts w:ascii="Perpetua" w:hAnsi="Perpetua"/>
        </w:rPr>
        <w:t xml:space="preserve">’ (“MC”). </w:t>
      </w:r>
      <w:r>
        <w:rPr>
          <w:rFonts w:ascii="Perpetua" w:hAnsi="Perpetua"/>
        </w:rPr>
        <w:t>By extending MC</w:t>
      </w:r>
      <w:r w:rsidRPr="004A5973">
        <w:rPr>
          <w:rFonts w:ascii="Perpetua" w:hAnsi="Perpetua"/>
        </w:rPr>
        <w:t xml:space="preserve"> </w:t>
      </w:r>
      <w:r>
        <w:rPr>
          <w:rFonts w:ascii="Perpetua" w:hAnsi="Perpetua"/>
        </w:rPr>
        <w:t>into ‘</w:t>
      </w:r>
      <w:r>
        <w:rPr>
          <w:rFonts w:ascii="Perpetua" w:hAnsi="Perpetua"/>
          <w:i/>
          <w:iCs/>
        </w:rPr>
        <w:t xml:space="preserve">terra </w:t>
      </w:r>
      <w:r w:rsidRPr="004A5973">
        <w:rPr>
          <w:rFonts w:ascii="Perpetua" w:hAnsi="Perpetua"/>
          <w:i/>
          <w:iCs/>
        </w:rPr>
        <w:t>incognita</w:t>
      </w:r>
      <w:r>
        <w:rPr>
          <w:rFonts w:ascii="Perpetua" w:hAnsi="Perpetua"/>
        </w:rPr>
        <w:t xml:space="preserve">’, Goodpaster </w:t>
      </w:r>
      <w:r w:rsidRPr="004A5973">
        <w:rPr>
          <w:rFonts w:ascii="Perpetua" w:hAnsi="Perpetua"/>
        </w:rPr>
        <w:t xml:space="preserve"> </w:t>
      </w:r>
      <w:r w:rsidR="00773E0E">
        <w:rPr>
          <w:rFonts w:ascii="Perpetua" w:hAnsi="Perpetua"/>
        </w:rPr>
        <w:t>(</w:t>
      </w:r>
      <w:proofErr w:type="spellStart"/>
      <w:r w:rsidR="00773E0E">
        <w:rPr>
          <w:rFonts w:ascii="Perpetua" w:hAnsi="Perpetua"/>
        </w:rPr>
        <w:t>i</w:t>
      </w:r>
      <w:proofErr w:type="spellEnd"/>
      <w:r w:rsidR="00773E0E">
        <w:rPr>
          <w:rFonts w:ascii="Perpetua" w:hAnsi="Perpetua"/>
        </w:rPr>
        <w:t xml:space="preserve">) </w:t>
      </w:r>
      <w:r w:rsidRPr="004A5973">
        <w:rPr>
          <w:rFonts w:ascii="Perpetua" w:hAnsi="Perpetua"/>
        </w:rPr>
        <w:t>provided a persuasive argument for extending the sphere of concern beyond sentience so</w:t>
      </w:r>
      <w:r w:rsidRPr="004A5973">
        <w:rPr>
          <w:rFonts w:ascii="Perpetua" w:hAnsi="Perpetua"/>
          <w:i/>
          <w:iCs/>
        </w:rPr>
        <w:t xml:space="preserve"> </w:t>
      </w:r>
      <w:r w:rsidRPr="004A5973">
        <w:rPr>
          <w:rFonts w:ascii="Perpetua" w:hAnsi="Perpetua"/>
        </w:rPr>
        <w:t>to include all living things</w:t>
      </w:r>
      <w:r w:rsidR="009C34C2">
        <w:rPr>
          <w:rFonts w:ascii="Perpetua" w:hAnsi="Perpetua"/>
        </w:rPr>
        <w:t xml:space="preserve"> </w:t>
      </w:r>
      <w:r w:rsidRPr="004A5973">
        <w:rPr>
          <w:rFonts w:ascii="Perpetua" w:hAnsi="Perpetua"/>
        </w:rPr>
        <w:t xml:space="preserve">thereby </w:t>
      </w:r>
      <w:r w:rsidR="00773E0E">
        <w:rPr>
          <w:rFonts w:ascii="Perpetua" w:hAnsi="Perpetua"/>
        </w:rPr>
        <w:t xml:space="preserve">(ii) </w:t>
      </w:r>
      <w:r w:rsidRPr="004A5973">
        <w:rPr>
          <w:rFonts w:ascii="Perpetua" w:hAnsi="Perpetua"/>
        </w:rPr>
        <w:t>establishing a framework for a biocentric ethic.</w:t>
      </w:r>
      <w:r w:rsidRPr="004A5973">
        <w:rPr>
          <w:rStyle w:val="FootnoteReference"/>
          <w:rFonts w:ascii="Perpetua" w:hAnsi="Perpetua"/>
        </w:rPr>
        <w:footnoteReference w:id="4"/>
      </w:r>
      <w:r w:rsidRPr="004A5973">
        <w:rPr>
          <w:rFonts w:ascii="Perpetua" w:hAnsi="Perpetua"/>
        </w:rPr>
        <w:t xml:space="preserve"> </w:t>
      </w:r>
      <w:r w:rsidR="009C34C2">
        <w:rPr>
          <w:rFonts w:ascii="Perpetua" w:hAnsi="Perpetua"/>
        </w:rPr>
        <w:t>And</w:t>
      </w:r>
      <w:r w:rsidRPr="004A5973">
        <w:rPr>
          <w:rFonts w:ascii="Perpetua" w:hAnsi="Perpetua"/>
        </w:rPr>
        <w:t xml:space="preserve">, </w:t>
      </w:r>
      <w:r w:rsidR="00773E0E">
        <w:rPr>
          <w:rFonts w:ascii="Perpetua" w:hAnsi="Perpetua"/>
        </w:rPr>
        <w:t xml:space="preserve">(iii), </w:t>
      </w:r>
      <w:r w:rsidRPr="004A5973">
        <w:rPr>
          <w:rFonts w:ascii="Perpetua" w:hAnsi="Perpetua"/>
        </w:rPr>
        <w:t xml:space="preserve">by cleaving a distinction between MC and ‘Moral Significance’ (“MS”), he </w:t>
      </w:r>
      <w:r w:rsidR="00773E0E">
        <w:rPr>
          <w:rFonts w:ascii="Perpetua" w:hAnsi="Perpetua"/>
        </w:rPr>
        <w:t xml:space="preserve">(iv) </w:t>
      </w:r>
      <w:r w:rsidRPr="004A5973">
        <w:rPr>
          <w:rFonts w:ascii="Perpetua" w:hAnsi="Perpetua"/>
        </w:rPr>
        <w:t xml:space="preserve">provided a </w:t>
      </w:r>
      <w:r>
        <w:rPr>
          <w:rFonts w:ascii="Perpetua" w:hAnsi="Perpetua"/>
        </w:rPr>
        <w:t>platform/</w:t>
      </w:r>
      <w:r w:rsidRPr="004A5973">
        <w:rPr>
          <w:rFonts w:ascii="Perpetua" w:hAnsi="Perpetua"/>
        </w:rPr>
        <w:t>roadmap for a viable biocentrism which could show appropriate concern to all living entities without succumbing to the par</w:t>
      </w:r>
      <w:r>
        <w:rPr>
          <w:rFonts w:ascii="Perpetua" w:hAnsi="Perpetua"/>
        </w:rPr>
        <w:t>al</w:t>
      </w:r>
      <w:r w:rsidRPr="004A5973">
        <w:rPr>
          <w:rFonts w:ascii="Perpetua" w:hAnsi="Perpetua"/>
        </w:rPr>
        <w:t>ysis of egalitarianis</w:t>
      </w:r>
      <w:r>
        <w:rPr>
          <w:rFonts w:ascii="Perpetua" w:hAnsi="Perpetua"/>
        </w:rPr>
        <w:t>m.</w:t>
      </w:r>
      <w:r>
        <w:rPr>
          <w:rStyle w:val="FootnoteReference"/>
          <w:rFonts w:ascii="Perpetua" w:hAnsi="Perpetua"/>
        </w:rPr>
        <w:footnoteReference w:id="5"/>
      </w:r>
    </w:p>
    <w:p w14:paraId="52D987D4" w14:textId="773BE8C9" w:rsidR="00DD7C70" w:rsidRDefault="00BE0B55" w:rsidP="00BE0B55">
      <w:pPr>
        <w:spacing w:line="480" w:lineRule="auto"/>
        <w:jc w:val="both"/>
        <w:rPr>
          <w:rFonts w:ascii="Perpetua" w:hAnsi="Perpetua"/>
        </w:rPr>
      </w:pPr>
      <w:r>
        <w:rPr>
          <w:rFonts w:ascii="Perpetua" w:hAnsi="Perpetua"/>
        </w:rPr>
        <w:lastRenderedPageBreak/>
        <w:t xml:space="preserve">Whilst </w:t>
      </w:r>
      <w:r w:rsidRPr="004A5973">
        <w:rPr>
          <w:rFonts w:ascii="Perpetua" w:hAnsi="Perpetua"/>
        </w:rPr>
        <w:t xml:space="preserve">identifiably biocentric, </w:t>
      </w:r>
      <w:r>
        <w:rPr>
          <w:rFonts w:ascii="Perpetua" w:hAnsi="Perpetua"/>
        </w:rPr>
        <w:t xml:space="preserve">Goodpaster’s thesis </w:t>
      </w:r>
      <w:r w:rsidR="008D7E68">
        <w:rPr>
          <w:rFonts w:ascii="Perpetua" w:hAnsi="Perpetua"/>
        </w:rPr>
        <w:t>concerns</w:t>
      </w:r>
      <w:r>
        <w:rPr>
          <w:rFonts w:ascii="Perpetua" w:hAnsi="Perpetua"/>
        </w:rPr>
        <w:t xml:space="preserve"> </w:t>
      </w:r>
      <w:r w:rsidRPr="004A5973">
        <w:rPr>
          <w:rFonts w:ascii="Perpetua" w:hAnsi="Perpetua"/>
        </w:rPr>
        <w:t xml:space="preserve">‘living creatures </w:t>
      </w:r>
      <w:r w:rsidRPr="004A5973">
        <w:rPr>
          <w:rFonts w:ascii="Perpetua" w:hAnsi="Perpetua"/>
          <w:b/>
          <w:bCs/>
        </w:rPr>
        <w:t>(at least)</w:t>
      </w:r>
      <w:r w:rsidRPr="004A5973">
        <w:rPr>
          <w:rFonts w:ascii="Perpetua" w:hAnsi="Perpetua"/>
        </w:rPr>
        <w:t>’</w:t>
      </w:r>
      <w:r>
        <w:rPr>
          <w:rFonts w:ascii="Perpetua" w:hAnsi="Perpetua"/>
        </w:rPr>
        <w:t>.</w:t>
      </w:r>
      <w:r>
        <w:rPr>
          <w:rStyle w:val="FootnoteReference"/>
          <w:rFonts w:ascii="Perpetua" w:hAnsi="Perpetua"/>
        </w:rPr>
        <w:footnoteReference w:id="6"/>
      </w:r>
      <w:r>
        <w:rPr>
          <w:rFonts w:ascii="Perpetua" w:hAnsi="Perpetua"/>
        </w:rPr>
        <w:t xml:space="preserve"> E</w:t>
      </w:r>
      <w:r w:rsidRPr="004A5973">
        <w:rPr>
          <w:rFonts w:ascii="Perpetua" w:hAnsi="Perpetua"/>
        </w:rPr>
        <w:t>cocentrism</w:t>
      </w:r>
      <w:r>
        <w:rPr>
          <w:rFonts w:ascii="Perpetua" w:hAnsi="Perpetua"/>
        </w:rPr>
        <w:t xml:space="preserve"> is </w:t>
      </w:r>
      <w:r w:rsidRPr="004A5973">
        <w:rPr>
          <w:rFonts w:ascii="Perpetua" w:hAnsi="Perpetua"/>
          <w:u w:val="single"/>
        </w:rPr>
        <w:t>not</w:t>
      </w:r>
      <w:r>
        <w:rPr>
          <w:rFonts w:ascii="Perpetua" w:hAnsi="Perpetua"/>
        </w:rPr>
        <w:t xml:space="preserve"> precluded</w:t>
      </w:r>
      <w:r w:rsidRPr="004A5973">
        <w:rPr>
          <w:rFonts w:ascii="Perpetua" w:hAnsi="Perpetua"/>
        </w:rPr>
        <w:t>.</w:t>
      </w:r>
      <w:r w:rsidRPr="004A5973">
        <w:rPr>
          <w:rStyle w:val="FootnoteReference"/>
          <w:rFonts w:ascii="Perpetua" w:hAnsi="Perpetua"/>
        </w:rPr>
        <w:footnoteReference w:id="7"/>
      </w:r>
      <w:r w:rsidRPr="004A5973">
        <w:rPr>
          <w:rFonts w:ascii="Perpetua" w:hAnsi="Perpetua"/>
        </w:rPr>
        <w:t xml:space="preserve"> The condition of</w:t>
      </w:r>
      <w:r>
        <w:rPr>
          <w:rFonts w:ascii="Perpetua" w:hAnsi="Perpetua"/>
        </w:rPr>
        <w:t xml:space="preserve"> </w:t>
      </w:r>
      <w:r w:rsidRPr="004A5973">
        <w:rPr>
          <w:rFonts w:ascii="Perpetua" w:hAnsi="Perpetua"/>
        </w:rPr>
        <w:t>being alive</w:t>
      </w:r>
      <w:r w:rsidR="00C6093A">
        <w:rPr>
          <w:rFonts w:ascii="Perpetua" w:hAnsi="Perpetua"/>
          <w:i/>
          <w:iCs/>
        </w:rPr>
        <w:t xml:space="preserve"> </w:t>
      </w:r>
      <w:r w:rsidR="00C6093A">
        <w:rPr>
          <w:rFonts w:ascii="Perpetua" w:hAnsi="Perpetua"/>
        </w:rPr>
        <w:t>is</w:t>
      </w:r>
      <w:r>
        <w:rPr>
          <w:rFonts w:ascii="Perpetua" w:hAnsi="Perpetua"/>
        </w:rPr>
        <w:t>, in principle, capable of being applied to systems, including the bios</w:t>
      </w:r>
      <w:r w:rsidR="008D7E68">
        <w:rPr>
          <w:rFonts w:ascii="Perpetua" w:hAnsi="Perpetua"/>
        </w:rPr>
        <w:t>phere</w:t>
      </w:r>
      <w:r>
        <w:rPr>
          <w:rFonts w:ascii="Perpetua" w:hAnsi="Perpetua"/>
        </w:rPr>
        <w:t xml:space="preserve"> itself.</w:t>
      </w:r>
      <w:r>
        <w:rPr>
          <w:rStyle w:val="FootnoteReference"/>
          <w:rFonts w:ascii="Perpetua" w:hAnsi="Perpetua"/>
        </w:rPr>
        <w:footnoteReference w:id="8"/>
      </w:r>
      <w:r w:rsidRPr="004A5973">
        <w:rPr>
          <w:rFonts w:ascii="Perpetua" w:hAnsi="Perpetua"/>
          <w:i/>
          <w:iCs/>
        </w:rPr>
        <w:t xml:space="preserve"> </w:t>
      </w:r>
      <w:r w:rsidR="008D7E68">
        <w:rPr>
          <w:rFonts w:ascii="Perpetua" w:hAnsi="Perpetua"/>
        </w:rPr>
        <w:t>N</w:t>
      </w:r>
      <w:r>
        <w:rPr>
          <w:rFonts w:ascii="Perpetua" w:hAnsi="Perpetua"/>
        </w:rPr>
        <w:t xml:space="preserve">otice </w:t>
      </w:r>
      <w:r w:rsidR="008D7E68">
        <w:rPr>
          <w:rFonts w:ascii="Perpetua" w:hAnsi="Perpetua"/>
        </w:rPr>
        <w:t>too how</w:t>
      </w:r>
      <w:r>
        <w:rPr>
          <w:rFonts w:ascii="Perpetua" w:hAnsi="Perpetua"/>
        </w:rPr>
        <w:t xml:space="preserve"> Leopold bookends OBMC.</w:t>
      </w:r>
      <w:r w:rsidR="008D7E68">
        <w:rPr>
          <w:rStyle w:val="FootnoteReference"/>
          <w:rFonts w:ascii="Perpetua" w:hAnsi="Perpetua"/>
        </w:rPr>
        <w:footnoteReference w:id="9"/>
      </w:r>
    </w:p>
    <w:p w14:paraId="7C075D4A" w14:textId="77777777" w:rsidR="00DD7C70" w:rsidRDefault="00DD7C70" w:rsidP="00BE0B55">
      <w:pPr>
        <w:spacing w:line="480" w:lineRule="auto"/>
        <w:jc w:val="both"/>
        <w:rPr>
          <w:rFonts w:ascii="Perpetua" w:hAnsi="Perpetua"/>
        </w:rPr>
      </w:pPr>
    </w:p>
    <w:p w14:paraId="61AC45DE" w14:textId="77777777" w:rsidR="00DD7C70" w:rsidRDefault="00BE0B55" w:rsidP="00BE0B55">
      <w:pPr>
        <w:spacing w:line="480" w:lineRule="auto"/>
        <w:jc w:val="both"/>
        <w:rPr>
          <w:rFonts w:ascii="Perpetua" w:hAnsi="Perpetua"/>
        </w:rPr>
      </w:pPr>
      <w:r w:rsidRPr="004A5973">
        <w:rPr>
          <w:rFonts w:ascii="Perpetua" w:hAnsi="Perpetua"/>
        </w:rPr>
        <w:t>In what is a ‘preliminary inquiry’</w:t>
      </w:r>
      <w:r>
        <w:rPr>
          <w:rFonts w:ascii="Perpetua" w:hAnsi="Perpetua"/>
        </w:rPr>
        <w:t>, Goodpaster</w:t>
      </w:r>
      <w:r w:rsidRPr="004A5973">
        <w:rPr>
          <w:rFonts w:ascii="Perpetua" w:hAnsi="Perpetua"/>
        </w:rPr>
        <w:t xml:space="preserve">’s </w:t>
      </w:r>
      <w:r w:rsidR="00051FD0">
        <w:rPr>
          <w:rFonts w:ascii="Perpetua" w:hAnsi="Perpetua"/>
        </w:rPr>
        <w:t>sets out</w:t>
      </w:r>
      <w:r w:rsidRPr="004A5973">
        <w:rPr>
          <w:rFonts w:ascii="Perpetua" w:hAnsi="Perpetua"/>
        </w:rPr>
        <w:t xml:space="preserve"> to identify the necessary and sufficient conditions for moral </w:t>
      </w:r>
      <w:proofErr w:type="spellStart"/>
      <w:r w:rsidRPr="004A5973">
        <w:rPr>
          <w:rFonts w:ascii="Perpetua" w:hAnsi="Perpetua"/>
        </w:rPr>
        <w:t>considerability</w:t>
      </w:r>
      <w:proofErr w:type="spellEnd"/>
      <w:r w:rsidRPr="004A5973">
        <w:rPr>
          <w:rFonts w:ascii="Perpetua" w:hAnsi="Perpetua"/>
        </w:rPr>
        <w:t>.</w:t>
      </w:r>
      <w:r>
        <w:rPr>
          <w:rStyle w:val="FootnoteReference"/>
          <w:rFonts w:ascii="Perpetua" w:hAnsi="Perpetua"/>
        </w:rPr>
        <w:footnoteReference w:id="10"/>
      </w:r>
      <w:r w:rsidRPr="004A5973">
        <w:rPr>
          <w:rFonts w:ascii="Perpetua" w:hAnsi="Perpetua"/>
        </w:rPr>
        <w:t xml:space="preserve"> He does not seek to ‘defend a full-blown account of MC and MS’ but provide a ‘framework’.</w:t>
      </w:r>
      <w:r>
        <w:rPr>
          <w:rStyle w:val="FootnoteReference"/>
          <w:rFonts w:ascii="Perpetua" w:hAnsi="Perpetua"/>
        </w:rPr>
        <w:footnoteReference w:id="11"/>
      </w:r>
      <w:r w:rsidRPr="004A5973">
        <w:rPr>
          <w:rFonts w:ascii="Perpetua" w:hAnsi="Perpetua"/>
        </w:rPr>
        <w:t xml:space="preserve"> Equivalent to moral standing, an entity is ‘morally considerable’ if it ‘deserves moral consideration’.</w:t>
      </w:r>
      <w:r w:rsidRPr="004A5973">
        <w:rPr>
          <w:rStyle w:val="FootnoteReference"/>
          <w:rFonts w:ascii="Perpetua" w:hAnsi="Perpetua"/>
        </w:rPr>
        <w:footnoteReference w:id="12"/>
      </w:r>
      <w:r w:rsidRPr="004A5973">
        <w:rPr>
          <w:rFonts w:ascii="Perpetua" w:hAnsi="Perpetua"/>
        </w:rPr>
        <w:t xml:space="preserve"> An entity with MC needs to be considered when a rational moral agent is making</w:t>
      </w:r>
      <w:r>
        <w:rPr>
          <w:rFonts w:ascii="Perpetua" w:hAnsi="Perpetua"/>
        </w:rPr>
        <w:t xml:space="preserve"> </w:t>
      </w:r>
      <w:r w:rsidRPr="004A5973">
        <w:rPr>
          <w:rFonts w:ascii="Perpetua" w:hAnsi="Perpetua"/>
        </w:rPr>
        <w:t>a decision.</w:t>
      </w:r>
      <w:r>
        <w:rPr>
          <w:rFonts w:ascii="Perpetua" w:hAnsi="Perpetua"/>
        </w:rPr>
        <w:t xml:space="preserve"> Goodpaster will </w:t>
      </w:r>
      <w:r w:rsidRPr="004A5973">
        <w:rPr>
          <w:rFonts w:ascii="Perpetua" w:hAnsi="Perpetua"/>
        </w:rPr>
        <w:t xml:space="preserve">conclude that an entity has MC if it can be benefited. To be benefited, an entity needs to have interests/a good of its own. </w:t>
      </w:r>
      <w:r>
        <w:rPr>
          <w:rFonts w:ascii="Perpetua" w:hAnsi="Perpetua"/>
        </w:rPr>
        <w:t>That</w:t>
      </w:r>
      <w:r w:rsidRPr="004A5973">
        <w:rPr>
          <w:rFonts w:ascii="Perpetua" w:hAnsi="Perpetua"/>
        </w:rPr>
        <w:t xml:space="preserve"> requirement is satisfied by all living creatures. Thus, all living creatures have MC.  </w:t>
      </w:r>
    </w:p>
    <w:p w14:paraId="2EBE121E" w14:textId="77777777" w:rsidR="00DD7C70" w:rsidRDefault="00DD7C70" w:rsidP="00BE0B55">
      <w:pPr>
        <w:spacing w:line="480" w:lineRule="auto"/>
        <w:jc w:val="both"/>
        <w:rPr>
          <w:rFonts w:ascii="Perpetua" w:hAnsi="Perpetua"/>
        </w:rPr>
      </w:pPr>
    </w:p>
    <w:p w14:paraId="583B2C01" w14:textId="77777777" w:rsidR="00DD7C70" w:rsidRDefault="00BE0B55" w:rsidP="00BE0B55">
      <w:pPr>
        <w:spacing w:line="480" w:lineRule="auto"/>
        <w:jc w:val="both"/>
        <w:rPr>
          <w:rFonts w:ascii="Perpetua" w:hAnsi="Perpetua"/>
        </w:rPr>
      </w:pPr>
      <w:r>
        <w:rPr>
          <w:rFonts w:ascii="Perpetua" w:hAnsi="Perpetua"/>
        </w:rPr>
        <w:t xml:space="preserve">Goodpaster </w:t>
      </w:r>
      <w:r w:rsidR="00067958">
        <w:rPr>
          <w:rFonts w:ascii="Perpetua" w:hAnsi="Perpetua"/>
        </w:rPr>
        <w:t>draws attention</w:t>
      </w:r>
      <w:r w:rsidRPr="004A5973">
        <w:rPr>
          <w:rFonts w:ascii="Perpetua" w:hAnsi="Perpetua"/>
        </w:rPr>
        <w:t xml:space="preserve"> to </w:t>
      </w:r>
      <w:r>
        <w:rPr>
          <w:rFonts w:ascii="Perpetua" w:hAnsi="Perpetua"/>
        </w:rPr>
        <w:t xml:space="preserve">four </w:t>
      </w:r>
      <w:r w:rsidR="00067958">
        <w:rPr>
          <w:rFonts w:ascii="Perpetua" w:hAnsi="Perpetua"/>
        </w:rPr>
        <w:t xml:space="preserve">pertinent </w:t>
      </w:r>
      <w:r w:rsidRPr="004A5973">
        <w:rPr>
          <w:rFonts w:ascii="Perpetua" w:hAnsi="Perpetua"/>
        </w:rPr>
        <w:t>distinctions</w:t>
      </w:r>
      <w:r>
        <w:rPr>
          <w:rFonts w:ascii="Perpetua" w:hAnsi="Perpetua"/>
        </w:rPr>
        <w:t>.</w:t>
      </w:r>
      <w:r w:rsidRPr="004A5973">
        <w:rPr>
          <w:rFonts w:ascii="Perpetua" w:hAnsi="Perpetua"/>
        </w:rPr>
        <w:t xml:space="preserve"> </w:t>
      </w:r>
      <w:r>
        <w:rPr>
          <w:rFonts w:ascii="Perpetua" w:hAnsi="Perpetua"/>
        </w:rPr>
        <w:t>MC</w:t>
      </w:r>
      <w:r w:rsidRPr="004A5973">
        <w:rPr>
          <w:rFonts w:ascii="Perpetua" w:hAnsi="Perpetua"/>
        </w:rPr>
        <w:t xml:space="preserve"> is a less restrictive notion</w:t>
      </w:r>
      <w:r>
        <w:rPr>
          <w:rFonts w:ascii="Perpetua" w:hAnsi="Perpetua"/>
        </w:rPr>
        <w:t xml:space="preserve"> than </w:t>
      </w:r>
      <w:r w:rsidRPr="004A5973">
        <w:rPr>
          <w:rFonts w:ascii="Perpetua" w:hAnsi="Perpetua"/>
          <w:b/>
          <w:bCs/>
          <w:u w:val="single"/>
        </w:rPr>
        <w:t>rights</w:t>
      </w:r>
      <w:r>
        <w:rPr>
          <w:rFonts w:ascii="Perpetua" w:hAnsi="Perpetua"/>
        </w:rPr>
        <w:t>.</w:t>
      </w:r>
      <w:r>
        <w:rPr>
          <w:rStyle w:val="FootnoteReference"/>
          <w:rFonts w:ascii="Perpetua" w:hAnsi="Perpetua"/>
        </w:rPr>
        <w:footnoteReference w:id="13"/>
      </w:r>
      <w:r w:rsidRPr="004A5973">
        <w:rPr>
          <w:rFonts w:ascii="Perpetua" w:hAnsi="Perpetua"/>
        </w:rPr>
        <w:t xml:space="preserve"> MC is not limited to rights-holders. To</w:t>
      </w:r>
      <w:r>
        <w:rPr>
          <w:rFonts w:ascii="Perpetua" w:hAnsi="Perpetua"/>
        </w:rPr>
        <w:t xml:space="preserve"> be morally considerable</w:t>
      </w:r>
      <w:r w:rsidRPr="004A5973">
        <w:rPr>
          <w:rFonts w:ascii="Perpetua" w:hAnsi="Perpetua"/>
        </w:rPr>
        <w:t xml:space="preserve"> is to warrant respect</w:t>
      </w:r>
      <w:r>
        <w:rPr>
          <w:rFonts w:ascii="Perpetua" w:hAnsi="Perpetua"/>
        </w:rPr>
        <w:t>.</w:t>
      </w:r>
      <w:r>
        <w:rPr>
          <w:rStyle w:val="FootnoteReference"/>
          <w:rFonts w:ascii="Perpetua" w:hAnsi="Perpetua"/>
        </w:rPr>
        <w:footnoteReference w:id="14"/>
      </w:r>
      <w:r w:rsidRPr="004A5973">
        <w:rPr>
          <w:rFonts w:ascii="Perpetua" w:hAnsi="Perpetua"/>
        </w:rPr>
        <w:t xml:space="preserve"> MC is distinct </w:t>
      </w:r>
      <w:r w:rsidRPr="004A5973">
        <w:rPr>
          <w:rFonts w:ascii="Perpetua" w:hAnsi="Perpetua"/>
        </w:rPr>
        <w:lastRenderedPageBreak/>
        <w:t xml:space="preserve">from </w:t>
      </w:r>
      <w:r w:rsidRPr="00051FD0">
        <w:rPr>
          <w:rFonts w:ascii="Perpetua" w:hAnsi="Perpetua"/>
          <w:b/>
          <w:bCs/>
          <w:u w:val="single"/>
        </w:rPr>
        <w:t>Moral Significance</w:t>
      </w:r>
      <w:r w:rsidRPr="004A5973">
        <w:rPr>
          <w:rFonts w:ascii="Perpetua" w:hAnsi="Perpetua"/>
        </w:rPr>
        <w:t xml:space="preserve"> (MS). MS is concerned with comparative judgments of ‘weight’ when cases conflict.</w:t>
      </w:r>
      <w:r w:rsidRPr="004A5973">
        <w:rPr>
          <w:rStyle w:val="FootnoteReference"/>
          <w:rFonts w:ascii="Perpetua" w:hAnsi="Perpetua"/>
        </w:rPr>
        <w:footnoteReference w:id="15"/>
      </w:r>
      <w:r w:rsidRPr="004A5973">
        <w:rPr>
          <w:rFonts w:ascii="Perpetua" w:hAnsi="Perpetua"/>
        </w:rPr>
        <w:t xml:space="preserve"> </w:t>
      </w:r>
      <w:r w:rsidR="00051FD0">
        <w:rPr>
          <w:rFonts w:ascii="Perpetua" w:hAnsi="Perpetua"/>
        </w:rPr>
        <w:t>Consider</w:t>
      </w:r>
      <w:r>
        <w:rPr>
          <w:rFonts w:ascii="Perpetua" w:hAnsi="Perpetua"/>
        </w:rPr>
        <w:t xml:space="preserve"> the manoeuvre analogous to </w:t>
      </w:r>
      <w:r w:rsidR="00067958">
        <w:rPr>
          <w:rFonts w:ascii="Perpetua" w:hAnsi="Perpetua"/>
        </w:rPr>
        <w:t>the distinction made</w:t>
      </w:r>
      <w:r>
        <w:rPr>
          <w:rFonts w:ascii="Perpetua" w:hAnsi="Perpetua"/>
        </w:rPr>
        <w:t xml:space="preserve"> between equal consideration of interests/equal treatment.</w:t>
      </w:r>
      <w:r>
        <w:rPr>
          <w:rStyle w:val="FootnoteReference"/>
          <w:rFonts w:ascii="Perpetua" w:hAnsi="Perpetua"/>
        </w:rPr>
        <w:footnoteReference w:id="16"/>
      </w:r>
      <w:r>
        <w:rPr>
          <w:rFonts w:ascii="Perpetua" w:hAnsi="Perpetua"/>
        </w:rPr>
        <w:t xml:space="preserve"> Whether something matters morally</w:t>
      </w:r>
      <w:proofErr w:type="gramStart"/>
      <w:r>
        <w:rPr>
          <w:rFonts w:ascii="Perpetua" w:hAnsi="Perpetua"/>
        </w:rPr>
        <w:t xml:space="preserve">, in its own right, </w:t>
      </w:r>
      <w:r w:rsidRPr="004A5973">
        <w:rPr>
          <w:rFonts w:ascii="Perpetua" w:hAnsi="Perpetua"/>
          <w:i/>
          <w:iCs/>
        </w:rPr>
        <w:t>at</w:t>
      </w:r>
      <w:proofErr w:type="gramEnd"/>
      <w:r w:rsidRPr="004A5973">
        <w:rPr>
          <w:rFonts w:ascii="Perpetua" w:hAnsi="Perpetua"/>
          <w:i/>
          <w:iCs/>
        </w:rPr>
        <w:t xml:space="preserve"> all</w:t>
      </w:r>
      <w:r>
        <w:rPr>
          <w:rFonts w:ascii="Perpetua" w:hAnsi="Perpetua"/>
        </w:rPr>
        <w:t xml:space="preserve"> is a separate question from ‘how much’ something might matter. Implicitly, Goodpaster signposts t</w:t>
      </w:r>
      <w:r w:rsidRPr="004A5973">
        <w:rPr>
          <w:rFonts w:ascii="Perpetua" w:hAnsi="Perpetua"/>
        </w:rPr>
        <w:t>he possibility of</w:t>
      </w:r>
      <w:r w:rsidR="00067958">
        <w:rPr>
          <w:rFonts w:ascii="Perpetua" w:hAnsi="Perpetua"/>
        </w:rPr>
        <w:t xml:space="preserve"> a viable</w:t>
      </w:r>
      <w:r w:rsidR="008B36C7">
        <w:rPr>
          <w:rFonts w:ascii="Perpetua" w:hAnsi="Perpetua"/>
        </w:rPr>
        <w:t xml:space="preserve">, </w:t>
      </w:r>
      <w:r w:rsidR="00067958">
        <w:rPr>
          <w:rFonts w:ascii="Perpetua" w:hAnsi="Perpetua"/>
        </w:rPr>
        <w:t>non-egalitarian bioethics</w:t>
      </w:r>
      <w:r w:rsidRPr="004A5973">
        <w:rPr>
          <w:rFonts w:ascii="Perpetua" w:hAnsi="Perpetua"/>
        </w:rPr>
        <w:t xml:space="preserve">. He further </w:t>
      </w:r>
      <w:r w:rsidR="008B36C7">
        <w:rPr>
          <w:rFonts w:ascii="Perpetua" w:hAnsi="Perpetua"/>
        </w:rPr>
        <w:t>separates out</w:t>
      </w:r>
      <w:r w:rsidRPr="004A5973">
        <w:rPr>
          <w:rFonts w:ascii="Perpetua" w:hAnsi="Perpetua"/>
        </w:rPr>
        <w:t xml:space="preserve"> </w:t>
      </w:r>
      <w:r w:rsidRPr="00051FD0">
        <w:rPr>
          <w:rFonts w:ascii="Perpetua" w:hAnsi="Perpetua"/>
          <w:b/>
          <w:bCs/>
          <w:u w:val="single"/>
        </w:rPr>
        <w:t>intelligibility/normativity</w:t>
      </w:r>
      <w:r w:rsidRPr="004A5973">
        <w:rPr>
          <w:rFonts w:ascii="Perpetua" w:hAnsi="Perpetua"/>
        </w:rPr>
        <w:t xml:space="preserve"> and </w:t>
      </w:r>
      <w:r w:rsidRPr="00051FD0">
        <w:rPr>
          <w:rFonts w:ascii="Perpetua" w:hAnsi="Perpetua"/>
          <w:b/>
          <w:bCs/>
          <w:u w:val="single"/>
        </w:rPr>
        <w:t>regulative/operative</w:t>
      </w:r>
      <w:r w:rsidRPr="00051FD0">
        <w:rPr>
          <w:rFonts w:ascii="Perpetua" w:hAnsi="Perpetua"/>
        </w:rPr>
        <w:t xml:space="preserve"> </w:t>
      </w:r>
      <w:r w:rsidRPr="004A5973">
        <w:rPr>
          <w:rFonts w:ascii="Perpetua" w:hAnsi="Perpetua"/>
        </w:rPr>
        <w:t>MC.</w:t>
      </w:r>
      <w:r w:rsidRPr="004A5973">
        <w:rPr>
          <w:rStyle w:val="FootnoteReference"/>
          <w:rFonts w:ascii="Perpetua" w:hAnsi="Perpetua"/>
        </w:rPr>
        <w:footnoteReference w:id="17"/>
      </w:r>
      <w:r w:rsidRPr="004A5973">
        <w:rPr>
          <w:rFonts w:ascii="Perpetua" w:hAnsi="Perpetua"/>
        </w:rPr>
        <w:t xml:space="preserve">  MC is </w:t>
      </w:r>
      <w:r w:rsidRPr="00051FD0">
        <w:rPr>
          <w:rFonts w:ascii="Perpetua" w:hAnsi="Perpetua"/>
        </w:rPr>
        <w:t>‘operative’</w:t>
      </w:r>
      <w:r w:rsidRPr="004A5973">
        <w:rPr>
          <w:rFonts w:ascii="Perpetua" w:hAnsi="Perpetua"/>
          <w:i/>
          <w:iCs/>
        </w:rPr>
        <w:t xml:space="preserve"> </w:t>
      </w:r>
      <w:proofErr w:type="spellStart"/>
      <w:r w:rsidRPr="004A5973">
        <w:rPr>
          <w:rFonts w:ascii="Perpetua" w:hAnsi="Perpetua"/>
        </w:rPr>
        <w:t>iff</w:t>
      </w:r>
      <w:proofErr w:type="spellEnd"/>
      <w:r w:rsidRPr="004A5973">
        <w:rPr>
          <w:rFonts w:ascii="Perpetua" w:hAnsi="Perpetua"/>
        </w:rPr>
        <w:t xml:space="preserve"> it is ‘psychologically possible’ for the MC of X to be thoroughly acknowledged.</w:t>
      </w:r>
      <w:r>
        <w:rPr>
          <w:rStyle w:val="FootnoteReference"/>
          <w:rFonts w:ascii="Perpetua" w:hAnsi="Perpetua"/>
        </w:rPr>
        <w:footnoteReference w:id="18"/>
      </w:r>
      <w:r w:rsidRPr="004A5973">
        <w:rPr>
          <w:rFonts w:ascii="Perpetua" w:hAnsi="Perpetua"/>
        </w:rPr>
        <w:t xml:space="preserve"> </w:t>
      </w:r>
      <w:r w:rsidR="008B36C7">
        <w:rPr>
          <w:rFonts w:ascii="Perpetua" w:hAnsi="Perpetua"/>
        </w:rPr>
        <w:t xml:space="preserve">By </w:t>
      </w:r>
      <w:r w:rsidRPr="004A5973">
        <w:rPr>
          <w:rFonts w:ascii="Perpetua" w:hAnsi="Perpetua"/>
        </w:rPr>
        <w:t>recognis</w:t>
      </w:r>
      <w:r>
        <w:rPr>
          <w:rFonts w:ascii="Perpetua" w:hAnsi="Perpetua"/>
        </w:rPr>
        <w:t>ing</w:t>
      </w:r>
      <w:r w:rsidRPr="004A5973">
        <w:rPr>
          <w:rFonts w:ascii="Perpetua" w:hAnsi="Perpetua"/>
        </w:rPr>
        <w:t xml:space="preserve"> that humans have a (variable) threshold </w:t>
      </w:r>
      <w:r w:rsidR="008B36C7">
        <w:rPr>
          <w:rFonts w:ascii="Perpetua" w:hAnsi="Perpetua"/>
        </w:rPr>
        <w:t>for</w:t>
      </w:r>
      <w:r w:rsidRPr="004A5973">
        <w:rPr>
          <w:rFonts w:ascii="Perpetua" w:hAnsi="Perpetua"/>
        </w:rPr>
        <w:t xml:space="preserve"> moral sensitivity </w:t>
      </w:r>
      <w:r w:rsidR="008B36C7">
        <w:rPr>
          <w:rFonts w:ascii="Perpetua" w:hAnsi="Perpetua"/>
        </w:rPr>
        <w:t>and distinguishing the possible</w:t>
      </w:r>
      <w:r>
        <w:rPr>
          <w:rFonts w:ascii="Perpetua" w:hAnsi="Perpetua"/>
        </w:rPr>
        <w:t>, Goodpaster (</w:t>
      </w:r>
      <w:r w:rsidR="008B36C7">
        <w:rPr>
          <w:rFonts w:ascii="Perpetua" w:hAnsi="Perpetua"/>
        </w:rPr>
        <w:t>setting out</w:t>
      </w:r>
      <w:r>
        <w:rPr>
          <w:rFonts w:ascii="Perpetua" w:hAnsi="Perpetua"/>
        </w:rPr>
        <w:t xml:space="preserve"> a regulative ideal) anticipated the demandingness critique.</w:t>
      </w:r>
    </w:p>
    <w:p w14:paraId="27CD5C68" w14:textId="77777777" w:rsidR="00DD7C70" w:rsidRDefault="00DD7C70" w:rsidP="00BE0B55">
      <w:pPr>
        <w:spacing w:line="480" w:lineRule="auto"/>
        <w:jc w:val="both"/>
        <w:rPr>
          <w:rFonts w:ascii="Perpetua" w:hAnsi="Perpetua"/>
        </w:rPr>
      </w:pPr>
    </w:p>
    <w:p w14:paraId="4059B9CB" w14:textId="35E53E3F" w:rsidR="00BE0B55" w:rsidRPr="004A5973" w:rsidRDefault="008B36C7" w:rsidP="00BE0B55">
      <w:pPr>
        <w:spacing w:line="480" w:lineRule="auto"/>
        <w:jc w:val="both"/>
        <w:rPr>
          <w:rFonts w:ascii="Perpetua" w:hAnsi="Perpetua"/>
        </w:rPr>
      </w:pPr>
      <w:r>
        <w:rPr>
          <w:rFonts w:ascii="Perpetua" w:hAnsi="Perpetua"/>
        </w:rPr>
        <w:t>Next</w:t>
      </w:r>
      <w:r w:rsidR="00BE0B55">
        <w:rPr>
          <w:rFonts w:ascii="Perpetua" w:hAnsi="Perpetua"/>
        </w:rPr>
        <w:t xml:space="preserve">, </w:t>
      </w:r>
      <w:r w:rsidR="00BE0B55" w:rsidRPr="004A5973">
        <w:rPr>
          <w:rFonts w:ascii="Perpetua" w:hAnsi="Perpetua"/>
        </w:rPr>
        <w:t xml:space="preserve">Goodpaster </w:t>
      </w:r>
      <w:r w:rsidR="00BE0B55">
        <w:rPr>
          <w:rFonts w:ascii="Perpetua" w:hAnsi="Perpetua"/>
        </w:rPr>
        <w:t xml:space="preserve">sorts through existing criterion beginning with </w:t>
      </w:r>
      <w:r w:rsidR="00BE0B55" w:rsidRPr="004A5973">
        <w:rPr>
          <w:rFonts w:ascii="Perpetua" w:hAnsi="Perpetua"/>
        </w:rPr>
        <w:t>the anthropocentric criterion associated with Kant</w:t>
      </w:r>
      <w:r w:rsidR="00BE0B55">
        <w:rPr>
          <w:rFonts w:ascii="Perpetua" w:hAnsi="Perpetua"/>
        </w:rPr>
        <w:t>. Rationality is not even adequate for humankind.</w:t>
      </w:r>
      <w:r w:rsidR="00BE0B55" w:rsidRPr="004A5973">
        <w:rPr>
          <w:rFonts w:ascii="Perpetua" w:hAnsi="Perpetua"/>
        </w:rPr>
        <w:t xml:space="preserve"> The disjunctive fix of potentiality fares little better.</w:t>
      </w:r>
      <w:r w:rsidR="00BE0B55" w:rsidRPr="004A5973">
        <w:rPr>
          <w:rStyle w:val="FootnoteReference"/>
          <w:rFonts w:ascii="Perpetua" w:hAnsi="Perpetua"/>
        </w:rPr>
        <w:footnoteReference w:id="19"/>
      </w:r>
      <w:r w:rsidR="00BE0B55" w:rsidRPr="004A5973">
        <w:rPr>
          <w:rFonts w:ascii="Perpetua" w:hAnsi="Perpetua"/>
        </w:rPr>
        <w:t xml:space="preserve"> </w:t>
      </w:r>
      <w:r w:rsidR="00BE0B55">
        <w:rPr>
          <w:rFonts w:ascii="Perpetua" w:hAnsi="Perpetua"/>
        </w:rPr>
        <w:t>Goodpaster</w:t>
      </w:r>
      <w:r w:rsidR="00BE0B55" w:rsidRPr="004A5973">
        <w:rPr>
          <w:rFonts w:ascii="Perpetua" w:hAnsi="Perpetua"/>
        </w:rPr>
        <w:t xml:space="preserve"> </w:t>
      </w:r>
      <w:r w:rsidR="00BE0B55">
        <w:rPr>
          <w:rFonts w:ascii="Perpetua" w:hAnsi="Perpetua"/>
        </w:rPr>
        <w:t xml:space="preserve">does not emphasise </w:t>
      </w:r>
      <w:r w:rsidR="00BE0B55" w:rsidRPr="004A5973">
        <w:rPr>
          <w:rFonts w:ascii="Perpetua" w:hAnsi="Perpetua"/>
        </w:rPr>
        <w:t xml:space="preserve">the </w:t>
      </w:r>
      <w:r w:rsidR="00BE0B55">
        <w:rPr>
          <w:rFonts w:ascii="Perpetua" w:hAnsi="Perpetua"/>
        </w:rPr>
        <w:t>obvious inhumanity of reason’s circumference</w:t>
      </w:r>
      <w:r w:rsidR="00C6093A">
        <w:rPr>
          <w:rFonts w:ascii="Perpetua" w:hAnsi="Perpetua"/>
        </w:rPr>
        <w:t xml:space="preserve">. He </w:t>
      </w:r>
      <w:r w:rsidR="00BE0B55">
        <w:rPr>
          <w:rFonts w:ascii="Perpetua" w:hAnsi="Perpetua"/>
        </w:rPr>
        <w:t>underscores the</w:t>
      </w:r>
      <w:r w:rsidR="00BE0B55" w:rsidRPr="004A5973">
        <w:rPr>
          <w:rFonts w:ascii="Perpetua" w:hAnsi="Perpetua"/>
        </w:rPr>
        <w:t xml:space="preserve"> fundamental intellectual erro</w:t>
      </w:r>
      <w:r w:rsidR="00BE0B55">
        <w:rPr>
          <w:rFonts w:ascii="Perpetua" w:hAnsi="Perpetua"/>
        </w:rPr>
        <w:t>r</w:t>
      </w:r>
      <w:r w:rsidR="00BE0B55" w:rsidRPr="004A5973">
        <w:rPr>
          <w:rFonts w:ascii="Perpetua" w:hAnsi="Perpetua"/>
        </w:rPr>
        <w:t>.</w:t>
      </w:r>
      <w:r w:rsidR="00BE0B55">
        <w:rPr>
          <w:rFonts w:ascii="Perpetua" w:hAnsi="Perpetua"/>
        </w:rPr>
        <w:t xml:space="preserve"> </w:t>
      </w:r>
      <w:r w:rsidR="00BE0B55" w:rsidRPr="004A5973">
        <w:rPr>
          <w:rFonts w:ascii="Perpetua" w:hAnsi="Perpetua"/>
        </w:rPr>
        <w:t xml:space="preserve">Rationality may be a plausible candidate for </w:t>
      </w:r>
      <w:r w:rsidR="00BE0B55" w:rsidRPr="004A5973">
        <w:rPr>
          <w:rFonts w:ascii="Perpetua" w:hAnsi="Perpetua"/>
          <w:i/>
          <w:iCs/>
        </w:rPr>
        <w:t>responsibility</w:t>
      </w:r>
      <w:r w:rsidR="00BE0B55" w:rsidRPr="004A5973">
        <w:rPr>
          <w:rFonts w:ascii="Perpetua" w:hAnsi="Perpetua"/>
        </w:rPr>
        <w:t xml:space="preserve"> but the idea that such criterion should also demarcate the limits of </w:t>
      </w:r>
      <w:proofErr w:type="spellStart"/>
      <w:r w:rsidR="00BE0B55" w:rsidRPr="004A5973">
        <w:rPr>
          <w:rFonts w:ascii="Perpetua" w:hAnsi="Perpetua"/>
          <w:i/>
          <w:iCs/>
        </w:rPr>
        <w:t>considerability</w:t>
      </w:r>
      <w:proofErr w:type="spellEnd"/>
      <w:r w:rsidR="00BE0B55" w:rsidRPr="004A5973">
        <w:rPr>
          <w:rFonts w:ascii="Perpetua" w:hAnsi="Perpetua"/>
        </w:rPr>
        <w:t xml:space="preserve"> does not follow.</w:t>
      </w:r>
      <w:r w:rsidR="00BE0B55" w:rsidRPr="004A5973">
        <w:rPr>
          <w:rStyle w:val="FootnoteReference"/>
          <w:rFonts w:ascii="Perpetua" w:hAnsi="Perpetua"/>
        </w:rPr>
        <w:footnoteReference w:id="20"/>
      </w:r>
      <w:r w:rsidR="00BE0B55" w:rsidRPr="004A5973">
        <w:rPr>
          <w:rFonts w:ascii="Perpetua" w:hAnsi="Perpetua"/>
        </w:rPr>
        <w:t xml:space="preserve"> </w:t>
      </w:r>
      <w:r w:rsidR="00BE0B55">
        <w:rPr>
          <w:rFonts w:ascii="Perpetua" w:hAnsi="Perpetua"/>
        </w:rPr>
        <w:t xml:space="preserve">Individual humans may be our paradigms of </w:t>
      </w:r>
      <w:proofErr w:type="gramStart"/>
      <w:r w:rsidR="00BE0B55">
        <w:rPr>
          <w:rFonts w:ascii="Perpetua" w:hAnsi="Perpetua"/>
        </w:rPr>
        <w:t>MC</w:t>
      </w:r>
      <w:proofErr w:type="gramEnd"/>
      <w:r w:rsidR="00BE0B55">
        <w:rPr>
          <w:rFonts w:ascii="Perpetua" w:hAnsi="Perpetua"/>
        </w:rPr>
        <w:t xml:space="preserve"> but they do not exhaust the complex universe of MC.</w:t>
      </w:r>
      <w:r w:rsidR="00BE0B55">
        <w:rPr>
          <w:rStyle w:val="FootnoteReference"/>
          <w:rFonts w:ascii="Perpetua" w:hAnsi="Perpetua"/>
        </w:rPr>
        <w:footnoteReference w:id="21"/>
      </w:r>
      <w:r w:rsidR="00BE0B55">
        <w:rPr>
          <w:rFonts w:ascii="Perpetua" w:hAnsi="Perpetua"/>
        </w:rPr>
        <w:t xml:space="preserve"> </w:t>
      </w:r>
    </w:p>
    <w:p w14:paraId="4D3988D2" w14:textId="77777777" w:rsidR="00BE0B55" w:rsidRDefault="00BE0B55" w:rsidP="00BE0B55">
      <w:pPr>
        <w:spacing w:line="480" w:lineRule="auto"/>
        <w:jc w:val="both"/>
        <w:rPr>
          <w:rFonts w:ascii="Perpetua" w:hAnsi="Perpetua"/>
        </w:rPr>
      </w:pPr>
    </w:p>
    <w:p w14:paraId="6BAD35D6" w14:textId="77777777" w:rsidR="00DD7C70" w:rsidRDefault="00BE0B55" w:rsidP="00BE0B55">
      <w:pPr>
        <w:spacing w:line="480" w:lineRule="auto"/>
        <w:jc w:val="both"/>
        <w:rPr>
          <w:rFonts w:ascii="Perpetua" w:hAnsi="Perpetua"/>
        </w:rPr>
      </w:pPr>
      <w:r w:rsidRPr="004A5973">
        <w:rPr>
          <w:rFonts w:ascii="Perpetua" w:hAnsi="Perpetua"/>
        </w:rPr>
        <w:t xml:space="preserve">After </w:t>
      </w:r>
      <w:r>
        <w:rPr>
          <w:rFonts w:ascii="Perpetua" w:hAnsi="Perpetua"/>
        </w:rPr>
        <w:t xml:space="preserve">dispatching </w:t>
      </w:r>
      <w:r w:rsidRPr="004A5973">
        <w:rPr>
          <w:rFonts w:ascii="Perpetua" w:hAnsi="Perpetua"/>
        </w:rPr>
        <w:t xml:space="preserve">common enemy, </w:t>
      </w:r>
      <w:r>
        <w:rPr>
          <w:rFonts w:ascii="Perpetua" w:hAnsi="Perpetua"/>
        </w:rPr>
        <w:t>Goodpaster</w:t>
      </w:r>
      <w:r w:rsidRPr="004A5973">
        <w:rPr>
          <w:rFonts w:ascii="Perpetua" w:hAnsi="Perpetua"/>
        </w:rPr>
        <w:t xml:space="preserve"> moves onto </w:t>
      </w:r>
      <w:proofErr w:type="spellStart"/>
      <w:r w:rsidRPr="004A5973">
        <w:rPr>
          <w:rFonts w:ascii="Perpetua" w:hAnsi="Perpetua"/>
        </w:rPr>
        <w:t>sentientism</w:t>
      </w:r>
      <w:proofErr w:type="spellEnd"/>
      <w:r w:rsidRPr="004A5973">
        <w:rPr>
          <w:rFonts w:ascii="Perpetua" w:hAnsi="Perpetua"/>
        </w:rPr>
        <w:t>.</w:t>
      </w:r>
      <w:r>
        <w:rPr>
          <w:rStyle w:val="FootnoteReference"/>
          <w:rFonts w:ascii="Perpetua" w:hAnsi="Perpetua"/>
        </w:rPr>
        <w:footnoteReference w:id="22"/>
      </w:r>
      <w:r w:rsidRPr="004A5973">
        <w:rPr>
          <w:rFonts w:ascii="Perpetua" w:hAnsi="Perpetua"/>
        </w:rPr>
        <w:t xml:space="preserve"> He finds no difficulty in the idea that pain/suffering/sentience be a sufficient condition. What he cannot understand is </w:t>
      </w:r>
      <w:r>
        <w:rPr>
          <w:rFonts w:ascii="Perpetua" w:hAnsi="Perpetua"/>
        </w:rPr>
        <w:t xml:space="preserve">their </w:t>
      </w:r>
      <w:r w:rsidRPr="004A5973">
        <w:rPr>
          <w:rFonts w:ascii="Perpetua" w:hAnsi="Perpetua"/>
        </w:rPr>
        <w:t xml:space="preserve">reasons </w:t>
      </w:r>
      <w:r w:rsidRPr="004A5973">
        <w:rPr>
          <w:rFonts w:ascii="Perpetua" w:hAnsi="Perpetua"/>
        </w:rPr>
        <w:lastRenderedPageBreak/>
        <w:t xml:space="preserve">for </w:t>
      </w:r>
      <w:r>
        <w:rPr>
          <w:rFonts w:ascii="Perpetua" w:hAnsi="Perpetua"/>
        </w:rPr>
        <w:t>thinking it</w:t>
      </w:r>
      <w:r w:rsidRPr="004A5973">
        <w:rPr>
          <w:rFonts w:ascii="Perpetua" w:hAnsi="Perpetua"/>
        </w:rPr>
        <w:t xml:space="preserve"> necessary. He points out a major failing </w:t>
      </w:r>
      <w:r w:rsidR="009422E2">
        <w:rPr>
          <w:rFonts w:ascii="Perpetua" w:hAnsi="Perpetua"/>
        </w:rPr>
        <w:t>easily</w:t>
      </w:r>
      <w:r>
        <w:rPr>
          <w:rFonts w:ascii="Perpetua" w:hAnsi="Perpetua"/>
        </w:rPr>
        <w:t xml:space="preserve"> missed</w:t>
      </w:r>
      <w:r w:rsidRPr="004A5973">
        <w:rPr>
          <w:rFonts w:ascii="Perpetua" w:hAnsi="Perpetua"/>
        </w:rPr>
        <w:t xml:space="preserve">. Very little argument is offered for </w:t>
      </w:r>
      <w:r w:rsidRPr="004A5973">
        <w:rPr>
          <w:rFonts w:ascii="Perpetua" w:hAnsi="Perpetua"/>
          <w:i/>
          <w:iCs/>
        </w:rPr>
        <w:t>stopping</w:t>
      </w:r>
      <w:r w:rsidRPr="004A5973">
        <w:rPr>
          <w:rFonts w:ascii="Perpetua" w:hAnsi="Perpetua"/>
        </w:rPr>
        <w:t xml:space="preserve"> at sentience.</w:t>
      </w:r>
      <w:r>
        <w:rPr>
          <w:rStyle w:val="FootnoteReference"/>
          <w:rFonts w:ascii="Perpetua" w:hAnsi="Perpetua"/>
        </w:rPr>
        <w:footnoteReference w:id="23"/>
      </w:r>
      <w:r w:rsidRPr="004A5973">
        <w:rPr>
          <w:rFonts w:ascii="Perpetua" w:hAnsi="Perpetua"/>
        </w:rPr>
        <w:t xml:space="preserve"> It is simply taken as obvious that</w:t>
      </w:r>
      <w:r>
        <w:rPr>
          <w:rFonts w:ascii="Perpetua" w:hAnsi="Perpetua"/>
        </w:rPr>
        <w:t>, per Singer,</w:t>
      </w:r>
      <w:r w:rsidRPr="004A5973">
        <w:rPr>
          <w:rFonts w:ascii="Perpetua" w:hAnsi="Perpetua"/>
        </w:rPr>
        <w:t xml:space="preserve"> ‘there is nothing to be taken into account’.</w:t>
      </w:r>
      <w:r>
        <w:rPr>
          <w:rStyle w:val="FootnoteReference"/>
          <w:rFonts w:ascii="Perpetua" w:hAnsi="Perpetua"/>
        </w:rPr>
        <w:footnoteReference w:id="24"/>
      </w:r>
      <w:r w:rsidRPr="004A5973">
        <w:rPr>
          <w:rFonts w:ascii="Perpetua" w:hAnsi="Perpetua"/>
        </w:rPr>
        <w:t xml:space="preserve">  </w:t>
      </w:r>
      <w:r>
        <w:rPr>
          <w:rFonts w:ascii="Perpetua" w:hAnsi="Perpetua"/>
        </w:rPr>
        <w:t xml:space="preserve">Goodpaster suggests that there has </w:t>
      </w:r>
      <w:r w:rsidR="009422E2">
        <w:rPr>
          <w:rFonts w:ascii="Perpetua" w:hAnsi="Perpetua"/>
        </w:rPr>
        <w:t xml:space="preserve">still </w:t>
      </w:r>
      <w:r>
        <w:rPr>
          <w:rFonts w:ascii="Perpetua" w:hAnsi="Perpetua"/>
        </w:rPr>
        <w:t>been reluctance to look beyond sentience</w:t>
      </w:r>
      <w:r w:rsidR="009422E2">
        <w:rPr>
          <w:rFonts w:ascii="Perpetua" w:hAnsi="Perpetua"/>
        </w:rPr>
        <w:t xml:space="preserve"> </w:t>
      </w:r>
      <w:r>
        <w:rPr>
          <w:rFonts w:ascii="Perpetua" w:hAnsi="Perpetua"/>
        </w:rPr>
        <w:t>because we</w:t>
      </w:r>
      <w:r w:rsidRPr="004A5973">
        <w:rPr>
          <w:rFonts w:ascii="Perpetua" w:hAnsi="Perpetua"/>
        </w:rPr>
        <w:t xml:space="preserve"> </w:t>
      </w:r>
      <w:r>
        <w:rPr>
          <w:rFonts w:ascii="Perpetua" w:hAnsi="Perpetua"/>
        </w:rPr>
        <w:t xml:space="preserve">are inclined to </w:t>
      </w:r>
      <w:r w:rsidRPr="004A5973">
        <w:rPr>
          <w:rFonts w:ascii="Perpetua" w:hAnsi="Perpetua"/>
        </w:rPr>
        <w:t xml:space="preserve">limit </w:t>
      </w:r>
      <w:r>
        <w:rPr>
          <w:rFonts w:ascii="Perpetua" w:hAnsi="Perpetua"/>
        </w:rPr>
        <w:t xml:space="preserve">the number of </w:t>
      </w:r>
      <w:r w:rsidRPr="004A5973">
        <w:rPr>
          <w:rFonts w:ascii="Perpetua" w:hAnsi="Perpetua"/>
        </w:rPr>
        <w:t xml:space="preserve">beneficiaries </w:t>
      </w:r>
      <w:r>
        <w:rPr>
          <w:rFonts w:ascii="Perpetua" w:hAnsi="Perpetua"/>
        </w:rPr>
        <w:t>and because of</w:t>
      </w:r>
      <w:r w:rsidRPr="004A5973">
        <w:rPr>
          <w:rFonts w:ascii="Perpetua" w:hAnsi="Perpetua"/>
        </w:rPr>
        <w:t xml:space="preserve"> the prevalence of hedonistic/quasi-hedonistic value theories.</w:t>
      </w:r>
      <w:r>
        <w:rPr>
          <w:rStyle w:val="FootnoteReference"/>
          <w:rFonts w:ascii="Perpetua" w:hAnsi="Perpetua"/>
        </w:rPr>
        <w:footnoteReference w:id="25"/>
      </w:r>
      <w:r w:rsidRPr="004A5973">
        <w:rPr>
          <w:rFonts w:ascii="Perpetua" w:hAnsi="Perpetua"/>
        </w:rPr>
        <w:t xml:space="preserve"> </w:t>
      </w:r>
    </w:p>
    <w:p w14:paraId="1C5377D8" w14:textId="77777777" w:rsidR="00DD7C70" w:rsidRDefault="00DD7C70" w:rsidP="00BE0B55">
      <w:pPr>
        <w:spacing w:line="480" w:lineRule="auto"/>
        <w:jc w:val="both"/>
        <w:rPr>
          <w:rFonts w:ascii="Perpetua" w:hAnsi="Perpetua"/>
        </w:rPr>
      </w:pPr>
    </w:p>
    <w:p w14:paraId="6CD6D8A5" w14:textId="2C78F6B6" w:rsidR="00DD7C70" w:rsidRDefault="00BE0B55" w:rsidP="00BE0B55">
      <w:pPr>
        <w:spacing w:line="480" w:lineRule="auto"/>
        <w:jc w:val="both"/>
        <w:rPr>
          <w:rFonts w:ascii="Perpetua" w:hAnsi="Perpetua"/>
        </w:rPr>
      </w:pPr>
      <w:r>
        <w:rPr>
          <w:rFonts w:ascii="Perpetua" w:hAnsi="Perpetua"/>
        </w:rPr>
        <w:t>There is</w:t>
      </w:r>
      <w:r w:rsidR="009422E2">
        <w:rPr>
          <w:rFonts w:ascii="Perpetua" w:hAnsi="Perpetua"/>
        </w:rPr>
        <w:t>, however,</w:t>
      </w:r>
      <w:r>
        <w:rPr>
          <w:rFonts w:ascii="Perpetua" w:hAnsi="Perpetua"/>
        </w:rPr>
        <w:t xml:space="preserve"> something to </w:t>
      </w:r>
      <w:proofErr w:type="gramStart"/>
      <w:r>
        <w:rPr>
          <w:rFonts w:ascii="Perpetua" w:hAnsi="Perpetua"/>
        </w:rPr>
        <w:t>take into account</w:t>
      </w:r>
      <w:proofErr w:type="gramEnd"/>
      <w:r>
        <w:rPr>
          <w:rFonts w:ascii="Perpetua" w:hAnsi="Perpetua"/>
        </w:rPr>
        <w:t xml:space="preserve">. It is life. </w:t>
      </w:r>
      <w:r w:rsidRPr="004A5973">
        <w:rPr>
          <w:rFonts w:ascii="Perpetua" w:hAnsi="Perpetua"/>
        </w:rPr>
        <w:t>Sentience</w:t>
      </w:r>
      <w:r>
        <w:rPr>
          <w:rFonts w:ascii="Perpetua" w:hAnsi="Perpetua"/>
        </w:rPr>
        <w:t xml:space="preserve"> </w:t>
      </w:r>
      <w:r w:rsidRPr="004A5973">
        <w:rPr>
          <w:rFonts w:ascii="Perpetua" w:hAnsi="Perpetua"/>
        </w:rPr>
        <w:t xml:space="preserve">is </w:t>
      </w:r>
      <w:r>
        <w:rPr>
          <w:rFonts w:ascii="Perpetua" w:hAnsi="Perpetua"/>
        </w:rPr>
        <w:t>an</w:t>
      </w:r>
      <w:r w:rsidRPr="004A5973">
        <w:rPr>
          <w:rFonts w:ascii="Perpetua" w:hAnsi="Perpetua"/>
        </w:rPr>
        <w:t xml:space="preserve"> </w:t>
      </w:r>
      <w:r>
        <w:rPr>
          <w:rFonts w:ascii="Perpetua" w:hAnsi="Perpetua"/>
        </w:rPr>
        <w:t xml:space="preserve">adaptative characteristic </w:t>
      </w:r>
      <w:r w:rsidR="00C6093A">
        <w:rPr>
          <w:rFonts w:ascii="Perpetua" w:hAnsi="Perpetua"/>
        </w:rPr>
        <w:t xml:space="preserve">that </w:t>
      </w:r>
      <w:r>
        <w:rPr>
          <w:rFonts w:ascii="Perpetua" w:hAnsi="Perpetua"/>
        </w:rPr>
        <w:t>protect</w:t>
      </w:r>
      <w:r w:rsidR="00C6093A">
        <w:rPr>
          <w:rFonts w:ascii="Perpetua" w:hAnsi="Perpetua"/>
        </w:rPr>
        <w:t>s</w:t>
      </w:r>
      <w:r>
        <w:rPr>
          <w:rFonts w:ascii="Perpetua" w:hAnsi="Perpetua"/>
        </w:rPr>
        <w:t xml:space="preserve"> what</w:t>
      </w:r>
      <w:r w:rsidRPr="004A5973">
        <w:rPr>
          <w:rFonts w:ascii="Perpetua" w:hAnsi="Perpetua"/>
        </w:rPr>
        <w:t xml:space="preserve"> is primary</w:t>
      </w:r>
      <w:r w:rsidR="009422E2">
        <w:rPr>
          <w:rFonts w:ascii="Perpetua" w:hAnsi="Perpetua"/>
        </w:rPr>
        <w:t xml:space="preserve"> </w:t>
      </w:r>
      <w:r w:rsidRPr="004A5973">
        <w:rPr>
          <w:rFonts w:ascii="Perpetua" w:hAnsi="Perpetua"/>
        </w:rPr>
        <w:t xml:space="preserve">which is life. </w:t>
      </w:r>
    </w:p>
    <w:p w14:paraId="4777160F" w14:textId="77777777" w:rsidR="00DD7C70" w:rsidRDefault="00DD7C70" w:rsidP="00BE0B55">
      <w:pPr>
        <w:spacing w:line="480" w:lineRule="auto"/>
        <w:jc w:val="both"/>
        <w:rPr>
          <w:rFonts w:ascii="Perpetua" w:hAnsi="Perpetua"/>
        </w:rPr>
      </w:pPr>
    </w:p>
    <w:p w14:paraId="4457570E" w14:textId="76F54C37" w:rsidR="00BE0B55" w:rsidRDefault="00BE0B55" w:rsidP="00BE0B55">
      <w:pPr>
        <w:spacing w:line="480" w:lineRule="auto"/>
        <w:jc w:val="both"/>
        <w:rPr>
          <w:rFonts w:ascii="Perpetua" w:hAnsi="Perpetua"/>
        </w:rPr>
      </w:pPr>
      <w:r>
        <w:rPr>
          <w:rFonts w:ascii="Perpetua" w:hAnsi="Perpetua"/>
        </w:rPr>
        <w:t>Having carefully</w:t>
      </w:r>
      <w:r w:rsidRPr="004A5973">
        <w:rPr>
          <w:rFonts w:ascii="Perpetua" w:hAnsi="Perpetua"/>
        </w:rPr>
        <w:t xml:space="preserve"> distinguish</w:t>
      </w:r>
      <w:r>
        <w:rPr>
          <w:rFonts w:ascii="Perpetua" w:hAnsi="Perpetua"/>
        </w:rPr>
        <w:t>ed</w:t>
      </w:r>
      <w:r w:rsidRPr="004A5973">
        <w:rPr>
          <w:rFonts w:ascii="Perpetua" w:hAnsi="Perpetua"/>
        </w:rPr>
        <w:t xml:space="preserve"> rights from </w:t>
      </w:r>
      <w:proofErr w:type="spellStart"/>
      <w:r w:rsidRPr="004A5973">
        <w:rPr>
          <w:rFonts w:ascii="Perpetua" w:hAnsi="Perpetua"/>
        </w:rPr>
        <w:t>considerability</w:t>
      </w:r>
      <w:proofErr w:type="spellEnd"/>
      <w:r w:rsidRPr="004A5973">
        <w:rPr>
          <w:rFonts w:ascii="Perpetua" w:hAnsi="Perpetua"/>
        </w:rPr>
        <w:t xml:space="preserve">, Goodpaster boldly suborns Joseph Feinberg </w:t>
      </w:r>
      <w:r>
        <w:rPr>
          <w:rFonts w:ascii="Perpetua" w:hAnsi="Perpetua"/>
        </w:rPr>
        <w:t>for the</w:t>
      </w:r>
      <w:r w:rsidRPr="004A5973">
        <w:rPr>
          <w:rFonts w:ascii="Perpetua" w:hAnsi="Perpetua"/>
        </w:rPr>
        <w:t xml:space="preserve"> ‘clearest and most explicit case for…restrictive criterion’.</w:t>
      </w:r>
      <w:r w:rsidRPr="004A5973">
        <w:rPr>
          <w:rStyle w:val="FootnoteReference"/>
          <w:rFonts w:ascii="Perpetua" w:hAnsi="Perpetua"/>
        </w:rPr>
        <w:footnoteReference w:id="26"/>
      </w:r>
      <w:r w:rsidRPr="004A5973">
        <w:rPr>
          <w:rFonts w:ascii="Perpetua" w:hAnsi="Perpetua"/>
        </w:rPr>
        <w:t xml:space="preserve">  Simultaneously, he </w:t>
      </w:r>
      <w:r>
        <w:rPr>
          <w:rFonts w:ascii="Perpetua" w:hAnsi="Perpetua"/>
        </w:rPr>
        <w:t>repurposes</w:t>
      </w:r>
      <w:r w:rsidRPr="004A5973">
        <w:rPr>
          <w:rFonts w:ascii="Perpetua" w:hAnsi="Perpetua"/>
        </w:rPr>
        <w:t xml:space="preserve"> Feinberg’s </w:t>
      </w:r>
      <w:r>
        <w:rPr>
          <w:rFonts w:ascii="Perpetua" w:hAnsi="Perpetua"/>
        </w:rPr>
        <w:t>argument</w:t>
      </w:r>
      <w:r w:rsidRPr="004A5973">
        <w:rPr>
          <w:rFonts w:ascii="Perpetua" w:hAnsi="Perpetua"/>
        </w:rPr>
        <w:t xml:space="preserve"> whilst subjecting it to damaging criticism. He agrees with Feinberg that ‘interests’/’a good of its own’ is the appropriate test. </w:t>
      </w:r>
      <w:r>
        <w:rPr>
          <w:rFonts w:ascii="Perpetua" w:hAnsi="Perpetua"/>
        </w:rPr>
        <w:t xml:space="preserve">Recognising the connection between beneficence and morality, Goodpaster </w:t>
      </w:r>
      <w:r w:rsidRPr="004A5973">
        <w:rPr>
          <w:rFonts w:ascii="Perpetua" w:hAnsi="Perpetua"/>
        </w:rPr>
        <w:t xml:space="preserve">agrees that only beings capable of being </w:t>
      </w:r>
      <w:r>
        <w:rPr>
          <w:rFonts w:ascii="Perpetua" w:hAnsi="Perpetua"/>
        </w:rPr>
        <w:t>benefited</w:t>
      </w:r>
      <w:r w:rsidRPr="004A5973">
        <w:rPr>
          <w:rFonts w:ascii="Perpetua" w:hAnsi="Perpetua"/>
        </w:rPr>
        <w:t xml:space="preserve"> can deserve MC.</w:t>
      </w:r>
      <w:r>
        <w:rPr>
          <w:rStyle w:val="FootnoteReference"/>
          <w:rFonts w:ascii="Perpetua" w:hAnsi="Perpetua"/>
        </w:rPr>
        <w:footnoteReference w:id="27"/>
      </w:r>
      <w:r w:rsidRPr="004A5973">
        <w:rPr>
          <w:rFonts w:ascii="Perpetua" w:hAnsi="Perpetua"/>
        </w:rPr>
        <w:t xml:space="preserve"> </w:t>
      </w:r>
      <w:r w:rsidR="00DA532B">
        <w:rPr>
          <w:rFonts w:ascii="Perpetua" w:hAnsi="Perpetua"/>
        </w:rPr>
        <w:t xml:space="preserve">The ensuing </w:t>
      </w:r>
      <w:r>
        <w:rPr>
          <w:rFonts w:ascii="Perpetua" w:hAnsi="Perpetua"/>
        </w:rPr>
        <w:t xml:space="preserve">premise </w:t>
      </w:r>
      <w:r w:rsidR="00DA532B">
        <w:rPr>
          <w:rFonts w:ascii="Perpetua" w:hAnsi="Perpetua"/>
        </w:rPr>
        <w:t>(</w:t>
      </w:r>
      <w:r w:rsidRPr="004A5973">
        <w:rPr>
          <w:rFonts w:ascii="Perpetua" w:hAnsi="Perpetua"/>
        </w:rPr>
        <w:t xml:space="preserve">only beings with interests are capable of being </w:t>
      </w:r>
      <w:r>
        <w:rPr>
          <w:rFonts w:ascii="Perpetua" w:hAnsi="Perpetua"/>
        </w:rPr>
        <w:t>benefited</w:t>
      </w:r>
      <w:r w:rsidR="00DA532B">
        <w:rPr>
          <w:rFonts w:ascii="Perpetua" w:hAnsi="Perpetua"/>
        </w:rPr>
        <w:t>)</w:t>
      </w:r>
      <w:r w:rsidRPr="004A5973">
        <w:rPr>
          <w:rFonts w:ascii="Perpetua" w:hAnsi="Perpetua"/>
        </w:rPr>
        <w:t xml:space="preserve"> </w:t>
      </w:r>
      <w:r w:rsidR="00DA532B">
        <w:rPr>
          <w:rFonts w:ascii="Perpetua" w:hAnsi="Perpetua"/>
        </w:rPr>
        <w:t>is not</w:t>
      </w:r>
      <w:r w:rsidRPr="004A5973">
        <w:rPr>
          <w:rFonts w:ascii="Perpetua" w:hAnsi="Perpetua"/>
        </w:rPr>
        <w:t xml:space="preserve"> inherently problematic</w:t>
      </w:r>
      <w:r>
        <w:rPr>
          <w:rFonts w:ascii="Perpetua" w:hAnsi="Perpetua"/>
        </w:rPr>
        <w:t>.</w:t>
      </w:r>
      <w:r>
        <w:rPr>
          <w:rStyle w:val="FootnoteReference"/>
          <w:rFonts w:ascii="Perpetua" w:hAnsi="Perpetua"/>
        </w:rPr>
        <w:footnoteReference w:id="28"/>
      </w:r>
      <w:r w:rsidRPr="004A5973">
        <w:rPr>
          <w:rFonts w:ascii="Perpetua" w:hAnsi="Perpetua"/>
        </w:rPr>
        <w:t xml:space="preserve"> </w:t>
      </w:r>
      <w:r w:rsidR="00DA532B">
        <w:rPr>
          <w:rFonts w:ascii="Perpetua" w:hAnsi="Perpetua"/>
        </w:rPr>
        <w:t>This</w:t>
      </w:r>
      <w:r>
        <w:rPr>
          <w:rFonts w:ascii="Perpetua" w:hAnsi="Perpetua"/>
        </w:rPr>
        <w:t xml:space="preserve"> </w:t>
      </w:r>
      <w:r w:rsidR="00E33B39">
        <w:rPr>
          <w:rFonts w:ascii="Perpetua" w:hAnsi="Perpetua"/>
        </w:rPr>
        <w:t>might</w:t>
      </w:r>
      <w:r w:rsidR="00DA532B">
        <w:rPr>
          <w:rFonts w:ascii="Perpetua" w:hAnsi="Perpetua"/>
        </w:rPr>
        <w:t xml:space="preserve">, sensibly, </w:t>
      </w:r>
      <w:r>
        <w:rPr>
          <w:rFonts w:ascii="Perpetua" w:hAnsi="Perpetua"/>
        </w:rPr>
        <w:t>only e</w:t>
      </w:r>
      <w:r w:rsidRPr="004A5973">
        <w:rPr>
          <w:rFonts w:ascii="Perpetua" w:hAnsi="Perpetua"/>
        </w:rPr>
        <w:t>xclud</w:t>
      </w:r>
      <w:r>
        <w:rPr>
          <w:rFonts w:ascii="Perpetua" w:hAnsi="Perpetua"/>
        </w:rPr>
        <w:t xml:space="preserve">e </w:t>
      </w:r>
      <w:r w:rsidRPr="004A5973">
        <w:rPr>
          <w:rFonts w:ascii="Perpetua" w:hAnsi="Perpetua"/>
        </w:rPr>
        <w:t xml:space="preserve">‘mere </w:t>
      </w:r>
      <w:proofErr w:type="gramStart"/>
      <w:r w:rsidRPr="004A5973">
        <w:rPr>
          <w:rFonts w:ascii="Perpetua" w:hAnsi="Perpetua"/>
        </w:rPr>
        <w:t>things’</w:t>
      </w:r>
      <w:proofErr w:type="gramEnd"/>
      <w:r w:rsidR="00DA532B">
        <w:rPr>
          <w:rFonts w:ascii="Perpetua" w:hAnsi="Perpetua"/>
        </w:rPr>
        <w:t xml:space="preserve">. </w:t>
      </w:r>
      <w:r w:rsidR="00DD7C70">
        <w:rPr>
          <w:rFonts w:ascii="Perpetua" w:hAnsi="Perpetua"/>
        </w:rPr>
        <w:t xml:space="preserve">Not least </w:t>
      </w:r>
      <w:r w:rsidR="00DA532B">
        <w:rPr>
          <w:rFonts w:ascii="Perpetua" w:hAnsi="Perpetua"/>
        </w:rPr>
        <w:t xml:space="preserve">when Feinberg </w:t>
      </w:r>
      <w:r w:rsidR="00DD7C70">
        <w:rPr>
          <w:rFonts w:ascii="Perpetua" w:hAnsi="Perpetua"/>
        </w:rPr>
        <w:t>claims that</w:t>
      </w:r>
      <w:r w:rsidRPr="004A5973">
        <w:rPr>
          <w:rFonts w:ascii="Perpetua" w:hAnsi="Perpetua"/>
        </w:rPr>
        <w:t xml:space="preserve"> plants/trees </w:t>
      </w:r>
      <w:r w:rsidR="00DA532B">
        <w:rPr>
          <w:rFonts w:ascii="Perpetua" w:hAnsi="Perpetua"/>
        </w:rPr>
        <w:t xml:space="preserve">have </w:t>
      </w:r>
      <w:r w:rsidR="00DD7C70">
        <w:rPr>
          <w:rFonts w:ascii="Perpetua" w:hAnsi="Perpetua"/>
        </w:rPr>
        <w:t xml:space="preserve">a good of </w:t>
      </w:r>
      <w:r w:rsidR="00DA532B">
        <w:rPr>
          <w:rFonts w:ascii="Perpetua" w:hAnsi="Perpetua"/>
        </w:rPr>
        <w:t xml:space="preserve">their own and </w:t>
      </w:r>
      <w:r w:rsidRPr="004A5973">
        <w:rPr>
          <w:rFonts w:ascii="Perpetua" w:hAnsi="Perpetua"/>
        </w:rPr>
        <w:t xml:space="preserve">are </w:t>
      </w:r>
      <w:r w:rsidRPr="000B3D80">
        <w:rPr>
          <w:rFonts w:ascii="Perpetua" w:hAnsi="Perpetua"/>
          <w:i/>
          <w:iCs/>
        </w:rPr>
        <w:t>not</w:t>
      </w:r>
      <w:r w:rsidRPr="004A5973">
        <w:rPr>
          <w:rFonts w:ascii="Perpetua" w:hAnsi="Perpetua"/>
        </w:rPr>
        <w:t xml:space="preserve"> ‘mere things’</w:t>
      </w:r>
      <w:r>
        <w:rPr>
          <w:rFonts w:ascii="Perpetua" w:hAnsi="Perpetua"/>
        </w:rPr>
        <w:t>.</w:t>
      </w:r>
      <w:r>
        <w:rPr>
          <w:rStyle w:val="FootnoteReference"/>
          <w:rFonts w:ascii="Perpetua" w:hAnsi="Perpetua"/>
        </w:rPr>
        <w:footnoteReference w:id="29"/>
      </w:r>
      <w:r>
        <w:rPr>
          <w:rFonts w:ascii="Perpetua" w:hAnsi="Perpetua"/>
        </w:rPr>
        <w:t xml:space="preserve"> </w:t>
      </w:r>
    </w:p>
    <w:p w14:paraId="65B39544" w14:textId="77777777" w:rsidR="00BE0B55" w:rsidRDefault="00BE0B55" w:rsidP="00BE0B55">
      <w:pPr>
        <w:spacing w:line="480" w:lineRule="auto"/>
        <w:jc w:val="both"/>
        <w:rPr>
          <w:rFonts w:ascii="Perpetua" w:hAnsi="Perpetua"/>
        </w:rPr>
      </w:pPr>
    </w:p>
    <w:p w14:paraId="4B162172" w14:textId="77777777" w:rsidR="00E33B39" w:rsidRDefault="00DD7C70" w:rsidP="00BE0B55">
      <w:pPr>
        <w:spacing w:line="480" w:lineRule="auto"/>
        <w:jc w:val="both"/>
        <w:rPr>
          <w:rFonts w:ascii="Perpetua" w:hAnsi="Perpetua"/>
        </w:rPr>
      </w:pPr>
      <w:r>
        <w:rPr>
          <w:rFonts w:ascii="Perpetua" w:hAnsi="Perpetua"/>
        </w:rPr>
        <w:lastRenderedPageBreak/>
        <w:t>But then</w:t>
      </w:r>
      <w:r w:rsidR="00BE0B55" w:rsidRPr="004A5973">
        <w:rPr>
          <w:rFonts w:ascii="Perpetua" w:hAnsi="Perpetua"/>
        </w:rPr>
        <w:t>,</w:t>
      </w:r>
      <w:r w:rsidR="00BE0B55">
        <w:rPr>
          <w:rFonts w:ascii="Perpetua" w:hAnsi="Perpetua"/>
        </w:rPr>
        <w:t xml:space="preserve"> in contradiction,</w:t>
      </w:r>
      <w:r w:rsidR="00BE0B55" w:rsidRPr="004A5973">
        <w:rPr>
          <w:rFonts w:ascii="Perpetua" w:hAnsi="Perpetua"/>
        </w:rPr>
        <w:t xml:space="preserve"> Feinberg </w:t>
      </w:r>
      <w:r w:rsidR="00BE0B55" w:rsidRPr="00DD7C70">
        <w:rPr>
          <w:rFonts w:ascii="Perpetua" w:hAnsi="Perpetua"/>
        </w:rPr>
        <w:t>denies</w:t>
      </w:r>
      <w:r w:rsidR="00BE0B55">
        <w:rPr>
          <w:rFonts w:ascii="Perpetua" w:hAnsi="Perpetua"/>
        </w:rPr>
        <w:t xml:space="preserve"> that</w:t>
      </w:r>
      <w:r w:rsidR="00BE0B55" w:rsidRPr="004A5973">
        <w:rPr>
          <w:rFonts w:ascii="Perpetua" w:hAnsi="Perpetua"/>
        </w:rPr>
        <w:t xml:space="preserve"> </w:t>
      </w:r>
      <w:r w:rsidR="00BE0B55">
        <w:rPr>
          <w:rFonts w:ascii="Perpetua" w:hAnsi="Perpetua"/>
        </w:rPr>
        <w:t>trees/plant</w:t>
      </w:r>
      <w:r w:rsidR="00BE0B55" w:rsidRPr="004A5973">
        <w:rPr>
          <w:rFonts w:ascii="Perpetua" w:hAnsi="Perpetua"/>
        </w:rPr>
        <w:t xml:space="preserve"> have interests/MC.</w:t>
      </w:r>
      <w:r>
        <w:rPr>
          <w:rStyle w:val="FootnoteReference"/>
          <w:rFonts w:ascii="Perpetua" w:hAnsi="Perpetua"/>
        </w:rPr>
        <w:footnoteReference w:id="30"/>
      </w:r>
      <w:r w:rsidR="00BE0B55" w:rsidRPr="004A5973">
        <w:rPr>
          <w:rFonts w:ascii="Perpetua" w:hAnsi="Perpetua"/>
        </w:rPr>
        <w:t xml:space="preserve"> </w:t>
      </w:r>
      <w:r w:rsidR="00BE0B55">
        <w:rPr>
          <w:rFonts w:ascii="Perpetua" w:hAnsi="Perpetua"/>
        </w:rPr>
        <w:t>Goodpaster</w:t>
      </w:r>
      <w:r w:rsidR="00BE0B55" w:rsidRPr="004A5973">
        <w:rPr>
          <w:rFonts w:ascii="Perpetua" w:hAnsi="Perpetua"/>
        </w:rPr>
        <w:t xml:space="preserve"> notes the slide from ‘mere things’ to</w:t>
      </w:r>
      <w:r w:rsidR="00BE0B55">
        <w:rPr>
          <w:rFonts w:ascii="Perpetua" w:hAnsi="Perpetua"/>
        </w:rPr>
        <w:t xml:space="preserve"> </w:t>
      </w:r>
      <w:r w:rsidR="00BE0B55" w:rsidRPr="004A5973">
        <w:rPr>
          <w:rFonts w:ascii="Perpetua" w:hAnsi="Perpetua"/>
        </w:rPr>
        <w:t>‘mindless creatures’.</w:t>
      </w:r>
      <w:r w:rsidR="00BE0B55" w:rsidRPr="004A5973">
        <w:rPr>
          <w:rStyle w:val="FootnoteReference"/>
          <w:rFonts w:ascii="Perpetua" w:hAnsi="Perpetua"/>
        </w:rPr>
        <w:footnoteReference w:id="31"/>
      </w:r>
      <w:r w:rsidR="00BE0B55" w:rsidRPr="004A5973">
        <w:rPr>
          <w:rFonts w:ascii="Perpetua" w:hAnsi="Perpetua"/>
        </w:rPr>
        <w:t xml:space="preserve"> </w:t>
      </w:r>
    </w:p>
    <w:p w14:paraId="4E198336" w14:textId="77777777" w:rsidR="00E33B39" w:rsidRDefault="00E33B39" w:rsidP="00BE0B55">
      <w:pPr>
        <w:spacing w:line="480" w:lineRule="auto"/>
        <w:jc w:val="both"/>
        <w:rPr>
          <w:rFonts w:ascii="Perpetua" w:hAnsi="Perpetua"/>
        </w:rPr>
      </w:pPr>
    </w:p>
    <w:p w14:paraId="100DE69C" w14:textId="04B52844" w:rsidR="00E33B39" w:rsidRDefault="00BE0B55" w:rsidP="00BE0B55">
      <w:pPr>
        <w:spacing w:line="480" w:lineRule="auto"/>
        <w:jc w:val="both"/>
        <w:rPr>
          <w:rFonts w:ascii="Perpetua" w:hAnsi="Perpetua"/>
        </w:rPr>
      </w:pPr>
      <w:r>
        <w:rPr>
          <w:rFonts w:ascii="Perpetua" w:hAnsi="Perpetua"/>
        </w:rPr>
        <w:t>Feinberg assumes</w:t>
      </w:r>
      <w:r w:rsidRPr="004A5973">
        <w:rPr>
          <w:rFonts w:ascii="Perpetua" w:hAnsi="Perpetua"/>
        </w:rPr>
        <w:t xml:space="preserve"> interests </w:t>
      </w:r>
      <w:r>
        <w:rPr>
          <w:rFonts w:ascii="Perpetua" w:hAnsi="Perpetua"/>
        </w:rPr>
        <w:t xml:space="preserve">must be </w:t>
      </w:r>
      <w:proofErr w:type="gramStart"/>
      <w:r>
        <w:rPr>
          <w:rFonts w:ascii="Perpetua" w:hAnsi="Perpetua"/>
        </w:rPr>
        <w:t>conative</w:t>
      </w:r>
      <w:proofErr w:type="gramEnd"/>
      <w:r>
        <w:rPr>
          <w:rFonts w:ascii="Perpetua" w:hAnsi="Perpetua"/>
        </w:rPr>
        <w:t xml:space="preserve"> </w:t>
      </w:r>
      <w:r w:rsidR="00E33B39">
        <w:rPr>
          <w:rFonts w:ascii="Perpetua" w:hAnsi="Perpetua"/>
        </w:rPr>
        <w:t>but</w:t>
      </w:r>
      <w:r>
        <w:rPr>
          <w:rFonts w:ascii="Perpetua" w:hAnsi="Perpetua"/>
        </w:rPr>
        <w:t xml:space="preserve"> this too is contradicted by the idea that </w:t>
      </w:r>
      <w:r w:rsidRPr="004A5973">
        <w:rPr>
          <w:rFonts w:ascii="Perpetua" w:hAnsi="Perpetua"/>
        </w:rPr>
        <w:t xml:space="preserve">plants/trees have a good of their own. </w:t>
      </w:r>
      <w:r>
        <w:rPr>
          <w:rFonts w:ascii="Perpetua" w:hAnsi="Perpetua"/>
        </w:rPr>
        <w:t>If</w:t>
      </w:r>
      <w:r w:rsidRPr="004A5973">
        <w:rPr>
          <w:rFonts w:ascii="Perpetua" w:hAnsi="Perpetua"/>
        </w:rPr>
        <w:t xml:space="preserve"> ‘mere things’</w:t>
      </w:r>
      <w:r>
        <w:rPr>
          <w:rFonts w:ascii="Perpetua" w:hAnsi="Perpetua"/>
        </w:rPr>
        <w:t xml:space="preserve"> have no interests because they </w:t>
      </w:r>
      <w:r w:rsidRPr="004A5973">
        <w:rPr>
          <w:rFonts w:ascii="Perpetua" w:hAnsi="Perpetua"/>
        </w:rPr>
        <w:t>lack ‘latent tendencies, direction of growth etc</w:t>
      </w:r>
      <w:r>
        <w:rPr>
          <w:rFonts w:ascii="Perpetua" w:hAnsi="Perpetua"/>
        </w:rPr>
        <w:t>.’, it</w:t>
      </w:r>
      <w:r w:rsidR="00E33B39">
        <w:rPr>
          <w:rFonts w:ascii="Perpetua" w:hAnsi="Perpetua"/>
        </w:rPr>
        <w:t xml:space="preserve"> follows</w:t>
      </w:r>
      <w:r>
        <w:rPr>
          <w:rFonts w:ascii="Perpetua" w:hAnsi="Perpetua"/>
        </w:rPr>
        <w:t xml:space="preserve"> that trees/plants have interests and interests need not be conative</w:t>
      </w:r>
      <w:r w:rsidRPr="004A5973">
        <w:rPr>
          <w:rFonts w:ascii="Perpetua" w:hAnsi="Perpetua"/>
        </w:rPr>
        <w:t>.</w:t>
      </w:r>
      <w:r w:rsidRPr="004A5973">
        <w:rPr>
          <w:rStyle w:val="FootnoteReference"/>
          <w:rFonts w:ascii="Perpetua" w:hAnsi="Perpetua"/>
        </w:rPr>
        <w:footnoteReference w:id="32"/>
      </w:r>
      <w:r w:rsidRPr="004A5973">
        <w:rPr>
          <w:rFonts w:ascii="Perpetua" w:hAnsi="Perpetua"/>
        </w:rPr>
        <w:t xml:space="preserve"> </w:t>
      </w:r>
    </w:p>
    <w:p w14:paraId="4839B05C" w14:textId="77777777" w:rsidR="00E33B39" w:rsidRDefault="00E33B39" w:rsidP="00BE0B55">
      <w:pPr>
        <w:spacing w:line="480" w:lineRule="auto"/>
        <w:jc w:val="both"/>
        <w:rPr>
          <w:rFonts w:ascii="Perpetua" w:hAnsi="Perpetua"/>
        </w:rPr>
      </w:pPr>
    </w:p>
    <w:p w14:paraId="4DED4B31" w14:textId="3FB3FF31" w:rsidR="00E33B39" w:rsidRDefault="00E0548F" w:rsidP="00E33B39">
      <w:pPr>
        <w:spacing w:line="480" w:lineRule="auto"/>
        <w:jc w:val="both"/>
        <w:rPr>
          <w:rFonts w:ascii="Perpetua" w:hAnsi="Perpetua"/>
        </w:rPr>
      </w:pPr>
      <w:r>
        <w:rPr>
          <w:rFonts w:ascii="Perpetua" w:hAnsi="Perpetua"/>
        </w:rPr>
        <w:t>There</w:t>
      </w:r>
      <w:r w:rsidR="00BE0B55" w:rsidRPr="004A5973">
        <w:rPr>
          <w:rFonts w:ascii="Perpetua" w:hAnsi="Perpetua"/>
        </w:rPr>
        <w:t xml:space="preserve"> is nothing unintelligible about trees having a good.</w:t>
      </w:r>
      <w:r w:rsidR="00BE0B55" w:rsidRPr="004A5973">
        <w:rPr>
          <w:rStyle w:val="FootnoteReference"/>
          <w:rFonts w:ascii="Perpetua" w:hAnsi="Perpetua"/>
        </w:rPr>
        <w:footnoteReference w:id="33"/>
      </w:r>
      <w:r w:rsidR="00BE0B55" w:rsidRPr="004A5973">
        <w:rPr>
          <w:rFonts w:ascii="Perpetua" w:hAnsi="Perpetua"/>
        </w:rPr>
        <w:t xml:space="preserve"> </w:t>
      </w:r>
      <w:r w:rsidR="00BE0B55">
        <w:rPr>
          <w:rFonts w:ascii="Perpetua" w:hAnsi="Perpetua"/>
        </w:rPr>
        <w:t>If anything is unintelligible, it’s the</w:t>
      </w:r>
      <w:r w:rsidR="00BE0B55" w:rsidRPr="004A5973">
        <w:rPr>
          <w:rFonts w:ascii="Perpetua" w:hAnsi="Perpetua"/>
        </w:rPr>
        <w:t xml:space="preserve"> suggestion</w:t>
      </w:r>
      <w:r w:rsidR="00BE0B55">
        <w:rPr>
          <w:rFonts w:ascii="Perpetua" w:hAnsi="Perpetua"/>
        </w:rPr>
        <w:t xml:space="preserve"> </w:t>
      </w:r>
      <w:r w:rsidR="00BE0B55" w:rsidRPr="004A5973">
        <w:rPr>
          <w:rFonts w:ascii="Perpetua" w:hAnsi="Perpetua"/>
        </w:rPr>
        <w:t>trees</w:t>
      </w:r>
      <w:r w:rsidR="00BE0B55">
        <w:rPr>
          <w:rFonts w:ascii="Perpetua" w:hAnsi="Perpetua"/>
        </w:rPr>
        <w:t>’</w:t>
      </w:r>
      <w:r w:rsidR="00BE0B55" w:rsidRPr="004A5973">
        <w:rPr>
          <w:rFonts w:ascii="Perpetua" w:hAnsi="Perpetua"/>
        </w:rPr>
        <w:t xml:space="preserve"> natural functions are assigned by humans.</w:t>
      </w:r>
      <w:r w:rsidR="00BE0B55">
        <w:rPr>
          <w:rFonts w:ascii="Perpetua" w:hAnsi="Perpetua"/>
        </w:rPr>
        <w:t xml:space="preserve"> This is absurd, contradictory, dangerous.</w:t>
      </w:r>
      <w:r w:rsidR="00BE0B55" w:rsidRPr="004A5973">
        <w:rPr>
          <w:rStyle w:val="FootnoteReference"/>
          <w:rFonts w:ascii="Perpetua" w:hAnsi="Perpetua"/>
        </w:rPr>
        <w:footnoteReference w:id="34"/>
      </w:r>
      <w:r w:rsidR="00BE0B55" w:rsidRPr="004A5973">
        <w:rPr>
          <w:rFonts w:ascii="Perpetua" w:hAnsi="Perpetua"/>
        </w:rPr>
        <w:t xml:space="preserve"> </w:t>
      </w:r>
    </w:p>
    <w:p w14:paraId="2B10AA10" w14:textId="77777777" w:rsidR="00C6093A" w:rsidRDefault="00C6093A" w:rsidP="00E33B39">
      <w:pPr>
        <w:spacing w:line="480" w:lineRule="auto"/>
        <w:jc w:val="both"/>
        <w:rPr>
          <w:rFonts w:ascii="Perpetua" w:hAnsi="Perpetua"/>
        </w:rPr>
      </w:pPr>
    </w:p>
    <w:p w14:paraId="7B5E7E3D" w14:textId="379D5D4A" w:rsidR="00BE0B55" w:rsidRPr="004A5973" w:rsidRDefault="00E33B39" w:rsidP="00E33B39">
      <w:pPr>
        <w:spacing w:line="480" w:lineRule="auto"/>
        <w:jc w:val="both"/>
        <w:rPr>
          <w:rFonts w:ascii="Perpetua" w:hAnsi="Perpetua"/>
        </w:rPr>
      </w:pPr>
      <w:r>
        <w:rPr>
          <w:rFonts w:ascii="Perpetua" w:hAnsi="Perpetua"/>
        </w:rPr>
        <w:t>T</w:t>
      </w:r>
      <w:r w:rsidR="00BE0B55" w:rsidRPr="004A5973">
        <w:rPr>
          <w:rFonts w:ascii="Perpetua" w:hAnsi="Perpetua"/>
        </w:rPr>
        <w:t>he interests shared by sentient and non</w:t>
      </w:r>
      <w:r w:rsidR="00BE0B55">
        <w:rPr>
          <w:rFonts w:ascii="Perpetua" w:hAnsi="Perpetua"/>
        </w:rPr>
        <w:t>-</w:t>
      </w:r>
      <w:r w:rsidR="00BE0B55" w:rsidRPr="004A5973">
        <w:rPr>
          <w:rFonts w:ascii="Perpetua" w:hAnsi="Perpetua"/>
        </w:rPr>
        <w:t xml:space="preserve">sentient beings </w:t>
      </w:r>
      <w:r w:rsidR="00E0548F">
        <w:rPr>
          <w:rFonts w:ascii="Perpetua" w:hAnsi="Perpetua"/>
        </w:rPr>
        <w:t>to the exclusion of</w:t>
      </w:r>
      <w:r w:rsidR="00BE0B55">
        <w:rPr>
          <w:rFonts w:ascii="Perpetua" w:hAnsi="Perpetua"/>
        </w:rPr>
        <w:t xml:space="preserve"> ‘</w:t>
      </w:r>
      <w:r w:rsidR="00BE0B55" w:rsidRPr="004A5973">
        <w:rPr>
          <w:rFonts w:ascii="Perpetua" w:hAnsi="Perpetua"/>
        </w:rPr>
        <w:t>mere things</w:t>
      </w:r>
      <w:r w:rsidR="00BE0B55">
        <w:rPr>
          <w:rFonts w:ascii="Perpetua" w:hAnsi="Perpetua"/>
        </w:rPr>
        <w:t>’</w:t>
      </w:r>
      <w:r w:rsidR="00BE0B55" w:rsidRPr="004A5973">
        <w:rPr>
          <w:rFonts w:ascii="Perpetua" w:hAnsi="Perpetua"/>
        </w:rPr>
        <w:t xml:space="preserve"> is a more plausible criteria than th</w:t>
      </w:r>
      <w:r>
        <w:rPr>
          <w:rFonts w:ascii="Perpetua" w:hAnsi="Perpetua"/>
        </w:rPr>
        <w:t>ose</w:t>
      </w:r>
      <w:r w:rsidR="00BE0B55" w:rsidRPr="004A5973">
        <w:rPr>
          <w:rFonts w:ascii="Perpetua" w:hAnsi="Perpetua"/>
        </w:rPr>
        <w:t xml:space="preserve"> interests shared </w:t>
      </w:r>
      <w:r>
        <w:rPr>
          <w:rFonts w:ascii="Perpetua" w:hAnsi="Perpetua"/>
        </w:rPr>
        <w:t xml:space="preserve">only </w:t>
      </w:r>
      <w:r w:rsidR="00BE0B55" w:rsidRPr="004A5973">
        <w:rPr>
          <w:rFonts w:ascii="Perpetua" w:hAnsi="Perpetua"/>
        </w:rPr>
        <w:t>by</w:t>
      </w:r>
      <w:r w:rsidR="00BE0B55">
        <w:rPr>
          <w:rFonts w:ascii="Perpetua" w:hAnsi="Perpetua"/>
        </w:rPr>
        <w:t xml:space="preserve"> </w:t>
      </w:r>
      <w:r w:rsidR="00BE0B55" w:rsidRPr="004A5973">
        <w:rPr>
          <w:rFonts w:ascii="Perpetua" w:hAnsi="Perpetua"/>
        </w:rPr>
        <w:t>sentient beings</w:t>
      </w:r>
      <w:r w:rsidR="00BE0B55">
        <w:rPr>
          <w:rFonts w:ascii="Perpetua" w:hAnsi="Perpetua"/>
        </w:rPr>
        <w:t xml:space="preserve"> </w:t>
      </w:r>
      <w:r w:rsidR="00BE0B55" w:rsidRPr="004A5973">
        <w:rPr>
          <w:rFonts w:ascii="Perpetua" w:hAnsi="Perpetua"/>
        </w:rPr>
        <w:t xml:space="preserve">to the exclusion of </w:t>
      </w:r>
      <w:r>
        <w:rPr>
          <w:rFonts w:ascii="Perpetua" w:hAnsi="Perpetua"/>
        </w:rPr>
        <w:t xml:space="preserve">‘mindless creatures’ and ‘mere </w:t>
      </w:r>
      <w:proofErr w:type="gramStart"/>
      <w:r>
        <w:rPr>
          <w:rFonts w:ascii="Perpetua" w:hAnsi="Perpetua"/>
        </w:rPr>
        <w:t>things’</w:t>
      </w:r>
      <w:proofErr w:type="gramEnd"/>
      <w:r w:rsidR="00BE0B55" w:rsidRPr="004A5973">
        <w:rPr>
          <w:rFonts w:ascii="Perpetua" w:hAnsi="Perpetua"/>
        </w:rPr>
        <w:t xml:space="preserve">. </w:t>
      </w:r>
      <w:r w:rsidR="00E0548F">
        <w:rPr>
          <w:rFonts w:ascii="Perpetua" w:hAnsi="Perpetua"/>
        </w:rPr>
        <w:t>To s</w:t>
      </w:r>
      <w:r w:rsidR="00E0548F" w:rsidRPr="004A5973">
        <w:rPr>
          <w:rFonts w:ascii="Perpetua" w:hAnsi="Perpetua"/>
        </w:rPr>
        <w:t xml:space="preserve">ave itself from arbitrariness, </w:t>
      </w:r>
      <w:r w:rsidR="00E0548F">
        <w:rPr>
          <w:rFonts w:ascii="Perpetua" w:hAnsi="Perpetua"/>
        </w:rPr>
        <w:t xml:space="preserve">the ‘interest principle’ </w:t>
      </w:r>
      <w:r w:rsidR="00E0548F" w:rsidRPr="004A5973">
        <w:rPr>
          <w:rFonts w:ascii="Perpetua" w:hAnsi="Perpetua"/>
        </w:rPr>
        <w:t>must be</w:t>
      </w:r>
      <w:r w:rsidR="00E0548F">
        <w:rPr>
          <w:rFonts w:ascii="Perpetua" w:hAnsi="Perpetua"/>
        </w:rPr>
        <w:t>come</w:t>
      </w:r>
      <w:r w:rsidR="00E0548F" w:rsidRPr="004A5973">
        <w:rPr>
          <w:rFonts w:ascii="Perpetua" w:hAnsi="Perpetua"/>
        </w:rPr>
        <w:t xml:space="preserve"> a ‘life principle’.</w:t>
      </w:r>
      <w:r w:rsidR="00E0548F">
        <w:rPr>
          <w:rStyle w:val="FootnoteReference"/>
          <w:rFonts w:ascii="Perpetua" w:hAnsi="Perpetua"/>
        </w:rPr>
        <w:footnoteReference w:id="35"/>
      </w:r>
      <w:r w:rsidR="00E0548F" w:rsidRPr="004A5973">
        <w:rPr>
          <w:rFonts w:ascii="Perpetua" w:hAnsi="Perpetua"/>
        </w:rPr>
        <w:t xml:space="preserve"> </w:t>
      </w:r>
      <w:r>
        <w:rPr>
          <w:rFonts w:ascii="Perpetua" w:hAnsi="Perpetua"/>
        </w:rPr>
        <w:t xml:space="preserve">Better to draw the line around life rather than through life. </w:t>
      </w:r>
    </w:p>
    <w:p w14:paraId="731DDD19" w14:textId="77777777" w:rsidR="00BE0B55" w:rsidRDefault="00BE0B55" w:rsidP="00BE0B55">
      <w:pPr>
        <w:spacing w:line="480" w:lineRule="auto"/>
        <w:jc w:val="both"/>
        <w:rPr>
          <w:rFonts w:ascii="Perpetua" w:hAnsi="Perpetua"/>
        </w:rPr>
      </w:pPr>
    </w:p>
    <w:p w14:paraId="5BB7FA59" w14:textId="40A8AC83" w:rsidR="00BE0B55" w:rsidRDefault="00BE0B55" w:rsidP="00BE0B55">
      <w:pPr>
        <w:spacing w:line="480" w:lineRule="auto"/>
        <w:jc w:val="both"/>
        <w:rPr>
          <w:rFonts w:ascii="Perpetua" w:hAnsi="Perpetua"/>
        </w:rPr>
      </w:pPr>
      <w:r>
        <w:rPr>
          <w:rFonts w:ascii="Perpetua" w:hAnsi="Perpetua"/>
        </w:rPr>
        <w:t xml:space="preserve">Finally, Goodpaster </w:t>
      </w:r>
      <w:r w:rsidR="0044242D">
        <w:rPr>
          <w:rFonts w:ascii="Perpetua" w:hAnsi="Perpetua"/>
        </w:rPr>
        <w:t>defends</w:t>
      </w:r>
      <w:r>
        <w:rPr>
          <w:rFonts w:ascii="Perpetua" w:hAnsi="Perpetua"/>
        </w:rPr>
        <w:t xml:space="preserve"> </w:t>
      </w:r>
      <w:r w:rsidR="00C6093A">
        <w:rPr>
          <w:rFonts w:ascii="Perpetua" w:hAnsi="Perpetua"/>
        </w:rPr>
        <w:t>anticipated</w:t>
      </w:r>
      <w:r>
        <w:rPr>
          <w:rFonts w:ascii="Perpetua" w:hAnsi="Perpetua"/>
        </w:rPr>
        <w:t xml:space="preserve"> objections. </w:t>
      </w:r>
      <w:r w:rsidRPr="004A5973">
        <w:rPr>
          <w:rFonts w:ascii="Perpetua" w:hAnsi="Perpetua"/>
        </w:rPr>
        <w:t>Any charge of Schweitzerian romanticism is</w:t>
      </w:r>
      <w:r>
        <w:rPr>
          <w:rFonts w:ascii="Perpetua" w:hAnsi="Perpetua"/>
        </w:rPr>
        <w:t xml:space="preserve"> </w:t>
      </w:r>
      <w:r w:rsidRPr="004A5973">
        <w:rPr>
          <w:rFonts w:ascii="Perpetua" w:hAnsi="Perpetua"/>
        </w:rPr>
        <w:t>beside the point. There is nothing romantic about the</w:t>
      </w:r>
      <w:r>
        <w:rPr>
          <w:rFonts w:ascii="Perpetua" w:hAnsi="Perpetua"/>
        </w:rPr>
        <w:t xml:space="preserve"> idea</w:t>
      </w:r>
      <w:r w:rsidRPr="004A5973">
        <w:rPr>
          <w:rFonts w:ascii="Perpetua" w:hAnsi="Perpetua"/>
        </w:rPr>
        <w:t xml:space="preserve"> that sentience is not a necessary condition.</w:t>
      </w:r>
      <w:r w:rsidRPr="004A5973">
        <w:rPr>
          <w:rStyle w:val="FootnoteReference"/>
          <w:rFonts w:ascii="Perpetua" w:hAnsi="Perpetua"/>
        </w:rPr>
        <w:footnoteReference w:id="36"/>
      </w:r>
      <w:r w:rsidRPr="004A5973">
        <w:rPr>
          <w:rFonts w:ascii="Perpetua" w:hAnsi="Perpetua"/>
        </w:rPr>
        <w:t xml:space="preserve"> The epistemological difficulties supposedly involved in understanding </w:t>
      </w:r>
      <w:r w:rsidR="00E0548F">
        <w:rPr>
          <w:rFonts w:ascii="Perpetua" w:hAnsi="Perpetua"/>
        </w:rPr>
        <w:t>a</w:t>
      </w:r>
      <w:r w:rsidRPr="004A5973">
        <w:rPr>
          <w:rFonts w:ascii="Perpetua" w:hAnsi="Perpetua"/>
        </w:rPr>
        <w:t xml:space="preserve"> tree</w:t>
      </w:r>
      <w:r w:rsidR="00E0548F">
        <w:rPr>
          <w:rFonts w:ascii="Perpetua" w:hAnsi="Perpetua"/>
        </w:rPr>
        <w:t>’s</w:t>
      </w:r>
      <w:r w:rsidRPr="004A5973">
        <w:rPr>
          <w:rFonts w:ascii="Perpetua" w:hAnsi="Perpetua"/>
        </w:rPr>
        <w:t xml:space="preserve"> needs </w:t>
      </w:r>
      <w:r w:rsidR="0044242D">
        <w:rPr>
          <w:rFonts w:ascii="Perpetua" w:hAnsi="Perpetua"/>
        </w:rPr>
        <w:t>is</w:t>
      </w:r>
      <w:r>
        <w:rPr>
          <w:rFonts w:ascii="Perpetua" w:hAnsi="Perpetua"/>
        </w:rPr>
        <w:t xml:space="preserve"> met with a </w:t>
      </w:r>
      <w:proofErr w:type="spellStart"/>
      <w:r>
        <w:rPr>
          <w:rFonts w:ascii="Perpetua" w:hAnsi="Perpetua"/>
          <w:i/>
          <w:iCs/>
        </w:rPr>
        <w:t>tu</w:t>
      </w:r>
      <w:proofErr w:type="spellEnd"/>
      <w:r>
        <w:rPr>
          <w:rFonts w:ascii="Perpetua" w:hAnsi="Perpetua"/>
          <w:i/>
          <w:iCs/>
        </w:rPr>
        <w:t xml:space="preserve"> quoque </w:t>
      </w:r>
      <w:r>
        <w:rPr>
          <w:rFonts w:ascii="Perpetua" w:hAnsi="Perpetua"/>
        </w:rPr>
        <w:lastRenderedPageBreak/>
        <w:t>shrug</w:t>
      </w:r>
      <w:r w:rsidRPr="004A5973">
        <w:rPr>
          <w:rFonts w:ascii="Perpetua" w:hAnsi="Perpetua"/>
        </w:rPr>
        <w:t>.</w:t>
      </w:r>
      <w:r w:rsidRPr="004A5973">
        <w:rPr>
          <w:rStyle w:val="FootnoteReference"/>
          <w:rFonts w:ascii="Perpetua" w:hAnsi="Perpetua"/>
        </w:rPr>
        <w:footnoteReference w:id="37"/>
      </w:r>
      <w:r w:rsidRPr="004A5973">
        <w:rPr>
          <w:rFonts w:ascii="Perpetua" w:hAnsi="Perpetua"/>
        </w:rPr>
        <w:t xml:space="preserve">  </w:t>
      </w:r>
      <w:r>
        <w:rPr>
          <w:rFonts w:ascii="Perpetua" w:hAnsi="Perpetua"/>
        </w:rPr>
        <w:t>The demandingness</w:t>
      </w:r>
      <w:r w:rsidR="00E0548F">
        <w:rPr>
          <w:rFonts w:ascii="Perpetua" w:hAnsi="Perpetua"/>
        </w:rPr>
        <w:t>/impossibility</w:t>
      </w:r>
      <w:r>
        <w:rPr>
          <w:rFonts w:ascii="Perpetua" w:hAnsi="Perpetua"/>
        </w:rPr>
        <w:t xml:space="preserve"> objection is met by recourse to the regulative/operative distinction. ‘L</w:t>
      </w:r>
      <w:r w:rsidRPr="004A5973">
        <w:rPr>
          <w:rFonts w:ascii="Perpetua" w:hAnsi="Perpetua"/>
        </w:rPr>
        <w:t>ife’</w:t>
      </w:r>
      <w:r>
        <w:rPr>
          <w:rFonts w:ascii="Perpetua" w:hAnsi="Perpetua"/>
        </w:rPr>
        <w:t xml:space="preserve"> </w:t>
      </w:r>
      <w:r w:rsidR="00E0548F">
        <w:rPr>
          <w:rFonts w:ascii="Perpetua" w:hAnsi="Perpetua"/>
        </w:rPr>
        <w:t xml:space="preserve">may be </w:t>
      </w:r>
      <w:proofErr w:type="gramStart"/>
      <w:r>
        <w:rPr>
          <w:rFonts w:ascii="Perpetua" w:hAnsi="Perpetua"/>
        </w:rPr>
        <w:t>ambiguous</w:t>
      </w:r>
      <w:proofErr w:type="gramEnd"/>
      <w:r>
        <w:rPr>
          <w:rFonts w:ascii="Perpetua" w:hAnsi="Perpetua"/>
        </w:rPr>
        <w:t xml:space="preserve"> but n</w:t>
      </w:r>
      <w:r w:rsidRPr="004A5973">
        <w:rPr>
          <w:rFonts w:ascii="Perpetua" w:hAnsi="Perpetua"/>
        </w:rPr>
        <w:t xml:space="preserve">o criterion needs to be ‘strictly decidable’. </w:t>
      </w:r>
      <w:r w:rsidR="0044242D">
        <w:rPr>
          <w:rFonts w:ascii="Perpetua" w:hAnsi="Perpetua"/>
        </w:rPr>
        <w:t>S</w:t>
      </w:r>
      <w:r w:rsidRPr="004A5973">
        <w:rPr>
          <w:rFonts w:ascii="Perpetua" w:hAnsi="Perpetua"/>
        </w:rPr>
        <w:t xml:space="preserve">entience and rationality </w:t>
      </w:r>
      <w:r w:rsidR="00E0548F">
        <w:rPr>
          <w:rFonts w:ascii="Perpetua" w:hAnsi="Perpetua"/>
        </w:rPr>
        <w:t xml:space="preserve">also </w:t>
      </w:r>
      <w:r w:rsidRPr="004A5973">
        <w:rPr>
          <w:rFonts w:ascii="Perpetua" w:hAnsi="Perpetua"/>
        </w:rPr>
        <w:t xml:space="preserve">resist easy definition. </w:t>
      </w:r>
      <w:r>
        <w:rPr>
          <w:rFonts w:ascii="Perpetua" w:hAnsi="Perpetua"/>
        </w:rPr>
        <w:t>Once</w:t>
      </w:r>
      <w:r w:rsidRPr="004A5973">
        <w:rPr>
          <w:rFonts w:ascii="Perpetua" w:hAnsi="Perpetua"/>
        </w:rPr>
        <w:t xml:space="preserve"> defined, </w:t>
      </w:r>
      <w:r>
        <w:rPr>
          <w:rFonts w:ascii="Perpetua" w:hAnsi="Perpetua"/>
        </w:rPr>
        <w:t xml:space="preserve">Goodpaster can see </w:t>
      </w:r>
      <w:r w:rsidRPr="004A5973">
        <w:rPr>
          <w:rFonts w:ascii="Perpetua" w:hAnsi="Perpetua"/>
        </w:rPr>
        <w:t xml:space="preserve">the ‘life principle’ will be vulnerable to </w:t>
      </w:r>
      <w:r w:rsidRPr="0044242D">
        <w:rPr>
          <w:rFonts w:ascii="Perpetua" w:hAnsi="Perpetua"/>
          <w:i/>
          <w:iCs/>
        </w:rPr>
        <w:t>reductio</w:t>
      </w:r>
      <w:r>
        <w:rPr>
          <w:rFonts w:ascii="Perpetua" w:hAnsi="Perpetua"/>
        </w:rPr>
        <w:t>. He is unconcerned</w:t>
      </w:r>
      <w:r w:rsidRPr="004A5973">
        <w:rPr>
          <w:rFonts w:ascii="Perpetua" w:hAnsi="Perpetua"/>
        </w:rPr>
        <w:t>.</w:t>
      </w:r>
      <w:r>
        <w:rPr>
          <w:rFonts w:ascii="Perpetua" w:hAnsi="Perpetua"/>
        </w:rPr>
        <w:t xml:space="preserve"> Inevitably, those cries of absurdity came in response. Unrepentant, Goodpaster met Murray Hunt’s rejoinder with restated commitment.</w:t>
      </w:r>
      <w:r>
        <w:rPr>
          <w:rStyle w:val="FootnoteReference"/>
          <w:rFonts w:ascii="Perpetua" w:hAnsi="Perpetua"/>
        </w:rPr>
        <w:footnoteReference w:id="38"/>
      </w:r>
      <w:r>
        <w:rPr>
          <w:rFonts w:ascii="Perpetua" w:hAnsi="Perpetua"/>
        </w:rPr>
        <w:t xml:space="preserve"> </w:t>
      </w:r>
      <w:r w:rsidRPr="004A5973">
        <w:rPr>
          <w:rFonts w:ascii="Perpetua" w:hAnsi="Perpetua"/>
        </w:rPr>
        <w:t xml:space="preserve">Why not show consideration to a </w:t>
      </w:r>
      <w:r>
        <w:rPr>
          <w:rFonts w:ascii="Perpetua" w:hAnsi="Perpetua"/>
        </w:rPr>
        <w:t>porch</w:t>
      </w:r>
      <w:r w:rsidRPr="004A5973">
        <w:rPr>
          <w:rFonts w:ascii="Perpetua" w:hAnsi="Perpetua"/>
        </w:rPr>
        <w:t xml:space="preserve">? </w:t>
      </w:r>
      <w:r>
        <w:rPr>
          <w:rFonts w:ascii="Perpetua" w:hAnsi="Perpetua"/>
        </w:rPr>
        <w:t>Because i</w:t>
      </w:r>
      <w:r w:rsidRPr="004A5973">
        <w:rPr>
          <w:rFonts w:ascii="Perpetua" w:hAnsi="Perpetua"/>
        </w:rPr>
        <w:t>t has no good of its own and cannot be benefited.</w:t>
      </w:r>
      <w:r>
        <w:rPr>
          <w:rStyle w:val="FootnoteReference"/>
          <w:rFonts w:ascii="Perpetua" w:hAnsi="Perpetua"/>
        </w:rPr>
        <w:footnoteReference w:id="39"/>
      </w:r>
      <w:r w:rsidRPr="004A5973">
        <w:rPr>
          <w:rFonts w:ascii="Perpetua" w:hAnsi="Perpetua"/>
        </w:rPr>
        <w:t xml:space="preserve"> </w:t>
      </w:r>
      <w:r>
        <w:rPr>
          <w:rFonts w:ascii="Perpetua" w:hAnsi="Perpetua"/>
        </w:rPr>
        <w:t xml:space="preserve">Singer’s attempt to show the ‘life principle’ ridiculous </w:t>
      </w:r>
      <w:r w:rsidR="00E0548F">
        <w:rPr>
          <w:rFonts w:ascii="Perpetua" w:hAnsi="Perpetua"/>
        </w:rPr>
        <w:t xml:space="preserve">surely </w:t>
      </w:r>
      <w:r>
        <w:rPr>
          <w:rFonts w:ascii="Perpetua" w:hAnsi="Perpetua"/>
        </w:rPr>
        <w:t>fails</w:t>
      </w:r>
      <w:r w:rsidR="00E0548F">
        <w:rPr>
          <w:rFonts w:ascii="Perpetua" w:hAnsi="Perpetua"/>
        </w:rPr>
        <w:t xml:space="preserve">; as </w:t>
      </w:r>
      <w:r w:rsidR="00E0548F">
        <w:rPr>
          <w:rFonts w:ascii="Perpetua" w:hAnsi="Perpetua"/>
        </w:rPr>
        <w:t xml:space="preserve">analogies do when they </w:t>
      </w:r>
      <w:r w:rsidR="00E0548F">
        <w:rPr>
          <w:rFonts w:ascii="Perpetua" w:hAnsi="Perpetua"/>
        </w:rPr>
        <w:t>elicit</w:t>
      </w:r>
      <w:r w:rsidR="00E0548F">
        <w:rPr>
          <w:rFonts w:ascii="Perpetua" w:hAnsi="Perpetua"/>
        </w:rPr>
        <w:t xml:space="preserve"> the differences</w:t>
      </w:r>
      <w:r>
        <w:rPr>
          <w:rFonts w:ascii="Perpetua" w:hAnsi="Perpetua"/>
        </w:rPr>
        <w:t>.</w:t>
      </w:r>
      <w:r>
        <w:rPr>
          <w:rStyle w:val="FootnoteReference"/>
          <w:rFonts w:ascii="Perpetua" w:hAnsi="Perpetua"/>
        </w:rPr>
        <w:footnoteReference w:id="40"/>
      </w:r>
      <w:r w:rsidR="00E0548F">
        <w:rPr>
          <w:rFonts w:ascii="Perpetua" w:hAnsi="Perpetua"/>
        </w:rPr>
        <w:t xml:space="preserve"> </w:t>
      </w:r>
      <w:r>
        <w:rPr>
          <w:rFonts w:ascii="Perpetua" w:hAnsi="Perpetua"/>
        </w:rPr>
        <w:t>Which is not to deny th</w:t>
      </w:r>
      <w:r w:rsidR="002F6C27">
        <w:rPr>
          <w:rFonts w:ascii="Perpetua" w:hAnsi="Perpetua"/>
        </w:rPr>
        <w:t>at the</w:t>
      </w:r>
      <w:r>
        <w:rPr>
          <w:rFonts w:ascii="Perpetua" w:hAnsi="Perpetua"/>
        </w:rPr>
        <w:t xml:space="preserve"> demarcation problem</w:t>
      </w:r>
      <w:r w:rsidR="00E0548F">
        <w:rPr>
          <w:rFonts w:ascii="Perpetua" w:hAnsi="Perpetua"/>
        </w:rPr>
        <w:t xml:space="preserve"> is</w:t>
      </w:r>
      <w:r>
        <w:rPr>
          <w:rFonts w:ascii="Perpetua" w:hAnsi="Perpetua"/>
        </w:rPr>
        <w:t xml:space="preserve"> a </w:t>
      </w:r>
      <w:r w:rsidR="004753E5">
        <w:rPr>
          <w:rFonts w:ascii="Perpetua" w:hAnsi="Perpetua"/>
        </w:rPr>
        <w:t xml:space="preserve">real </w:t>
      </w:r>
      <w:r>
        <w:rPr>
          <w:rFonts w:ascii="Perpetua" w:hAnsi="Perpetua"/>
        </w:rPr>
        <w:t xml:space="preserve">challenge that </w:t>
      </w:r>
      <w:r w:rsidR="00E0548F">
        <w:rPr>
          <w:rFonts w:ascii="Perpetua" w:hAnsi="Perpetua"/>
        </w:rPr>
        <w:t xml:space="preserve">any </w:t>
      </w:r>
      <w:r w:rsidRPr="004A5973">
        <w:rPr>
          <w:rFonts w:ascii="Perpetua" w:hAnsi="Perpetua"/>
        </w:rPr>
        <w:t>biocentri</w:t>
      </w:r>
      <w:r w:rsidR="00E0548F">
        <w:rPr>
          <w:rFonts w:ascii="Perpetua" w:hAnsi="Perpetua"/>
        </w:rPr>
        <w:t>c</w:t>
      </w:r>
      <w:r w:rsidRPr="004A5973">
        <w:rPr>
          <w:rFonts w:ascii="Perpetua" w:hAnsi="Perpetua"/>
        </w:rPr>
        <w:t xml:space="preserve"> </w:t>
      </w:r>
      <w:r w:rsidR="00E0548F">
        <w:rPr>
          <w:rFonts w:ascii="Perpetua" w:hAnsi="Perpetua"/>
        </w:rPr>
        <w:t xml:space="preserve">ethic </w:t>
      </w:r>
      <w:r w:rsidRPr="004A5973">
        <w:rPr>
          <w:rFonts w:ascii="Perpetua" w:hAnsi="Perpetua"/>
        </w:rPr>
        <w:t>must meet</w:t>
      </w:r>
      <w:r>
        <w:rPr>
          <w:rFonts w:ascii="Perpetua" w:hAnsi="Perpetua"/>
        </w:rPr>
        <w:t>.</w:t>
      </w:r>
      <w:r>
        <w:rPr>
          <w:rStyle w:val="FootnoteReference"/>
          <w:rFonts w:ascii="Perpetua" w:hAnsi="Perpetua"/>
        </w:rPr>
        <w:footnoteReference w:id="41"/>
      </w:r>
      <w:r>
        <w:rPr>
          <w:rFonts w:ascii="Perpetua" w:hAnsi="Perpetua"/>
        </w:rPr>
        <w:t xml:space="preserve"> In OBMC, Goodpaster </w:t>
      </w:r>
      <w:r w:rsidR="00E0548F">
        <w:rPr>
          <w:rFonts w:ascii="Perpetua" w:hAnsi="Perpetua"/>
        </w:rPr>
        <w:t>provided</w:t>
      </w:r>
      <w:r>
        <w:rPr>
          <w:rFonts w:ascii="Perpetua" w:hAnsi="Perpetua"/>
        </w:rPr>
        <w:t xml:space="preserve"> the basis for such ethic and, in anticipation of likely criticism, the outline of a forceful response.  </w:t>
      </w:r>
    </w:p>
    <w:p w14:paraId="201A5199" w14:textId="77777777" w:rsidR="004753E5" w:rsidRDefault="004753E5" w:rsidP="00BE0B55">
      <w:pPr>
        <w:spacing w:line="480" w:lineRule="auto"/>
        <w:jc w:val="both"/>
        <w:rPr>
          <w:rFonts w:ascii="Perpetua" w:hAnsi="Perpetua"/>
        </w:rPr>
      </w:pPr>
    </w:p>
    <w:p w14:paraId="74D899E4" w14:textId="6993D1BD" w:rsidR="00BE0B55" w:rsidRPr="004A5973" w:rsidRDefault="00BE0B55" w:rsidP="00BE0B55">
      <w:pPr>
        <w:spacing w:line="480" w:lineRule="auto"/>
        <w:jc w:val="both"/>
        <w:rPr>
          <w:rFonts w:ascii="Perpetua" w:hAnsi="Perpetua"/>
        </w:rPr>
      </w:pPr>
      <w:r>
        <w:rPr>
          <w:rFonts w:ascii="Perpetua" w:hAnsi="Perpetua"/>
        </w:rPr>
        <w:t>Word Count</w:t>
      </w:r>
      <w:r w:rsidR="004753E5">
        <w:rPr>
          <w:rFonts w:ascii="Perpetua" w:hAnsi="Perpetua"/>
        </w:rPr>
        <w:t xml:space="preserve"> (excluding title and footnotes)</w:t>
      </w:r>
      <w:r>
        <w:rPr>
          <w:rFonts w:ascii="Perpetua" w:hAnsi="Perpetua"/>
        </w:rPr>
        <w:t>: 1,</w:t>
      </w:r>
      <w:r w:rsidR="004753E5">
        <w:rPr>
          <w:rFonts w:ascii="Perpetua" w:hAnsi="Perpetua"/>
        </w:rPr>
        <w:t>08</w:t>
      </w:r>
      <w:r w:rsidR="00C6093A">
        <w:rPr>
          <w:rFonts w:ascii="Perpetua" w:hAnsi="Perpetua"/>
        </w:rPr>
        <w:t>0</w:t>
      </w:r>
      <w:r>
        <w:rPr>
          <w:rFonts w:ascii="Perpetua" w:hAnsi="Perpetua"/>
        </w:rPr>
        <w:t>.</w:t>
      </w:r>
    </w:p>
    <w:p w14:paraId="5E2F3295" w14:textId="77777777" w:rsidR="00BE0B55" w:rsidRDefault="00BE0B55" w:rsidP="00BE0B55">
      <w:pPr>
        <w:autoSpaceDE w:val="0"/>
        <w:autoSpaceDN w:val="0"/>
        <w:adjustRightInd w:val="0"/>
        <w:spacing w:after="0" w:line="480" w:lineRule="auto"/>
        <w:jc w:val="both"/>
        <w:rPr>
          <w:rFonts w:ascii="Perpetua" w:hAnsi="Perpetua" w:cs="Times New Roman"/>
          <w:b/>
          <w:bCs/>
          <w:color w:val="000000" w:themeColor="text1"/>
          <w:kern w:val="0"/>
        </w:rPr>
      </w:pPr>
    </w:p>
    <w:p w14:paraId="48CAB4D3" w14:textId="05C88791" w:rsidR="00BE0B55" w:rsidRDefault="00BE0B55">
      <w:pPr>
        <w:rPr>
          <w:rFonts w:ascii="Perpetua" w:hAnsi="Perpetua" w:cs="Times New Roman"/>
          <w:b/>
          <w:bCs/>
          <w:color w:val="000000" w:themeColor="text1"/>
          <w:kern w:val="0"/>
        </w:rPr>
      </w:pPr>
      <w:r>
        <w:rPr>
          <w:rFonts w:ascii="Perpetua" w:hAnsi="Perpetua" w:cs="Times New Roman"/>
          <w:b/>
          <w:bCs/>
          <w:color w:val="000000" w:themeColor="text1"/>
          <w:kern w:val="0"/>
        </w:rPr>
        <w:br w:type="page"/>
      </w:r>
    </w:p>
    <w:p w14:paraId="79057E52" w14:textId="77777777" w:rsidR="00BE0B55" w:rsidRDefault="00BE0B55" w:rsidP="00BE0B55">
      <w:pPr>
        <w:autoSpaceDE w:val="0"/>
        <w:autoSpaceDN w:val="0"/>
        <w:adjustRightInd w:val="0"/>
        <w:spacing w:after="0" w:line="480" w:lineRule="auto"/>
        <w:jc w:val="both"/>
        <w:rPr>
          <w:rFonts w:ascii="Perpetua" w:hAnsi="Perpetua" w:cs="Times New Roman"/>
          <w:b/>
          <w:bCs/>
          <w:color w:val="000000" w:themeColor="text1"/>
          <w:kern w:val="0"/>
        </w:rPr>
      </w:pPr>
    </w:p>
    <w:p w14:paraId="22E3E40E" w14:textId="53B45917" w:rsidR="00BE0B55" w:rsidRPr="000745CD" w:rsidRDefault="00BE0B55" w:rsidP="00BE0B55">
      <w:pPr>
        <w:autoSpaceDE w:val="0"/>
        <w:autoSpaceDN w:val="0"/>
        <w:adjustRightInd w:val="0"/>
        <w:spacing w:after="0" w:line="480" w:lineRule="auto"/>
        <w:jc w:val="both"/>
        <w:rPr>
          <w:rFonts w:ascii="Perpetua" w:hAnsi="Perpetua" w:cs="Times New Roman"/>
          <w:b/>
          <w:bCs/>
          <w:color w:val="000000" w:themeColor="text1"/>
          <w:kern w:val="0"/>
        </w:rPr>
      </w:pPr>
      <w:r w:rsidRPr="000745CD">
        <w:rPr>
          <w:rFonts w:ascii="Perpetua" w:hAnsi="Perpetua" w:cs="Times New Roman"/>
          <w:b/>
          <w:bCs/>
          <w:color w:val="000000" w:themeColor="text1"/>
          <w:kern w:val="0"/>
        </w:rPr>
        <w:t xml:space="preserve">2. </w:t>
      </w:r>
    </w:p>
    <w:p w14:paraId="1BB0AB81" w14:textId="77057BB8" w:rsidR="00BE0B55" w:rsidRPr="000745CD" w:rsidRDefault="00BE0B55" w:rsidP="00BE0B55">
      <w:pPr>
        <w:autoSpaceDE w:val="0"/>
        <w:autoSpaceDN w:val="0"/>
        <w:adjustRightInd w:val="0"/>
        <w:spacing w:after="0" w:line="480" w:lineRule="auto"/>
        <w:jc w:val="both"/>
        <w:rPr>
          <w:rFonts w:ascii="Perpetua" w:hAnsi="Perpetua"/>
          <w:b/>
          <w:bCs/>
          <w:color w:val="000000" w:themeColor="text1"/>
          <w:lang w:val="en-US"/>
        </w:rPr>
      </w:pPr>
      <w:r w:rsidRPr="000745CD">
        <w:rPr>
          <w:rFonts w:ascii="Perpetua" w:hAnsi="Perpetua"/>
          <w:b/>
          <w:bCs/>
          <w:color w:val="000000" w:themeColor="text1"/>
        </w:rPr>
        <w:t>B. Norton, ‘</w:t>
      </w:r>
      <w:r w:rsidRPr="000745CD">
        <w:rPr>
          <w:rFonts w:ascii="Perpetua" w:hAnsi="Perpetua"/>
          <w:b/>
          <w:bCs/>
          <w:color w:val="000000" w:themeColor="text1"/>
          <w:lang w:val="en-US"/>
        </w:rPr>
        <w:t xml:space="preserve">Environmental Ethics and Weak Anthropocentrism’, </w:t>
      </w:r>
      <w:r w:rsidRPr="000745CD">
        <w:rPr>
          <w:rFonts w:ascii="Perpetua" w:hAnsi="Perpetua"/>
          <w:b/>
          <w:bCs/>
          <w:i/>
          <w:color w:val="000000" w:themeColor="text1"/>
          <w:lang w:val="en-US"/>
        </w:rPr>
        <w:t>Environmental Ethics</w:t>
      </w:r>
      <w:r w:rsidR="002F6C27">
        <w:rPr>
          <w:rFonts w:ascii="Perpetua" w:hAnsi="Perpetua"/>
          <w:b/>
          <w:bCs/>
          <w:color w:val="000000" w:themeColor="text1"/>
          <w:lang w:val="en-US"/>
        </w:rPr>
        <w:t xml:space="preserve">, </w:t>
      </w:r>
      <w:r w:rsidRPr="000745CD">
        <w:rPr>
          <w:rFonts w:ascii="Perpetua" w:hAnsi="Perpetua"/>
          <w:b/>
          <w:bCs/>
          <w:color w:val="000000" w:themeColor="text1"/>
          <w:lang w:val="en-US"/>
        </w:rPr>
        <w:t>Vol.</w:t>
      </w:r>
      <w:r w:rsidR="002F6C27">
        <w:rPr>
          <w:rFonts w:ascii="Perpetua" w:hAnsi="Perpetua"/>
          <w:b/>
          <w:bCs/>
          <w:color w:val="000000" w:themeColor="text1"/>
          <w:lang w:val="en-US"/>
        </w:rPr>
        <w:t xml:space="preserve"> </w:t>
      </w:r>
      <w:r w:rsidRPr="000745CD">
        <w:rPr>
          <w:rFonts w:ascii="Perpetua" w:hAnsi="Perpetua"/>
          <w:b/>
          <w:bCs/>
          <w:color w:val="000000" w:themeColor="text1"/>
          <w:lang w:val="en-US"/>
        </w:rPr>
        <w:t xml:space="preserve">6 </w:t>
      </w:r>
      <w:r w:rsidR="002F6C27">
        <w:rPr>
          <w:rFonts w:ascii="Perpetua" w:hAnsi="Perpetua"/>
          <w:b/>
          <w:bCs/>
          <w:color w:val="000000" w:themeColor="text1"/>
          <w:lang w:val="en-US"/>
        </w:rPr>
        <w:t>(</w:t>
      </w:r>
      <w:r w:rsidRPr="000745CD">
        <w:rPr>
          <w:rFonts w:ascii="Perpetua" w:hAnsi="Perpetua"/>
          <w:b/>
          <w:bCs/>
          <w:color w:val="000000" w:themeColor="text1"/>
          <w:lang w:val="en-US"/>
        </w:rPr>
        <w:t>198</w:t>
      </w:r>
      <w:r w:rsidR="002F6C27">
        <w:rPr>
          <w:rFonts w:ascii="Perpetua" w:hAnsi="Perpetua"/>
          <w:b/>
          <w:bCs/>
          <w:color w:val="000000" w:themeColor="text1"/>
          <w:lang w:val="en-US"/>
        </w:rPr>
        <w:t xml:space="preserve">4), pp. 131 – 148. </w:t>
      </w:r>
    </w:p>
    <w:p w14:paraId="63B0331A" w14:textId="77777777" w:rsidR="00BE0B55" w:rsidRPr="000745CD" w:rsidRDefault="00BE0B55" w:rsidP="00BE0B55">
      <w:pPr>
        <w:autoSpaceDE w:val="0"/>
        <w:autoSpaceDN w:val="0"/>
        <w:adjustRightInd w:val="0"/>
        <w:spacing w:after="0" w:line="480" w:lineRule="auto"/>
        <w:jc w:val="both"/>
        <w:rPr>
          <w:rFonts w:ascii="Perpetua" w:hAnsi="Perpetua" w:cs="Times New Roman"/>
          <w:b/>
          <w:bCs/>
          <w:color w:val="000000" w:themeColor="text1"/>
          <w:kern w:val="0"/>
          <w:u w:val="single"/>
        </w:rPr>
      </w:pPr>
    </w:p>
    <w:p w14:paraId="79A551F8" w14:textId="5162F299" w:rsidR="00BE0B55" w:rsidRDefault="00BE0B55" w:rsidP="00BE0B55">
      <w:pPr>
        <w:autoSpaceDE w:val="0"/>
        <w:autoSpaceDN w:val="0"/>
        <w:adjustRightInd w:val="0"/>
        <w:spacing w:after="0" w:line="480" w:lineRule="auto"/>
        <w:jc w:val="both"/>
        <w:rPr>
          <w:rFonts w:ascii="Perpetua" w:hAnsi="Perpetua" w:cs="Times New Roman"/>
          <w:color w:val="2A2A2A"/>
          <w:kern w:val="0"/>
        </w:rPr>
      </w:pPr>
      <w:r>
        <w:rPr>
          <w:rFonts w:ascii="Perpetua" w:hAnsi="Perpetua" w:cs="Times New Roman"/>
          <w:color w:val="2A2A2A"/>
          <w:kern w:val="0"/>
        </w:rPr>
        <w:t xml:space="preserve"> </w:t>
      </w:r>
      <w:r w:rsidRPr="00D57827">
        <w:rPr>
          <w:rFonts w:ascii="Perpetua" w:hAnsi="Perpetua" w:cs="Times New Roman"/>
          <w:color w:val="2A2A2A"/>
          <w:kern w:val="0"/>
        </w:rPr>
        <w:t>The question of whether traditional ethics could provide adequate foundations for the ethical challenges presented by anthropogenic environmental crises preoccupied early environmental ethic</w:t>
      </w:r>
      <w:r w:rsidR="004753E5">
        <w:rPr>
          <w:rFonts w:ascii="Perpetua" w:hAnsi="Perpetua" w:cs="Times New Roman"/>
          <w:color w:val="2A2A2A"/>
          <w:kern w:val="0"/>
        </w:rPr>
        <w:t>s</w:t>
      </w:r>
      <w:r w:rsidRPr="00D57827">
        <w:rPr>
          <w:rFonts w:ascii="Perpetua" w:hAnsi="Perpetua" w:cs="Times New Roman"/>
          <w:color w:val="2A2A2A"/>
          <w:kern w:val="0"/>
        </w:rPr>
        <w:t>. For those who thought a new ethic was required, the inadequacy of existing approaches was usually attributed to their normative anthropocentrism.</w:t>
      </w:r>
      <w:r w:rsidRPr="00D57827">
        <w:rPr>
          <w:rStyle w:val="FootnoteReference"/>
          <w:rFonts w:ascii="Perpetua" w:hAnsi="Perpetua" w:cs="Times New Roman"/>
          <w:color w:val="2A2A2A"/>
          <w:kern w:val="0"/>
        </w:rPr>
        <w:footnoteReference w:id="42"/>
      </w:r>
      <w:r w:rsidRPr="00D57827">
        <w:rPr>
          <w:rFonts w:ascii="Perpetua" w:hAnsi="Perpetua" w:cs="Times New Roman"/>
          <w:color w:val="2A2A2A"/>
          <w:kern w:val="0"/>
        </w:rPr>
        <w:t xml:space="preserve"> Across the literature, the assumption grew that the existing theories, by their anthropocentrism, were antithetical to the environmental agenda and anthropocentrism necessarily rejected so to construct a new environmental ethics (“EE”).</w:t>
      </w:r>
      <w:r w:rsidRPr="00D57827">
        <w:rPr>
          <w:rStyle w:val="FootnoteReference"/>
          <w:rFonts w:ascii="Perpetua" w:hAnsi="Perpetua" w:cs="Times New Roman"/>
          <w:color w:val="2A2A2A"/>
          <w:kern w:val="0"/>
        </w:rPr>
        <w:footnoteReference w:id="43"/>
      </w:r>
      <w:r w:rsidRPr="00D57827">
        <w:rPr>
          <w:rFonts w:ascii="Perpetua" w:hAnsi="Perpetua" w:cs="Times New Roman"/>
          <w:color w:val="2A2A2A"/>
          <w:kern w:val="0"/>
        </w:rPr>
        <w:t xml:space="preserve"> </w:t>
      </w:r>
    </w:p>
    <w:p w14:paraId="56469C04" w14:textId="77777777" w:rsidR="00BE0B55" w:rsidRPr="00D57827" w:rsidRDefault="00BE0B55" w:rsidP="00BE0B55">
      <w:pPr>
        <w:autoSpaceDE w:val="0"/>
        <w:autoSpaceDN w:val="0"/>
        <w:adjustRightInd w:val="0"/>
        <w:spacing w:after="0" w:line="480" w:lineRule="auto"/>
        <w:jc w:val="both"/>
        <w:rPr>
          <w:rFonts w:ascii="Perpetua" w:hAnsi="Perpetua" w:cs="Times New Roman"/>
          <w:color w:val="2A2A2A"/>
          <w:kern w:val="0"/>
        </w:rPr>
      </w:pPr>
    </w:p>
    <w:p w14:paraId="6DDC2822" w14:textId="72B16D53" w:rsidR="00BE0B55" w:rsidRPr="00D57827" w:rsidRDefault="00BE0B55" w:rsidP="00BE0B55">
      <w:pPr>
        <w:widowControl w:val="0"/>
        <w:autoSpaceDE w:val="0"/>
        <w:autoSpaceDN w:val="0"/>
        <w:adjustRightInd w:val="0"/>
        <w:spacing w:line="480" w:lineRule="auto"/>
        <w:jc w:val="both"/>
        <w:rPr>
          <w:rFonts w:ascii="Perpetua" w:hAnsi="Perpetua" w:cs="Times New Roman"/>
          <w:color w:val="2A2A2A"/>
          <w:kern w:val="0"/>
        </w:rPr>
      </w:pPr>
      <w:r>
        <w:rPr>
          <w:rFonts w:ascii="Perpetua" w:hAnsi="Perpetua" w:cs="Times New Roman"/>
          <w:color w:val="2A2A2A"/>
          <w:kern w:val="0"/>
        </w:rPr>
        <w:t>In decades since,</w:t>
      </w:r>
      <w:r w:rsidRPr="00D57827">
        <w:rPr>
          <w:rFonts w:ascii="Perpetua" w:hAnsi="Perpetua" w:cs="Times New Roman"/>
          <w:color w:val="2A2A2A"/>
          <w:kern w:val="0"/>
        </w:rPr>
        <w:t xml:space="preserve"> the relationship between anthropocentrism and EE has been much complicated several times over. But, back in 1984, a simple antagonism was widely assumed</w:t>
      </w:r>
      <w:r w:rsidR="004753E5">
        <w:rPr>
          <w:rFonts w:ascii="Perpetua" w:hAnsi="Perpetua" w:cs="Times New Roman"/>
          <w:color w:val="2A2A2A"/>
          <w:kern w:val="0"/>
        </w:rPr>
        <w:t xml:space="preserve">. </w:t>
      </w:r>
      <w:r w:rsidR="00C6093A">
        <w:rPr>
          <w:rFonts w:ascii="Perpetua" w:hAnsi="Perpetua" w:cs="Times New Roman"/>
          <w:color w:val="2A2A2A"/>
          <w:kern w:val="0"/>
        </w:rPr>
        <w:t>Here</w:t>
      </w:r>
      <w:r w:rsidR="004753E5">
        <w:rPr>
          <w:rFonts w:ascii="Perpetua" w:hAnsi="Perpetua" w:cs="Times New Roman"/>
          <w:color w:val="2A2A2A"/>
          <w:kern w:val="0"/>
        </w:rPr>
        <w:t xml:space="preserve">, </w:t>
      </w:r>
      <w:r w:rsidRPr="00D57827">
        <w:rPr>
          <w:rFonts w:ascii="Perpetua" w:hAnsi="Perpetua" w:cs="Times New Roman"/>
          <w:color w:val="2A2A2A"/>
          <w:kern w:val="0"/>
        </w:rPr>
        <w:t>Bryan Norton began to trouble the assumption and make a case for anthropocentrism.</w:t>
      </w:r>
      <w:r w:rsidRPr="00D57827">
        <w:rPr>
          <w:rStyle w:val="FootnoteReference"/>
          <w:rFonts w:ascii="Perpetua" w:hAnsi="Perpetua" w:cs="Times New Roman"/>
          <w:color w:val="2A2A2A"/>
          <w:kern w:val="0"/>
        </w:rPr>
        <w:footnoteReference w:id="44"/>
      </w:r>
      <w:r w:rsidRPr="00D57827">
        <w:rPr>
          <w:rFonts w:ascii="Perpetua" w:hAnsi="Perpetua" w:cs="Times New Roman"/>
          <w:color w:val="2A2A2A"/>
          <w:kern w:val="0"/>
        </w:rPr>
        <w:t xml:space="preserve"> </w:t>
      </w:r>
    </w:p>
    <w:p w14:paraId="31FC82A9" w14:textId="77777777" w:rsidR="00BE0B55" w:rsidRDefault="00BE0B55" w:rsidP="00BE0B55">
      <w:pPr>
        <w:autoSpaceDE w:val="0"/>
        <w:autoSpaceDN w:val="0"/>
        <w:adjustRightInd w:val="0"/>
        <w:spacing w:after="0" w:line="480" w:lineRule="auto"/>
        <w:jc w:val="both"/>
        <w:rPr>
          <w:rFonts w:ascii="Perpetua" w:hAnsi="Perpetua" w:cs="Times New Roman"/>
          <w:color w:val="2A2A2A"/>
          <w:kern w:val="0"/>
        </w:rPr>
      </w:pPr>
    </w:p>
    <w:p w14:paraId="790DED17" w14:textId="309B24EF" w:rsidR="00C73E28" w:rsidRDefault="00BE0B55" w:rsidP="00BE0B55">
      <w:pPr>
        <w:autoSpaceDE w:val="0"/>
        <w:autoSpaceDN w:val="0"/>
        <w:adjustRightInd w:val="0"/>
        <w:spacing w:after="0" w:line="480" w:lineRule="auto"/>
        <w:jc w:val="both"/>
        <w:rPr>
          <w:rFonts w:ascii="Perpetua" w:hAnsi="Perpetua"/>
        </w:rPr>
      </w:pPr>
      <w:r>
        <w:rPr>
          <w:rFonts w:ascii="Perpetua" w:hAnsi="Perpetua" w:cs="Times New Roman"/>
          <w:color w:val="2A2A2A"/>
          <w:kern w:val="0"/>
        </w:rPr>
        <w:t>For</w:t>
      </w:r>
      <w:r w:rsidRPr="00D57827">
        <w:rPr>
          <w:rFonts w:ascii="Perpetua" w:hAnsi="Perpetua" w:cs="Times New Roman"/>
          <w:color w:val="2A2A2A"/>
          <w:kern w:val="0"/>
        </w:rPr>
        <w:t xml:space="preserve"> Norton, the assumption that EE is necessarily non-anthropocentric </w:t>
      </w:r>
      <w:r>
        <w:rPr>
          <w:rFonts w:ascii="Perpetua" w:hAnsi="Perpetua" w:cs="Times New Roman"/>
          <w:color w:val="2A2A2A"/>
          <w:kern w:val="0"/>
        </w:rPr>
        <w:t>was</w:t>
      </w:r>
      <w:r w:rsidRPr="00D57827">
        <w:rPr>
          <w:rFonts w:ascii="Perpetua" w:hAnsi="Perpetua" w:cs="Times New Roman"/>
          <w:color w:val="2A2A2A"/>
          <w:kern w:val="0"/>
        </w:rPr>
        <w:t xml:space="preserve"> a mistake.</w:t>
      </w:r>
      <w:r>
        <w:rPr>
          <w:rFonts w:ascii="Perpetua" w:hAnsi="Perpetua" w:cs="Times New Roman"/>
          <w:color w:val="2A2A2A"/>
          <w:kern w:val="0"/>
        </w:rPr>
        <w:t xml:space="preserve"> It was wrongly assumed that a new ethic needed to be founded on ‘</w:t>
      </w:r>
      <w:r w:rsidRPr="00D57827">
        <w:rPr>
          <w:rFonts w:ascii="Perpetua" w:hAnsi="Perpetua"/>
        </w:rPr>
        <w:t>value independent of human value’</w:t>
      </w:r>
      <w:r>
        <w:rPr>
          <w:rFonts w:ascii="Perpetua" w:hAnsi="Perpetua"/>
        </w:rPr>
        <w:t>.</w:t>
      </w:r>
      <w:r w:rsidRPr="00D57827">
        <w:rPr>
          <w:rStyle w:val="FootnoteReference"/>
          <w:rFonts w:ascii="Perpetua" w:hAnsi="Perpetua"/>
        </w:rPr>
        <w:footnoteReference w:id="45"/>
      </w:r>
      <w:r>
        <w:rPr>
          <w:rFonts w:ascii="Perpetua" w:hAnsi="Perpetua"/>
        </w:rPr>
        <w:t xml:space="preserve"> </w:t>
      </w:r>
      <w:r w:rsidRPr="00D57827">
        <w:rPr>
          <w:rFonts w:ascii="Perpetua" w:hAnsi="Perpetua"/>
        </w:rPr>
        <w:t>Anthropocentrism ha</w:t>
      </w:r>
      <w:r>
        <w:rPr>
          <w:rFonts w:ascii="Perpetua" w:hAnsi="Perpetua"/>
        </w:rPr>
        <w:t>d</w:t>
      </w:r>
      <w:r w:rsidRPr="00D57827">
        <w:rPr>
          <w:rFonts w:ascii="Perpetua" w:hAnsi="Perpetua"/>
        </w:rPr>
        <w:t xml:space="preserve"> come to be defined ‘by reference to the position taken on loci of value’.</w:t>
      </w:r>
      <w:r w:rsidR="00204FBF">
        <w:rPr>
          <w:rStyle w:val="FootnoteReference"/>
          <w:rFonts w:ascii="Perpetua" w:hAnsi="Perpetua"/>
        </w:rPr>
        <w:footnoteReference w:id="46"/>
      </w:r>
      <w:r w:rsidRPr="00D57827">
        <w:rPr>
          <w:rFonts w:ascii="Perpetua" w:hAnsi="Perpetua"/>
        </w:rPr>
        <w:t xml:space="preserve"> </w:t>
      </w:r>
      <w:r w:rsidRPr="00D57827">
        <w:rPr>
          <w:rFonts w:ascii="Perpetua" w:hAnsi="Perpetua"/>
        </w:rPr>
        <w:lastRenderedPageBreak/>
        <w:t xml:space="preserve">Adherents </w:t>
      </w:r>
      <w:r w:rsidR="00C6093A">
        <w:rPr>
          <w:rFonts w:ascii="Perpetua" w:hAnsi="Perpetua"/>
        </w:rPr>
        <w:t xml:space="preserve">are </w:t>
      </w:r>
      <w:r w:rsidRPr="00D57827">
        <w:rPr>
          <w:rFonts w:ascii="Perpetua" w:hAnsi="Perpetua"/>
        </w:rPr>
        <w:t>‘taken to believe that every instance of value originates in a contribution to human values</w:t>
      </w:r>
      <w:r>
        <w:rPr>
          <w:rFonts w:ascii="Perpetua" w:hAnsi="Perpetua"/>
        </w:rPr>
        <w:t>.</w:t>
      </w:r>
      <w:r w:rsidRPr="00D57827">
        <w:rPr>
          <w:rFonts w:ascii="Perpetua" w:hAnsi="Perpetua"/>
        </w:rPr>
        <w:t>’</w:t>
      </w:r>
      <w:r w:rsidRPr="000B24A1">
        <w:rPr>
          <w:rStyle w:val="FootnoteReference"/>
          <w:rFonts w:ascii="Perpetua" w:hAnsi="Perpetua"/>
        </w:rPr>
        <w:footnoteReference w:id="47"/>
      </w:r>
      <w:r w:rsidRPr="000B24A1">
        <w:rPr>
          <w:rFonts w:ascii="Perpetua" w:hAnsi="Perpetua"/>
        </w:rPr>
        <w:t xml:space="preserve"> </w:t>
      </w:r>
      <w:r>
        <w:rPr>
          <w:rFonts w:ascii="Perpetua" w:hAnsi="Perpetua"/>
        </w:rPr>
        <w:t>But there is no equivalence between</w:t>
      </w:r>
      <w:r w:rsidR="00BF5880">
        <w:rPr>
          <w:rFonts w:ascii="Perpetua" w:hAnsi="Perpetua"/>
        </w:rPr>
        <w:t xml:space="preserve"> </w:t>
      </w:r>
      <w:r>
        <w:rPr>
          <w:rFonts w:ascii="Perpetua" w:hAnsi="Perpetua"/>
        </w:rPr>
        <w:t xml:space="preserve">two </w:t>
      </w:r>
      <w:r w:rsidR="00BF5880">
        <w:rPr>
          <w:rFonts w:ascii="Perpetua" w:hAnsi="Perpetua"/>
        </w:rPr>
        <w:t>distinct</w:t>
      </w:r>
      <w:r>
        <w:rPr>
          <w:rFonts w:ascii="Perpetua" w:hAnsi="Perpetua"/>
        </w:rPr>
        <w:t xml:space="preserve"> questions</w:t>
      </w:r>
      <w:r w:rsidR="00BF5880">
        <w:rPr>
          <w:rFonts w:ascii="Perpetua" w:hAnsi="Perpetua"/>
        </w:rPr>
        <w:t>.</w:t>
      </w:r>
      <w:r w:rsidR="00BF5880">
        <w:rPr>
          <w:rStyle w:val="FootnoteReference"/>
          <w:rFonts w:ascii="Perpetua" w:hAnsi="Perpetua"/>
        </w:rPr>
        <w:footnoteReference w:id="48"/>
      </w:r>
      <w:r>
        <w:rPr>
          <w:rFonts w:ascii="Perpetua" w:hAnsi="Perpetua"/>
        </w:rPr>
        <w:t xml:space="preserve"> </w:t>
      </w:r>
      <w:r w:rsidRPr="00D57827">
        <w:rPr>
          <w:rFonts w:ascii="Perpetua" w:hAnsi="Perpetua"/>
        </w:rPr>
        <w:t>The anthropocentrism/non</w:t>
      </w:r>
      <w:r>
        <w:rPr>
          <w:rFonts w:ascii="Perpetua" w:hAnsi="Perpetua"/>
        </w:rPr>
        <w:t>-</w:t>
      </w:r>
      <w:r w:rsidRPr="00D57827">
        <w:rPr>
          <w:rFonts w:ascii="Perpetua" w:hAnsi="Perpetua"/>
        </w:rPr>
        <w:t>anthropocentrism issue was ‘far less important than…usually assumed’</w:t>
      </w:r>
      <w:r>
        <w:rPr>
          <w:rFonts w:ascii="Perpetua" w:hAnsi="Perpetua"/>
        </w:rPr>
        <w:t>. In fact, ‘i</w:t>
      </w:r>
      <w:r w:rsidRPr="00D57827">
        <w:rPr>
          <w:rFonts w:ascii="Perpetua" w:hAnsi="Perpetua"/>
        </w:rPr>
        <w:t>ndividual/nonindividual</w:t>
      </w:r>
      <w:r>
        <w:rPr>
          <w:rFonts w:ascii="Perpetua" w:hAnsi="Perpetua"/>
        </w:rPr>
        <w:t>’ was much more significant</w:t>
      </w:r>
      <w:r w:rsidRPr="00D57827">
        <w:rPr>
          <w:rFonts w:ascii="Perpetua" w:hAnsi="Perpetua"/>
        </w:rPr>
        <w:t>.</w:t>
      </w:r>
      <w:r>
        <w:rPr>
          <w:rStyle w:val="FootnoteReference"/>
          <w:rFonts w:ascii="Perpetua" w:hAnsi="Perpetua"/>
        </w:rPr>
        <w:footnoteReference w:id="49"/>
      </w:r>
      <w:r w:rsidRPr="00D57827">
        <w:rPr>
          <w:rFonts w:ascii="Perpetua" w:hAnsi="Perpetua"/>
        </w:rPr>
        <w:t xml:space="preserve"> </w:t>
      </w:r>
    </w:p>
    <w:p w14:paraId="07856369" w14:textId="77777777" w:rsidR="00C73E28" w:rsidRDefault="00C73E28" w:rsidP="00BE0B55">
      <w:pPr>
        <w:autoSpaceDE w:val="0"/>
        <w:autoSpaceDN w:val="0"/>
        <w:adjustRightInd w:val="0"/>
        <w:spacing w:after="0" w:line="480" w:lineRule="auto"/>
        <w:jc w:val="both"/>
        <w:rPr>
          <w:rFonts w:ascii="Perpetua" w:hAnsi="Perpetua"/>
        </w:rPr>
      </w:pPr>
    </w:p>
    <w:p w14:paraId="44EAA6CB" w14:textId="77777777" w:rsidR="00C73E28" w:rsidRDefault="00BE0B55" w:rsidP="00BE0B55">
      <w:pPr>
        <w:autoSpaceDE w:val="0"/>
        <w:autoSpaceDN w:val="0"/>
        <w:adjustRightInd w:val="0"/>
        <w:spacing w:after="0" w:line="480" w:lineRule="auto"/>
        <w:jc w:val="both"/>
        <w:rPr>
          <w:rFonts w:ascii="Perpetua" w:hAnsi="Perpetua"/>
        </w:rPr>
      </w:pPr>
      <w:r>
        <w:rPr>
          <w:rFonts w:ascii="Perpetua" w:hAnsi="Perpetua"/>
        </w:rPr>
        <w:t xml:space="preserve">Norton’s </w:t>
      </w:r>
      <w:r w:rsidRPr="00D57827">
        <w:rPr>
          <w:rFonts w:ascii="Perpetua" w:hAnsi="Perpetua"/>
        </w:rPr>
        <w:t>negative thesis has two parts</w:t>
      </w:r>
      <w:r>
        <w:rPr>
          <w:rFonts w:ascii="Perpetua" w:hAnsi="Perpetua"/>
        </w:rPr>
        <w:t>. An</w:t>
      </w:r>
      <w:r w:rsidRPr="00D57827">
        <w:rPr>
          <w:rFonts w:ascii="Perpetua" w:hAnsi="Perpetua"/>
        </w:rPr>
        <w:t xml:space="preserve"> adequate EE (</w:t>
      </w:r>
      <w:proofErr w:type="spellStart"/>
      <w:r w:rsidRPr="00D57827">
        <w:rPr>
          <w:rFonts w:ascii="Perpetua" w:hAnsi="Perpetua"/>
        </w:rPr>
        <w:t>i</w:t>
      </w:r>
      <w:proofErr w:type="spellEnd"/>
      <w:r w:rsidRPr="00D57827">
        <w:rPr>
          <w:rFonts w:ascii="Perpetua" w:hAnsi="Perpetua"/>
        </w:rPr>
        <w:t>) need not be non</w:t>
      </w:r>
      <w:r>
        <w:rPr>
          <w:rFonts w:ascii="Perpetua" w:hAnsi="Perpetua"/>
        </w:rPr>
        <w:t>-</w:t>
      </w:r>
      <w:r w:rsidRPr="00D57827">
        <w:rPr>
          <w:rFonts w:ascii="Perpetua" w:hAnsi="Perpetua"/>
        </w:rPr>
        <w:t>a</w:t>
      </w:r>
      <w:r>
        <w:rPr>
          <w:rFonts w:ascii="Perpetua" w:hAnsi="Perpetua"/>
        </w:rPr>
        <w:t>n</w:t>
      </w:r>
      <w:r w:rsidRPr="00D57827">
        <w:rPr>
          <w:rFonts w:ascii="Perpetua" w:hAnsi="Perpetua"/>
        </w:rPr>
        <w:t xml:space="preserve">thropocentric and (ii) must not be limited to considerations of individual interests. This opens </w:t>
      </w:r>
      <w:r>
        <w:rPr>
          <w:rFonts w:ascii="Perpetua" w:hAnsi="Perpetua"/>
        </w:rPr>
        <w:t xml:space="preserve">the </w:t>
      </w:r>
      <w:r w:rsidRPr="00D57827">
        <w:rPr>
          <w:rFonts w:ascii="Perpetua" w:hAnsi="Perpetua"/>
        </w:rPr>
        <w:t>space for his positive thesis: a weakly anthropocentric ethic which is not limited to consideration of individuals’ felt preferences</w:t>
      </w:r>
      <w:r w:rsidRPr="00A17F04">
        <w:rPr>
          <w:rFonts w:ascii="Perpetua" w:hAnsi="Perpetua"/>
        </w:rPr>
        <w:t xml:space="preserve"> </w:t>
      </w:r>
      <w:r>
        <w:rPr>
          <w:rFonts w:ascii="Perpetua" w:hAnsi="Perpetua"/>
        </w:rPr>
        <w:t xml:space="preserve">could provide </w:t>
      </w:r>
      <w:r w:rsidRPr="00D57827">
        <w:rPr>
          <w:rFonts w:ascii="Perpetua" w:hAnsi="Perpetua"/>
        </w:rPr>
        <w:t xml:space="preserve">an </w:t>
      </w:r>
      <w:r>
        <w:rPr>
          <w:rFonts w:ascii="Perpetua" w:hAnsi="Perpetua"/>
        </w:rPr>
        <w:t>‘</w:t>
      </w:r>
      <w:r w:rsidRPr="00D57827">
        <w:rPr>
          <w:rFonts w:ascii="Perpetua" w:hAnsi="Perpetua"/>
        </w:rPr>
        <w:t>adequate</w:t>
      </w:r>
      <w:r>
        <w:rPr>
          <w:rFonts w:ascii="Perpetua" w:hAnsi="Perpetua"/>
        </w:rPr>
        <w:t>’ EE and valid alternative.</w:t>
      </w:r>
      <w:r>
        <w:rPr>
          <w:rStyle w:val="FootnoteReference"/>
          <w:rFonts w:ascii="Perpetua" w:hAnsi="Perpetua"/>
        </w:rPr>
        <w:footnoteReference w:id="50"/>
      </w:r>
      <w:r>
        <w:rPr>
          <w:rFonts w:ascii="Perpetua" w:hAnsi="Perpetua"/>
        </w:rPr>
        <w:t xml:space="preserve">  </w:t>
      </w:r>
    </w:p>
    <w:p w14:paraId="16151380" w14:textId="77777777" w:rsidR="00C73E28" w:rsidRDefault="00C73E28" w:rsidP="00BE0B55">
      <w:pPr>
        <w:autoSpaceDE w:val="0"/>
        <w:autoSpaceDN w:val="0"/>
        <w:adjustRightInd w:val="0"/>
        <w:spacing w:after="0" w:line="480" w:lineRule="auto"/>
        <w:jc w:val="both"/>
        <w:rPr>
          <w:rFonts w:ascii="Perpetua" w:hAnsi="Perpetua"/>
        </w:rPr>
      </w:pPr>
    </w:p>
    <w:p w14:paraId="3F78D3E9" w14:textId="2BFD4E3A" w:rsidR="00C73E28" w:rsidRDefault="00BE0B55" w:rsidP="00BE0B55">
      <w:pPr>
        <w:autoSpaceDE w:val="0"/>
        <w:autoSpaceDN w:val="0"/>
        <w:adjustRightInd w:val="0"/>
        <w:spacing w:after="0" w:line="480" w:lineRule="auto"/>
        <w:jc w:val="both"/>
        <w:rPr>
          <w:rFonts w:ascii="Perpetua" w:hAnsi="Perpetua"/>
        </w:rPr>
      </w:pPr>
      <w:r>
        <w:rPr>
          <w:rFonts w:ascii="Perpetua" w:hAnsi="Perpetua"/>
        </w:rPr>
        <w:t>Norton salvages anthropocentrism by reconceptualising ‘</w:t>
      </w:r>
      <w:proofErr w:type="gramStart"/>
      <w:r>
        <w:rPr>
          <w:rFonts w:ascii="Perpetua" w:hAnsi="Perpetua"/>
        </w:rPr>
        <w:t>interests’</w:t>
      </w:r>
      <w:proofErr w:type="gramEnd"/>
      <w:r>
        <w:rPr>
          <w:rFonts w:ascii="Perpetua" w:hAnsi="Perpetua"/>
        </w:rPr>
        <w:t>. First, he distinguishes</w:t>
      </w:r>
      <w:r w:rsidRPr="000B24A1">
        <w:rPr>
          <w:rFonts w:ascii="Perpetua" w:hAnsi="Perpetua"/>
        </w:rPr>
        <w:t xml:space="preserve"> </w:t>
      </w:r>
      <w:r w:rsidRPr="000B24A1">
        <w:rPr>
          <w:rFonts w:ascii="Perpetua" w:hAnsi="Perpetua"/>
          <w:i/>
          <w:iCs/>
        </w:rPr>
        <w:t xml:space="preserve">felt </w:t>
      </w:r>
      <w:r>
        <w:rPr>
          <w:rFonts w:ascii="Perpetua" w:hAnsi="Perpetua"/>
        </w:rPr>
        <w:t xml:space="preserve">and </w:t>
      </w:r>
      <w:r w:rsidRPr="000B24A1">
        <w:rPr>
          <w:rFonts w:ascii="Perpetua" w:hAnsi="Perpetua"/>
          <w:i/>
          <w:iCs/>
        </w:rPr>
        <w:t xml:space="preserve">considered </w:t>
      </w:r>
      <w:r w:rsidRPr="000B24A1">
        <w:rPr>
          <w:rFonts w:ascii="Perpetua" w:hAnsi="Perpetua"/>
        </w:rPr>
        <w:t>preferences</w:t>
      </w:r>
      <w:r>
        <w:rPr>
          <w:rFonts w:ascii="Perpetua" w:hAnsi="Perpetua"/>
        </w:rPr>
        <w:t xml:space="preserve">. He can then </w:t>
      </w:r>
      <w:r w:rsidRPr="000B24A1">
        <w:rPr>
          <w:rFonts w:ascii="Perpetua" w:hAnsi="Perpetua"/>
        </w:rPr>
        <w:t xml:space="preserve">separate out ‘strong’ </w:t>
      </w:r>
      <w:r>
        <w:rPr>
          <w:rFonts w:ascii="Perpetua" w:hAnsi="Perpetua"/>
        </w:rPr>
        <w:t xml:space="preserve">and </w:t>
      </w:r>
      <w:r w:rsidRPr="000B24A1">
        <w:rPr>
          <w:rFonts w:ascii="Perpetua" w:hAnsi="Perpetua"/>
        </w:rPr>
        <w:t>‘weak anthropocentrism’</w:t>
      </w:r>
      <w:r>
        <w:rPr>
          <w:rFonts w:ascii="Perpetua" w:hAnsi="Perpetua"/>
        </w:rPr>
        <w:t xml:space="preserve"> (‘SA’ and ‘WA’)</w:t>
      </w:r>
      <w:r w:rsidRPr="000B24A1">
        <w:rPr>
          <w:rFonts w:ascii="Perpetua" w:hAnsi="Perpetua"/>
        </w:rPr>
        <w:t xml:space="preserve">. </w:t>
      </w:r>
    </w:p>
    <w:p w14:paraId="08BAAB49" w14:textId="77777777" w:rsidR="00C73E28" w:rsidRDefault="00C73E28" w:rsidP="00BE0B55">
      <w:pPr>
        <w:autoSpaceDE w:val="0"/>
        <w:autoSpaceDN w:val="0"/>
        <w:adjustRightInd w:val="0"/>
        <w:spacing w:after="0" w:line="480" w:lineRule="auto"/>
        <w:jc w:val="both"/>
        <w:rPr>
          <w:rFonts w:ascii="Perpetua" w:hAnsi="Perpetua"/>
        </w:rPr>
      </w:pPr>
    </w:p>
    <w:p w14:paraId="5E56D199" w14:textId="7AE12362" w:rsidR="00C73E28" w:rsidRDefault="00BE0B55" w:rsidP="00BE0B55">
      <w:pPr>
        <w:autoSpaceDE w:val="0"/>
        <w:autoSpaceDN w:val="0"/>
        <w:adjustRightInd w:val="0"/>
        <w:spacing w:after="0" w:line="480" w:lineRule="auto"/>
        <w:jc w:val="both"/>
        <w:rPr>
          <w:rFonts w:ascii="Perpetua" w:hAnsi="Perpetua"/>
        </w:rPr>
      </w:pPr>
      <w:r w:rsidRPr="000B24A1">
        <w:rPr>
          <w:rFonts w:ascii="Perpetua" w:hAnsi="Perpetua" w:cs="Times New Roman"/>
          <w:color w:val="2A2A2A"/>
          <w:kern w:val="0"/>
        </w:rPr>
        <w:t xml:space="preserve">By </w:t>
      </w:r>
      <w:r>
        <w:rPr>
          <w:rFonts w:ascii="Perpetua" w:hAnsi="Perpetua" w:cs="Times New Roman"/>
          <w:color w:val="2A2A2A"/>
          <w:kern w:val="0"/>
        </w:rPr>
        <w:t>SA</w:t>
      </w:r>
      <w:r w:rsidRPr="000B24A1">
        <w:rPr>
          <w:rFonts w:ascii="Perpetua" w:hAnsi="Perpetua" w:cs="Times New Roman"/>
          <w:color w:val="2A2A2A"/>
          <w:kern w:val="0"/>
        </w:rPr>
        <w:t xml:space="preserve">, </w:t>
      </w:r>
      <w:r>
        <w:rPr>
          <w:rFonts w:ascii="Perpetua" w:hAnsi="Perpetua" w:cs="Times New Roman"/>
          <w:color w:val="2A2A2A"/>
          <w:kern w:val="0"/>
        </w:rPr>
        <w:t xml:space="preserve">value is determined solely by </w:t>
      </w:r>
      <w:r w:rsidRPr="000B24A1">
        <w:rPr>
          <w:rFonts w:ascii="Perpetua" w:hAnsi="Perpetua" w:cs="Times New Roman"/>
          <w:color w:val="2A2A2A"/>
          <w:kern w:val="0"/>
        </w:rPr>
        <w:t xml:space="preserve">the satisfaction of felt preferences </w:t>
      </w:r>
      <w:r>
        <w:rPr>
          <w:rFonts w:ascii="Perpetua" w:hAnsi="Perpetua" w:cs="Times New Roman"/>
          <w:color w:val="2A2A2A"/>
          <w:kern w:val="0"/>
        </w:rPr>
        <w:t>(whatever they may be)</w:t>
      </w:r>
      <w:r w:rsidRPr="000B24A1">
        <w:rPr>
          <w:rFonts w:ascii="Perpetua" w:hAnsi="Perpetua" w:cs="Times New Roman"/>
          <w:color w:val="2A2A2A"/>
          <w:kern w:val="0"/>
        </w:rPr>
        <w:t>.</w:t>
      </w:r>
      <w:r>
        <w:rPr>
          <w:rStyle w:val="FootnoteReference"/>
          <w:rFonts w:ascii="Perpetua" w:hAnsi="Perpetua" w:cs="Times New Roman"/>
          <w:color w:val="2A2A2A"/>
          <w:kern w:val="0"/>
        </w:rPr>
        <w:footnoteReference w:id="51"/>
      </w:r>
      <w:r>
        <w:rPr>
          <w:rFonts w:ascii="Perpetua" w:hAnsi="Perpetua" w:cs="Times New Roman"/>
          <w:color w:val="2A2A2A"/>
          <w:kern w:val="0"/>
        </w:rPr>
        <w:t xml:space="preserve"> SA has no</w:t>
      </w:r>
      <w:r w:rsidRPr="000B24A1">
        <w:rPr>
          <w:rFonts w:ascii="Perpetua" w:hAnsi="Perpetua" w:cs="Times New Roman"/>
          <w:color w:val="2A2A2A"/>
          <w:kern w:val="0"/>
        </w:rPr>
        <w:t xml:space="preserve"> means</w:t>
      </w:r>
      <w:r>
        <w:rPr>
          <w:rFonts w:ascii="Perpetua" w:hAnsi="Perpetua" w:cs="Times New Roman"/>
          <w:color w:val="2A2A2A"/>
          <w:kern w:val="0"/>
        </w:rPr>
        <w:t xml:space="preserve"> </w:t>
      </w:r>
      <w:r w:rsidRPr="000B24A1">
        <w:rPr>
          <w:rFonts w:ascii="Perpetua" w:hAnsi="Perpetua" w:cs="Times New Roman"/>
          <w:color w:val="2A2A2A"/>
          <w:kern w:val="0"/>
        </w:rPr>
        <w:t xml:space="preserve">to criticise environmental destruction. By </w:t>
      </w:r>
      <w:r>
        <w:rPr>
          <w:rFonts w:ascii="Perpetua" w:hAnsi="Perpetua" w:cs="Times New Roman"/>
          <w:color w:val="2A2A2A"/>
          <w:kern w:val="0"/>
        </w:rPr>
        <w:t>WA</w:t>
      </w:r>
      <w:r w:rsidRPr="000B24A1">
        <w:rPr>
          <w:rFonts w:ascii="Perpetua" w:hAnsi="Perpetua" w:cs="Times New Roman"/>
          <w:color w:val="2A2A2A"/>
          <w:kern w:val="0"/>
        </w:rPr>
        <w:t xml:space="preserve">, value </w:t>
      </w:r>
      <w:r>
        <w:rPr>
          <w:rFonts w:ascii="Perpetua" w:hAnsi="Perpetua" w:cs="Times New Roman"/>
          <w:color w:val="2A2A2A"/>
          <w:kern w:val="0"/>
        </w:rPr>
        <w:t>includes</w:t>
      </w:r>
      <w:r w:rsidRPr="000B24A1">
        <w:rPr>
          <w:rFonts w:ascii="Perpetua" w:hAnsi="Perpetua" w:cs="Times New Roman"/>
          <w:color w:val="2A2A2A"/>
          <w:kern w:val="0"/>
        </w:rPr>
        <w:t xml:space="preserve"> considered preferences. A considered preference being a felt preference that survives informed, rational deliberation and accords with the settled ideals of a rational world view.</w:t>
      </w:r>
      <w:r w:rsidR="00C73E28" w:rsidRPr="00C73E28">
        <w:rPr>
          <w:rStyle w:val="FootnoteReference"/>
          <w:rFonts w:ascii="Perpetua" w:hAnsi="Perpetua" w:cs="Times New Roman"/>
          <w:color w:val="2A2A2A"/>
          <w:kern w:val="0"/>
        </w:rPr>
        <w:t xml:space="preserve"> </w:t>
      </w:r>
      <w:r w:rsidR="00C73E28" w:rsidRPr="000B24A1">
        <w:rPr>
          <w:rStyle w:val="FootnoteReference"/>
          <w:rFonts w:ascii="Perpetua" w:hAnsi="Perpetua" w:cs="Times New Roman"/>
          <w:color w:val="2A2A2A"/>
          <w:kern w:val="0"/>
        </w:rPr>
        <w:footnoteReference w:id="52"/>
      </w:r>
      <w:r w:rsidRPr="000B24A1">
        <w:rPr>
          <w:rFonts w:ascii="Perpetua" w:hAnsi="Perpetua" w:cs="Times New Roman"/>
          <w:color w:val="2A2A2A"/>
          <w:kern w:val="0"/>
        </w:rPr>
        <w:t xml:space="preserve">  </w:t>
      </w:r>
      <w:r>
        <w:rPr>
          <w:rFonts w:ascii="Perpetua" w:hAnsi="Perpetua" w:cs="Times New Roman"/>
          <w:color w:val="2A2A2A"/>
          <w:kern w:val="0"/>
        </w:rPr>
        <w:t>WA, therefore, has a cross-check on</w:t>
      </w:r>
      <w:r w:rsidRPr="000B24A1">
        <w:rPr>
          <w:rFonts w:ascii="Perpetua" w:hAnsi="Perpetua" w:cs="Times New Roman"/>
          <w:color w:val="2A2A2A"/>
          <w:kern w:val="0"/>
        </w:rPr>
        <w:t xml:space="preserve"> felt preferences</w:t>
      </w:r>
      <w:r w:rsidR="00C6093A">
        <w:rPr>
          <w:rFonts w:ascii="Perpetua" w:hAnsi="Perpetua" w:cs="Times New Roman"/>
          <w:color w:val="2A2A2A"/>
          <w:kern w:val="0"/>
        </w:rPr>
        <w:t xml:space="preserve"> in the form of reason</w:t>
      </w:r>
      <w:r>
        <w:rPr>
          <w:rFonts w:ascii="Perpetua" w:hAnsi="Perpetua" w:cs="Times New Roman"/>
          <w:color w:val="2A2A2A"/>
          <w:kern w:val="0"/>
        </w:rPr>
        <w:t xml:space="preserve">. </w:t>
      </w:r>
      <w:r w:rsidRPr="000B24A1">
        <w:rPr>
          <w:rFonts w:ascii="Perpetua" w:hAnsi="Perpetua" w:cs="Times New Roman"/>
          <w:color w:val="2A2A2A"/>
          <w:kern w:val="0"/>
        </w:rPr>
        <w:t>WA</w:t>
      </w:r>
      <w:r>
        <w:rPr>
          <w:rFonts w:ascii="Perpetua" w:hAnsi="Perpetua" w:cs="Times New Roman"/>
          <w:color w:val="2A2A2A"/>
          <w:kern w:val="0"/>
        </w:rPr>
        <w:t xml:space="preserve">, without the </w:t>
      </w:r>
      <w:r w:rsidRPr="000B24A1">
        <w:rPr>
          <w:rFonts w:ascii="Perpetua" w:hAnsi="Perpetua" w:cs="Times New Roman"/>
          <w:color w:val="2A2A2A"/>
          <w:kern w:val="0"/>
        </w:rPr>
        <w:t>‘difficult-to-justify’ claims about intrinsic value</w:t>
      </w:r>
      <w:r>
        <w:rPr>
          <w:rFonts w:ascii="Perpetua" w:hAnsi="Perpetua" w:cs="Times New Roman"/>
          <w:color w:val="2A2A2A"/>
          <w:kern w:val="0"/>
        </w:rPr>
        <w:t>,</w:t>
      </w:r>
      <w:r w:rsidRPr="000B24A1">
        <w:rPr>
          <w:rFonts w:ascii="Perpetua" w:hAnsi="Perpetua" w:cs="Times New Roman"/>
          <w:color w:val="2A2A2A"/>
          <w:kern w:val="0"/>
        </w:rPr>
        <w:t xml:space="preserve"> can </w:t>
      </w:r>
      <w:r>
        <w:rPr>
          <w:rFonts w:ascii="Perpetua" w:hAnsi="Perpetua" w:cs="Times New Roman"/>
          <w:color w:val="2A2A2A"/>
          <w:kern w:val="0"/>
        </w:rPr>
        <w:t>say</w:t>
      </w:r>
      <w:r w:rsidRPr="000B24A1">
        <w:rPr>
          <w:rFonts w:ascii="Perpetua" w:hAnsi="Perpetua" w:cs="Times New Roman"/>
          <w:color w:val="2A2A2A"/>
          <w:kern w:val="0"/>
        </w:rPr>
        <w:t xml:space="preserve"> that consumptive attitudes to nature are indefensible</w:t>
      </w:r>
      <w:r>
        <w:rPr>
          <w:rFonts w:ascii="Perpetua" w:hAnsi="Perpetua" w:cs="Times New Roman"/>
          <w:color w:val="2A2A2A"/>
          <w:kern w:val="0"/>
        </w:rPr>
        <w:t>, irrational.</w:t>
      </w:r>
      <w:r w:rsidRPr="000B24A1">
        <w:rPr>
          <w:rFonts w:ascii="Perpetua" w:hAnsi="Perpetua" w:cs="Times New Roman"/>
          <w:color w:val="2A2A2A"/>
          <w:kern w:val="0"/>
        </w:rPr>
        <w:t xml:space="preserve"> </w:t>
      </w:r>
      <w:r>
        <w:rPr>
          <w:rFonts w:ascii="Perpetua" w:hAnsi="Perpetua" w:cs="Times New Roman"/>
          <w:color w:val="2A2A2A"/>
          <w:kern w:val="0"/>
        </w:rPr>
        <w:t xml:space="preserve">It </w:t>
      </w:r>
      <w:r w:rsidRPr="000B24A1">
        <w:rPr>
          <w:rFonts w:ascii="Perpetua" w:hAnsi="Perpetua" w:cs="Times New Roman"/>
          <w:color w:val="2A2A2A"/>
          <w:kern w:val="0"/>
        </w:rPr>
        <w:t xml:space="preserve">can recognise nature’s role in value </w:t>
      </w:r>
      <w:r w:rsidRPr="000B24A1">
        <w:rPr>
          <w:rFonts w:ascii="Perpetua" w:hAnsi="Perpetua" w:cs="Times New Roman"/>
          <w:color w:val="2A2A2A"/>
          <w:kern w:val="0"/>
        </w:rPr>
        <w:lastRenderedPageBreak/>
        <w:t>formation</w:t>
      </w:r>
      <w:r>
        <w:rPr>
          <w:rFonts w:ascii="Perpetua" w:hAnsi="Perpetua" w:cs="Times New Roman"/>
          <w:color w:val="2A2A2A"/>
          <w:kern w:val="0"/>
        </w:rPr>
        <w:t xml:space="preserve">, </w:t>
      </w:r>
      <w:r w:rsidRPr="000B24A1">
        <w:rPr>
          <w:rFonts w:ascii="Perpetua" w:hAnsi="Perpetua" w:cs="Times New Roman"/>
          <w:color w:val="2A2A2A"/>
          <w:kern w:val="0"/>
        </w:rPr>
        <w:t xml:space="preserve">make </w:t>
      </w:r>
      <w:r>
        <w:rPr>
          <w:rFonts w:ascii="Perpetua" w:hAnsi="Perpetua" w:cs="Times New Roman"/>
          <w:color w:val="2A2A2A"/>
          <w:kern w:val="0"/>
        </w:rPr>
        <w:t>the</w:t>
      </w:r>
      <w:r w:rsidRPr="000B24A1">
        <w:rPr>
          <w:rFonts w:ascii="Perpetua" w:hAnsi="Perpetua" w:cs="Times New Roman"/>
          <w:color w:val="2A2A2A"/>
          <w:kern w:val="0"/>
        </w:rPr>
        <w:t xml:space="preserve"> case for a close relation with nature and </w:t>
      </w:r>
      <w:r>
        <w:rPr>
          <w:rFonts w:ascii="Perpetua" w:hAnsi="Perpetua" w:cs="Times New Roman"/>
          <w:color w:val="2A2A2A"/>
          <w:kern w:val="0"/>
        </w:rPr>
        <w:t>supply</w:t>
      </w:r>
      <w:r w:rsidRPr="000B24A1">
        <w:rPr>
          <w:rFonts w:ascii="Perpetua" w:hAnsi="Perpetua" w:cs="Times New Roman"/>
          <w:color w:val="2A2A2A"/>
          <w:kern w:val="0"/>
        </w:rPr>
        <w:t xml:space="preserve"> a framework </w:t>
      </w:r>
      <w:r>
        <w:rPr>
          <w:rFonts w:ascii="Perpetua" w:hAnsi="Perpetua" w:cs="Times New Roman"/>
          <w:color w:val="2A2A2A"/>
          <w:kern w:val="0"/>
        </w:rPr>
        <w:t xml:space="preserve">(reason itself!) </w:t>
      </w:r>
      <w:r w:rsidRPr="000B24A1">
        <w:rPr>
          <w:rFonts w:ascii="Perpetua" w:hAnsi="Perpetua" w:cs="Times New Roman"/>
          <w:color w:val="2A2A2A"/>
          <w:kern w:val="0"/>
        </w:rPr>
        <w:t>for its protectio</w:t>
      </w:r>
      <w:r w:rsidR="00037BF5">
        <w:rPr>
          <w:rFonts w:ascii="Perpetua" w:hAnsi="Perpetua" w:cs="Times New Roman"/>
          <w:color w:val="2A2A2A"/>
          <w:kern w:val="0"/>
        </w:rPr>
        <w:t>n.</w:t>
      </w:r>
      <w:r>
        <w:rPr>
          <w:rFonts w:ascii="Perpetua" w:hAnsi="Perpetua" w:cs="Times New Roman"/>
          <w:color w:val="2A2A2A"/>
          <w:kern w:val="0"/>
        </w:rPr>
        <w:t xml:space="preserve"> SA cannot provide an adequate EE. WA</w:t>
      </w:r>
      <w:r w:rsidR="00C73E28">
        <w:rPr>
          <w:rFonts w:ascii="Perpetua" w:hAnsi="Perpetua" w:cs="Times New Roman"/>
          <w:color w:val="2A2A2A"/>
          <w:kern w:val="0"/>
        </w:rPr>
        <w:t>, in principle,</w:t>
      </w:r>
      <w:r>
        <w:rPr>
          <w:rFonts w:ascii="Perpetua" w:hAnsi="Perpetua" w:cs="Times New Roman"/>
          <w:color w:val="2A2A2A"/>
          <w:kern w:val="0"/>
        </w:rPr>
        <w:t xml:space="preserve"> </w:t>
      </w:r>
      <w:r>
        <w:rPr>
          <w:rFonts w:ascii="Perpetua" w:hAnsi="Perpetua" w:cs="Times New Roman"/>
          <w:i/>
          <w:iCs/>
          <w:color w:val="2A2A2A"/>
          <w:kern w:val="0"/>
        </w:rPr>
        <w:t>can</w:t>
      </w:r>
      <w:r w:rsidR="00C73E28" w:rsidRPr="000B24A1">
        <w:rPr>
          <w:rFonts w:ascii="Perpetua" w:hAnsi="Perpetua"/>
        </w:rPr>
        <w:t>.</w:t>
      </w:r>
      <w:r w:rsidR="00C73E28">
        <w:rPr>
          <w:rStyle w:val="FootnoteReference"/>
          <w:rFonts w:ascii="Perpetua" w:hAnsi="Perpetua"/>
        </w:rPr>
        <w:footnoteReference w:id="53"/>
      </w:r>
    </w:p>
    <w:p w14:paraId="58BA9C20" w14:textId="77777777" w:rsidR="00C73E28" w:rsidRPr="00C73E28" w:rsidRDefault="00C73E28" w:rsidP="00BE0B55">
      <w:pPr>
        <w:autoSpaceDE w:val="0"/>
        <w:autoSpaceDN w:val="0"/>
        <w:adjustRightInd w:val="0"/>
        <w:spacing w:after="0" w:line="480" w:lineRule="auto"/>
        <w:jc w:val="both"/>
        <w:rPr>
          <w:rFonts w:ascii="Perpetua" w:hAnsi="Perpetua" w:cs="Times New Roman"/>
          <w:color w:val="2A2A2A"/>
          <w:kern w:val="0"/>
        </w:rPr>
      </w:pPr>
    </w:p>
    <w:p w14:paraId="20FD9D3A" w14:textId="77777777" w:rsidR="00037BF5" w:rsidRDefault="00BE0B55" w:rsidP="00037BF5">
      <w:pPr>
        <w:autoSpaceDE w:val="0"/>
        <w:autoSpaceDN w:val="0"/>
        <w:adjustRightInd w:val="0"/>
        <w:spacing w:after="0" w:line="480" w:lineRule="auto"/>
        <w:jc w:val="both"/>
        <w:rPr>
          <w:rFonts w:ascii="Perpetua" w:hAnsi="Perpetua" w:cs="Times New Roman"/>
          <w:color w:val="2A2A2A"/>
          <w:kern w:val="0"/>
        </w:rPr>
      </w:pPr>
      <w:r>
        <w:rPr>
          <w:rFonts w:ascii="Perpetua" w:hAnsi="Perpetua" w:cs="Times New Roman"/>
          <w:color w:val="2A2A2A"/>
          <w:kern w:val="0"/>
        </w:rPr>
        <w:t>T</w:t>
      </w:r>
      <w:r w:rsidRPr="000B24A1">
        <w:rPr>
          <w:rFonts w:ascii="Perpetua" w:hAnsi="Perpetua" w:cs="Times New Roman"/>
          <w:color w:val="2A2A2A"/>
          <w:kern w:val="0"/>
        </w:rPr>
        <w:t>he practical difference</w:t>
      </w:r>
      <w:r>
        <w:rPr>
          <w:rFonts w:ascii="Perpetua" w:hAnsi="Perpetua" w:cs="Times New Roman"/>
          <w:color w:val="2A2A2A"/>
          <w:kern w:val="0"/>
        </w:rPr>
        <w:t>s</w:t>
      </w:r>
      <w:r w:rsidRPr="000B24A1">
        <w:rPr>
          <w:rFonts w:ascii="Perpetua" w:hAnsi="Perpetua" w:cs="Times New Roman"/>
          <w:color w:val="2A2A2A"/>
          <w:kern w:val="0"/>
        </w:rPr>
        <w:t xml:space="preserve"> between </w:t>
      </w:r>
      <w:r w:rsidR="00C73E28">
        <w:rPr>
          <w:rFonts w:ascii="Perpetua" w:hAnsi="Perpetua" w:cs="Times New Roman"/>
          <w:color w:val="2A2A2A"/>
          <w:kern w:val="0"/>
        </w:rPr>
        <w:t>SA/WA</w:t>
      </w:r>
      <w:r w:rsidRPr="000B24A1">
        <w:rPr>
          <w:rFonts w:ascii="Perpetua" w:hAnsi="Perpetua" w:cs="Times New Roman"/>
          <w:color w:val="2A2A2A"/>
          <w:kern w:val="0"/>
        </w:rPr>
        <w:t xml:space="preserve"> </w:t>
      </w:r>
      <w:r>
        <w:rPr>
          <w:rFonts w:ascii="Perpetua" w:hAnsi="Perpetua" w:cs="Times New Roman"/>
          <w:color w:val="2A2A2A"/>
          <w:kern w:val="0"/>
        </w:rPr>
        <w:t>are</w:t>
      </w:r>
      <w:r w:rsidRPr="000B24A1">
        <w:rPr>
          <w:rFonts w:ascii="Perpetua" w:hAnsi="Perpetua" w:cs="Times New Roman"/>
          <w:color w:val="2A2A2A"/>
          <w:kern w:val="0"/>
        </w:rPr>
        <w:t xml:space="preserve"> considerable. The weak </w:t>
      </w:r>
      <w:proofErr w:type="spellStart"/>
      <w:r w:rsidRPr="000B24A1">
        <w:rPr>
          <w:rFonts w:ascii="Perpetua" w:hAnsi="Perpetua" w:cs="Times New Roman"/>
          <w:color w:val="2A2A2A"/>
          <w:kern w:val="0"/>
        </w:rPr>
        <w:t>anthropocentrist</w:t>
      </w:r>
      <w:proofErr w:type="spellEnd"/>
      <w:r w:rsidRPr="000B24A1">
        <w:rPr>
          <w:rFonts w:ascii="Perpetua" w:hAnsi="Perpetua" w:cs="Times New Roman"/>
          <w:color w:val="2A2A2A"/>
          <w:kern w:val="0"/>
        </w:rPr>
        <w:t xml:space="preserve"> </w:t>
      </w:r>
      <w:r w:rsidR="00037BF5">
        <w:rPr>
          <w:rFonts w:ascii="Perpetua" w:hAnsi="Perpetua" w:cs="Times New Roman"/>
          <w:color w:val="2A2A2A"/>
          <w:kern w:val="0"/>
        </w:rPr>
        <w:t>better</w:t>
      </w:r>
      <w:r w:rsidRPr="000B24A1">
        <w:rPr>
          <w:rFonts w:ascii="Perpetua" w:hAnsi="Perpetua" w:cs="Times New Roman"/>
          <w:color w:val="2A2A2A"/>
          <w:kern w:val="0"/>
        </w:rPr>
        <w:t xml:space="preserve"> resembles the non</w:t>
      </w:r>
      <w:r>
        <w:rPr>
          <w:rFonts w:ascii="Perpetua" w:hAnsi="Perpetua" w:cs="Times New Roman"/>
          <w:color w:val="2A2A2A"/>
          <w:kern w:val="0"/>
        </w:rPr>
        <w:t>-</w:t>
      </w:r>
      <w:proofErr w:type="spellStart"/>
      <w:r w:rsidRPr="000B24A1">
        <w:rPr>
          <w:rFonts w:ascii="Perpetua" w:hAnsi="Perpetua" w:cs="Times New Roman"/>
          <w:color w:val="2A2A2A"/>
          <w:kern w:val="0"/>
        </w:rPr>
        <w:t>anthrop</w:t>
      </w:r>
      <w:r>
        <w:rPr>
          <w:rFonts w:ascii="Perpetua" w:hAnsi="Perpetua" w:cs="Times New Roman"/>
          <w:color w:val="2A2A2A"/>
          <w:kern w:val="0"/>
        </w:rPr>
        <w:t>o</w:t>
      </w:r>
      <w:r w:rsidRPr="000B24A1">
        <w:rPr>
          <w:rFonts w:ascii="Perpetua" w:hAnsi="Perpetua" w:cs="Times New Roman"/>
          <w:color w:val="2A2A2A"/>
          <w:kern w:val="0"/>
        </w:rPr>
        <w:t>centrist</w:t>
      </w:r>
      <w:proofErr w:type="spellEnd"/>
      <w:r w:rsidRPr="000B24A1">
        <w:rPr>
          <w:rFonts w:ascii="Perpetua" w:hAnsi="Perpetua" w:cs="Times New Roman"/>
          <w:color w:val="2A2A2A"/>
          <w:kern w:val="0"/>
        </w:rPr>
        <w:t>.</w:t>
      </w:r>
      <w:r w:rsidRPr="000B24A1">
        <w:rPr>
          <w:rStyle w:val="FootnoteReference"/>
          <w:rFonts w:ascii="Perpetua" w:hAnsi="Perpetua" w:cs="Times New Roman"/>
          <w:color w:val="2A2A2A"/>
          <w:kern w:val="0"/>
        </w:rPr>
        <w:footnoteReference w:id="54"/>
      </w:r>
      <w:r>
        <w:rPr>
          <w:rFonts w:ascii="Perpetua" w:hAnsi="Perpetua" w:cs="Times New Roman"/>
          <w:color w:val="2A2A2A"/>
          <w:kern w:val="0"/>
        </w:rPr>
        <w:t xml:space="preserve"> We can identify the beginnings of the convergence hypothesis.</w:t>
      </w:r>
      <w:r>
        <w:rPr>
          <w:rStyle w:val="FootnoteReference"/>
          <w:rFonts w:ascii="Perpetua" w:hAnsi="Perpetua" w:cs="Times New Roman"/>
          <w:color w:val="2A2A2A"/>
          <w:kern w:val="0"/>
        </w:rPr>
        <w:footnoteReference w:id="55"/>
      </w:r>
      <w:r>
        <w:rPr>
          <w:rFonts w:ascii="Perpetua" w:hAnsi="Perpetua" w:cs="Times New Roman"/>
          <w:color w:val="2A2A2A"/>
          <w:kern w:val="0"/>
        </w:rPr>
        <w:t xml:space="preserve"> </w:t>
      </w:r>
    </w:p>
    <w:p w14:paraId="6999B98F" w14:textId="77777777" w:rsidR="00037BF5" w:rsidRDefault="00037BF5" w:rsidP="00037BF5">
      <w:pPr>
        <w:autoSpaceDE w:val="0"/>
        <w:autoSpaceDN w:val="0"/>
        <w:adjustRightInd w:val="0"/>
        <w:spacing w:after="0" w:line="480" w:lineRule="auto"/>
        <w:jc w:val="both"/>
        <w:rPr>
          <w:rFonts w:ascii="Perpetua" w:hAnsi="Perpetua" w:cs="Times New Roman"/>
          <w:color w:val="2A2A2A"/>
          <w:kern w:val="0"/>
        </w:rPr>
      </w:pPr>
    </w:p>
    <w:p w14:paraId="1D741B75" w14:textId="77777777" w:rsidR="00037BF5" w:rsidRDefault="00BE0B55" w:rsidP="00037BF5">
      <w:pPr>
        <w:autoSpaceDE w:val="0"/>
        <w:autoSpaceDN w:val="0"/>
        <w:adjustRightInd w:val="0"/>
        <w:spacing w:after="0" w:line="480" w:lineRule="auto"/>
        <w:jc w:val="both"/>
        <w:rPr>
          <w:rFonts w:ascii="Perpetua" w:hAnsi="Perpetua" w:cs="Times New Roman"/>
          <w:color w:val="2A2A2A"/>
          <w:kern w:val="0"/>
        </w:rPr>
      </w:pPr>
      <w:r w:rsidRPr="000B24A1">
        <w:rPr>
          <w:rFonts w:ascii="Perpetua" w:hAnsi="Perpetua" w:cs="Times New Roman"/>
          <w:color w:val="2A2A2A"/>
          <w:kern w:val="0"/>
        </w:rPr>
        <w:t>Norton certainly believed a new environmental ethic was needed</w:t>
      </w:r>
      <w:r w:rsidR="00037BF5">
        <w:rPr>
          <w:rFonts w:ascii="Perpetua" w:hAnsi="Perpetua" w:cs="Times New Roman"/>
          <w:color w:val="2A2A2A"/>
          <w:kern w:val="0"/>
        </w:rPr>
        <w:t>. The</w:t>
      </w:r>
      <w:r w:rsidRPr="000B24A1">
        <w:rPr>
          <w:rFonts w:ascii="Perpetua" w:hAnsi="Perpetua" w:cs="Times New Roman"/>
          <w:color w:val="2A2A2A"/>
          <w:kern w:val="0"/>
        </w:rPr>
        <w:t xml:space="preserve"> problem with existing theories was </w:t>
      </w:r>
      <w:r>
        <w:rPr>
          <w:rFonts w:ascii="Perpetua" w:hAnsi="Perpetua" w:cs="Times New Roman"/>
          <w:color w:val="2A2A2A"/>
          <w:kern w:val="0"/>
        </w:rPr>
        <w:t xml:space="preserve">not their anthropocentrism.  </w:t>
      </w:r>
      <w:r w:rsidRPr="000B24A1">
        <w:rPr>
          <w:rFonts w:ascii="Perpetua" w:hAnsi="Perpetua" w:cs="Times New Roman"/>
          <w:color w:val="2A2A2A"/>
          <w:kern w:val="0"/>
        </w:rPr>
        <w:t>An adequate EE had to be non</w:t>
      </w:r>
      <w:r>
        <w:rPr>
          <w:rFonts w:ascii="Perpetua" w:hAnsi="Perpetua" w:cs="Times New Roman"/>
          <w:color w:val="2A2A2A"/>
          <w:kern w:val="0"/>
        </w:rPr>
        <w:t>-</w:t>
      </w:r>
      <w:r w:rsidRPr="000B24A1">
        <w:rPr>
          <w:rFonts w:ascii="Perpetua" w:hAnsi="Perpetua" w:cs="Times New Roman"/>
          <w:color w:val="2A2A2A"/>
          <w:kern w:val="0"/>
        </w:rPr>
        <w:t>individualistic</w:t>
      </w:r>
      <w:r>
        <w:rPr>
          <w:rFonts w:ascii="Perpetua" w:hAnsi="Perpetua" w:cs="Times New Roman"/>
          <w:color w:val="2A2A2A"/>
          <w:kern w:val="0"/>
        </w:rPr>
        <w:t xml:space="preserve"> so it could call for the prohibition of</w:t>
      </w:r>
      <w:r w:rsidRPr="000B24A1">
        <w:rPr>
          <w:rFonts w:ascii="Perpetua" w:hAnsi="Perpetua" w:cs="Times New Roman"/>
          <w:color w:val="2A2A2A"/>
          <w:kern w:val="0"/>
        </w:rPr>
        <w:t xml:space="preserve"> current</w:t>
      </w:r>
      <w:r>
        <w:rPr>
          <w:rFonts w:ascii="Perpetua" w:hAnsi="Perpetua" w:cs="Times New Roman"/>
          <w:color w:val="2A2A2A"/>
          <w:kern w:val="0"/>
        </w:rPr>
        <w:t>ly harmless</w:t>
      </w:r>
      <w:r w:rsidRPr="000B24A1">
        <w:rPr>
          <w:rFonts w:ascii="Perpetua" w:hAnsi="Perpetua" w:cs="Times New Roman"/>
          <w:color w:val="2A2A2A"/>
          <w:kern w:val="0"/>
        </w:rPr>
        <w:t xml:space="preserve"> behaviours</w:t>
      </w:r>
      <w:r>
        <w:rPr>
          <w:rFonts w:ascii="Perpetua" w:hAnsi="Perpetua" w:cs="Times New Roman"/>
          <w:color w:val="2A2A2A"/>
          <w:kern w:val="0"/>
        </w:rPr>
        <w:t xml:space="preserve"> which were</w:t>
      </w:r>
      <w:r w:rsidRPr="000B24A1">
        <w:rPr>
          <w:rFonts w:ascii="Perpetua" w:hAnsi="Perpetua" w:cs="Times New Roman"/>
          <w:color w:val="2A2A2A"/>
          <w:kern w:val="0"/>
        </w:rPr>
        <w:t xml:space="preserve"> </w:t>
      </w:r>
      <w:r>
        <w:rPr>
          <w:rFonts w:ascii="Perpetua" w:hAnsi="Perpetua" w:cs="Times New Roman"/>
          <w:color w:val="2A2A2A"/>
          <w:kern w:val="0"/>
        </w:rPr>
        <w:t xml:space="preserve">harmful in the long-term. </w:t>
      </w:r>
      <w:r w:rsidR="00037BF5">
        <w:rPr>
          <w:rFonts w:ascii="Perpetua" w:hAnsi="Perpetua" w:cs="Times New Roman"/>
          <w:color w:val="2A2A2A"/>
          <w:kern w:val="0"/>
        </w:rPr>
        <w:t>In</w:t>
      </w:r>
      <w:r>
        <w:rPr>
          <w:rFonts w:ascii="Perpetua" w:hAnsi="Perpetua" w:cs="Times New Roman"/>
          <w:color w:val="2A2A2A"/>
          <w:kern w:val="0"/>
        </w:rPr>
        <w:t xml:space="preserve"> their own ways, the traditional theories </w:t>
      </w:r>
      <w:r w:rsidRPr="000B24A1">
        <w:rPr>
          <w:rFonts w:ascii="Perpetua" w:hAnsi="Perpetua" w:cs="Times New Roman"/>
          <w:color w:val="2A2A2A"/>
          <w:kern w:val="0"/>
        </w:rPr>
        <w:t>w</w:t>
      </w:r>
      <w:r>
        <w:rPr>
          <w:rFonts w:ascii="Perpetua" w:hAnsi="Perpetua" w:cs="Times New Roman"/>
          <w:color w:val="2A2A2A"/>
          <w:kern w:val="0"/>
        </w:rPr>
        <w:t>ere</w:t>
      </w:r>
      <w:r w:rsidRPr="000B24A1">
        <w:rPr>
          <w:rFonts w:ascii="Perpetua" w:hAnsi="Perpetua" w:cs="Times New Roman"/>
          <w:color w:val="2A2A2A"/>
          <w:kern w:val="0"/>
        </w:rPr>
        <w:t xml:space="preserve"> </w:t>
      </w:r>
      <w:r>
        <w:rPr>
          <w:rFonts w:ascii="Perpetua" w:hAnsi="Perpetua" w:cs="Times New Roman"/>
          <w:color w:val="2A2A2A"/>
          <w:kern w:val="0"/>
        </w:rPr>
        <w:t xml:space="preserve">all </w:t>
      </w:r>
      <w:r w:rsidRPr="000B24A1">
        <w:rPr>
          <w:rFonts w:ascii="Perpetua" w:hAnsi="Perpetua" w:cs="Times New Roman"/>
          <w:color w:val="2A2A2A"/>
          <w:kern w:val="0"/>
        </w:rPr>
        <w:t>essentially individualistic.</w:t>
      </w:r>
      <w:r w:rsidRPr="000B24A1">
        <w:rPr>
          <w:rStyle w:val="FootnoteReference"/>
          <w:rFonts w:ascii="Perpetua" w:hAnsi="Perpetua" w:cs="Times New Roman"/>
          <w:color w:val="2A2A2A"/>
          <w:kern w:val="0"/>
        </w:rPr>
        <w:footnoteReference w:id="56"/>
      </w:r>
      <w:r w:rsidRPr="000B24A1">
        <w:rPr>
          <w:rFonts w:ascii="Perpetua" w:hAnsi="Perpetua" w:cs="Times New Roman"/>
          <w:color w:val="2A2A2A"/>
          <w:kern w:val="0"/>
        </w:rPr>
        <w:t xml:space="preserve"> </w:t>
      </w:r>
    </w:p>
    <w:p w14:paraId="6F2A8F4D" w14:textId="77777777" w:rsidR="00037BF5" w:rsidRDefault="00037BF5" w:rsidP="00037BF5">
      <w:pPr>
        <w:autoSpaceDE w:val="0"/>
        <w:autoSpaceDN w:val="0"/>
        <w:adjustRightInd w:val="0"/>
        <w:spacing w:after="0" w:line="480" w:lineRule="auto"/>
        <w:jc w:val="both"/>
        <w:rPr>
          <w:rFonts w:ascii="Perpetua" w:hAnsi="Perpetua" w:cs="Times New Roman"/>
          <w:color w:val="2A2A2A"/>
          <w:kern w:val="0"/>
        </w:rPr>
      </w:pPr>
    </w:p>
    <w:p w14:paraId="58236D66" w14:textId="257DC556" w:rsidR="00037BF5" w:rsidRDefault="00BE0B55" w:rsidP="00037BF5">
      <w:pPr>
        <w:autoSpaceDE w:val="0"/>
        <w:autoSpaceDN w:val="0"/>
        <w:adjustRightInd w:val="0"/>
        <w:spacing w:after="0" w:line="480" w:lineRule="auto"/>
        <w:jc w:val="both"/>
        <w:rPr>
          <w:rFonts w:ascii="Perpetua" w:hAnsi="Perpetua"/>
        </w:rPr>
      </w:pPr>
      <w:r w:rsidRPr="000B24A1">
        <w:rPr>
          <w:rFonts w:ascii="Perpetua" w:hAnsi="Perpetua"/>
        </w:rPr>
        <w:t>WA</w:t>
      </w:r>
      <w:r>
        <w:rPr>
          <w:rFonts w:ascii="Perpetua" w:hAnsi="Perpetua"/>
        </w:rPr>
        <w:t xml:space="preserve">’s adequacy </w:t>
      </w:r>
      <w:r w:rsidR="00037BF5">
        <w:rPr>
          <w:rFonts w:ascii="Perpetua" w:hAnsi="Perpetua"/>
        </w:rPr>
        <w:t>is conditional</w:t>
      </w:r>
      <w:r w:rsidRPr="000B24A1">
        <w:rPr>
          <w:rFonts w:ascii="Perpetua" w:hAnsi="Perpetua"/>
        </w:rPr>
        <w:t xml:space="preserve"> </w:t>
      </w:r>
      <w:r>
        <w:rPr>
          <w:rFonts w:ascii="Perpetua" w:hAnsi="Perpetua"/>
        </w:rPr>
        <w:t>on</w:t>
      </w:r>
      <w:r w:rsidRPr="000B24A1">
        <w:rPr>
          <w:rFonts w:ascii="Perpetua" w:hAnsi="Perpetua"/>
        </w:rPr>
        <w:t xml:space="preserve"> </w:t>
      </w:r>
      <w:r w:rsidR="00037BF5">
        <w:rPr>
          <w:rFonts w:ascii="Perpetua" w:hAnsi="Perpetua"/>
        </w:rPr>
        <w:t xml:space="preserve">it </w:t>
      </w:r>
      <w:r w:rsidRPr="000B24A1">
        <w:rPr>
          <w:rFonts w:ascii="Perpetua" w:hAnsi="Perpetua"/>
        </w:rPr>
        <w:t xml:space="preserve">being suitably </w:t>
      </w:r>
      <w:proofErr w:type="spellStart"/>
      <w:r w:rsidRPr="000B24A1">
        <w:rPr>
          <w:rFonts w:ascii="Perpetua" w:hAnsi="Perpetua"/>
        </w:rPr>
        <w:t>nonindividualistic</w:t>
      </w:r>
      <w:proofErr w:type="spellEnd"/>
      <w:r>
        <w:rPr>
          <w:rFonts w:ascii="Perpetua" w:hAnsi="Perpetua"/>
        </w:rPr>
        <w:t xml:space="preserve">. </w:t>
      </w:r>
      <w:r w:rsidR="00037BF5">
        <w:rPr>
          <w:rFonts w:ascii="Perpetua" w:hAnsi="Perpetua" w:cs="Times New Roman"/>
          <w:color w:val="2A2A2A"/>
          <w:kern w:val="0"/>
        </w:rPr>
        <w:t>An</w:t>
      </w:r>
      <w:r>
        <w:rPr>
          <w:rFonts w:ascii="Perpetua" w:hAnsi="Perpetua"/>
        </w:rPr>
        <w:t xml:space="preserve"> individualistic </w:t>
      </w:r>
      <w:r w:rsidRPr="000B24A1">
        <w:rPr>
          <w:rFonts w:ascii="Perpetua" w:hAnsi="Perpetua"/>
        </w:rPr>
        <w:t xml:space="preserve">ethic </w:t>
      </w:r>
      <w:r>
        <w:rPr>
          <w:rFonts w:ascii="Perpetua" w:hAnsi="Perpetua"/>
        </w:rPr>
        <w:t>which claim</w:t>
      </w:r>
      <w:r w:rsidR="00037BF5">
        <w:rPr>
          <w:rFonts w:ascii="Perpetua" w:hAnsi="Perpetua"/>
        </w:rPr>
        <w:t>s</w:t>
      </w:r>
      <w:r>
        <w:rPr>
          <w:rFonts w:ascii="Perpetua" w:hAnsi="Perpetua"/>
        </w:rPr>
        <w:t xml:space="preserve"> to take</w:t>
      </w:r>
      <w:r w:rsidRPr="000B24A1">
        <w:rPr>
          <w:rFonts w:ascii="Perpetua" w:hAnsi="Perpetua"/>
          <w:i/>
          <w:iCs/>
        </w:rPr>
        <w:t xml:space="preserve"> </w:t>
      </w:r>
      <w:r w:rsidRPr="000B24A1">
        <w:rPr>
          <w:rFonts w:ascii="Perpetua" w:hAnsi="Perpetua"/>
        </w:rPr>
        <w:t xml:space="preserve">future individuals </w:t>
      </w:r>
      <w:r>
        <w:rPr>
          <w:rFonts w:ascii="Perpetua" w:hAnsi="Perpetua"/>
        </w:rPr>
        <w:t>into account will</w:t>
      </w:r>
      <w:r w:rsidRPr="000B24A1">
        <w:rPr>
          <w:rFonts w:ascii="Perpetua" w:hAnsi="Perpetua"/>
        </w:rPr>
        <w:t xml:space="preserve"> not do</w:t>
      </w:r>
      <w:r w:rsidR="00037BF5">
        <w:rPr>
          <w:rFonts w:ascii="Perpetua" w:hAnsi="Perpetua"/>
        </w:rPr>
        <w:t>. B</w:t>
      </w:r>
      <w:r w:rsidRPr="000B24A1">
        <w:rPr>
          <w:rFonts w:ascii="Perpetua" w:hAnsi="Perpetua"/>
        </w:rPr>
        <w:t xml:space="preserve">y </w:t>
      </w:r>
      <w:proofErr w:type="spellStart"/>
      <w:r w:rsidRPr="000B24A1">
        <w:rPr>
          <w:rFonts w:ascii="Perpetua" w:hAnsi="Perpetua"/>
        </w:rPr>
        <w:t>Parfit’s</w:t>
      </w:r>
      <w:proofErr w:type="spellEnd"/>
      <w:r w:rsidRPr="000B24A1">
        <w:rPr>
          <w:rFonts w:ascii="Perpetua" w:hAnsi="Perpetua"/>
        </w:rPr>
        <w:t xml:space="preserve"> Paradox, </w:t>
      </w:r>
      <w:r>
        <w:rPr>
          <w:rFonts w:ascii="Perpetua" w:hAnsi="Perpetua"/>
        </w:rPr>
        <w:t>any</w:t>
      </w:r>
      <w:r w:rsidRPr="000B24A1">
        <w:rPr>
          <w:rFonts w:ascii="Perpetua" w:hAnsi="Perpetua"/>
        </w:rPr>
        <w:t xml:space="preserve"> policy decision which takes account of future individuals will </w:t>
      </w:r>
      <w:r w:rsidR="00C6093A">
        <w:rPr>
          <w:rFonts w:ascii="Perpetua" w:hAnsi="Perpetua"/>
        </w:rPr>
        <w:t>impact</w:t>
      </w:r>
      <w:r w:rsidRPr="000B24A1">
        <w:rPr>
          <w:rFonts w:ascii="Perpetua" w:hAnsi="Perpetua"/>
        </w:rPr>
        <w:t xml:space="preserve"> which future individuals </w:t>
      </w:r>
      <w:r>
        <w:rPr>
          <w:rFonts w:ascii="Perpetua" w:hAnsi="Perpetua"/>
        </w:rPr>
        <w:t>(and which</w:t>
      </w:r>
      <w:r w:rsidRPr="000B24A1">
        <w:rPr>
          <w:rFonts w:ascii="Perpetua" w:hAnsi="Perpetua"/>
        </w:rPr>
        <w:t xml:space="preserve"> interests</w:t>
      </w:r>
      <w:r>
        <w:rPr>
          <w:rFonts w:ascii="Perpetua" w:hAnsi="Perpetua"/>
        </w:rPr>
        <w:t>)</w:t>
      </w:r>
      <w:r w:rsidRPr="000B24A1">
        <w:rPr>
          <w:rFonts w:ascii="Perpetua" w:hAnsi="Perpetua"/>
        </w:rPr>
        <w:t xml:space="preserve"> </w:t>
      </w:r>
      <w:r>
        <w:rPr>
          <w:rFonts w:ascii="Perpetua" w:hAnsi="Perpetua"/>
        </w:rPr>
        <w:t xml:space="preserve">will </w:t>
      </w:r>
      <w:r w:rsidRPr="000B24A1">
        <w:rPr>
          <w:rFonts w:ascii="Perpetua" w:hAnsi="Perpetua"/>
        </w:rPr>
        <w:t>exist.</w:t>
      </w:r>
      <w:r w:rsidR="00037BF5">
        <w:rPr>
          <w:rStyle w:val="FootnoteReference"/>
          <w:rFonts w:ascii="Perpetua" w:hAnsi="Perpetua"/>
        </w:rPr>
        <w:footnoteReference w:id="57"/>
      </w:r>
    </w:p>
    <w:p w14:paraId="19AB805B" w14:textId="02C19951" w:rsidR="00BE0B55" w:rsidRPr="00F44636" w:rsidRDefault="00BE0B55" w:rsidP="00037BF5">
      <w:pPr>
        <w:autoSpaceDE w:val="0"/>
        <w:autoSpaceDN w:val="0"/>
        <w:adjustRightInd w:val="0"/>
        <w:spacing w:after="0" w:line="480" w:lineRule="auto"/>
        <w:jc w:val="both"/>
        <w:rPr>
          <w:rFonts w:ascii="Perpetua" w:hAnsi="Perpetua" w:cs="Times New Roman"/>
          <w:color w:val="2A2A2A"/>
          <w:kern w:val="0"/>
        </w:rPr>
      </w:pPr>
      <w:r w:rsidRPr="000B24A1">
        <w:rPr>
          <w:rFonts w:ascii="Perpetua" w:hAnsi="Perpetua"/>
        </w:rPr>
        <w:t xml:space="preserve"> </w:t>
      </w:r>
    </w:p>
    <w:p w14:paraId="3CC6438C" w14:textId="5D80F9B0" w:rsidR="00E566B0" w:rsidRDefault="00BE0B55" w:rsidP="00C6093A">
      <w:pPr>
        <w:spacing w:line="480" w:lineRule="auto"/>
        <w:jc w:val="both"/>
        <w:rPr>
          <w:rFonts w:ascii="Perpetua" w:hAnsi="Perpetua"/>
        </w:rPr>
      </w:pPr>
      <w:r w:rsidRPr="000B24A1">
        <w:rPr>
          <w:rFonts w:ascii="Perpetua" w:hAnsi="Perpetua"/>
        </w:rPr>
        <w:t xml:space="preserve">Norton </w:t>
      </w:r>
      <w:r>
        <w:rPr>
          <w:rFonts w:ascii="Perpetua" w:hAnsi="Perpetua"/>
        </w:rPr>
        <w:t xml:space="preserve">proceeds to </w:t>
      </w:r>
      <w:r w:rsidRPr="000B24A1">
        <w:rPr>
          <w:rFonts w:ascii="Perpetua" w:hAnsi="Perpetua"/>
        </w:rPr>
        <w:t>outline a weakly anthropocentric, non-individualist ethic</w:t>
      </w:r>
      <w:r>
        <w:rPr>
          <w:rFonts w:ascii="Perpetua" w:hAnsi="Perpetua"/>
        </w:rPr>
        <w:t xml:space="preserve">. It has </w:t>
      </w:r>
      <w:r w:rsidRPr="000B24A1">
        <w:rPr>
          <w:rFonts w:ascii="Perpetua" w:hAnsi="Perpetua"/>
        </w:rPr>
        <w:t>2 levels: (</w:t>
      </w:r>
      <w:proofErr w:type="spellStart"/>
      <w:r w:rsidRPr="000B24A1">
        <w:rPr>
          <w:rFonts w:ascii="Perpetua" w:hAnsi="Perpetua"/>
        </w:rPr>
        <w:t>i</w:t>
      </w:r>
      <w:proofErr w:type="spellEnd"/>
      <w:r w:rsidRPr="000B24A1">
        <w:rPr>
          <w:rFonts w:ascii="Perpetua" w:hAnsi="Perpetua"/>
        </w:rPr>
        <w:t>) distribution and (ii) allocation.</w:t>
      </w:r>
      <w:r w:rsidR="00037BF5">
        <w:rPr>
          <w:rStyle w:val="FootnoteReference"/>
          <w:rFonts w:ascii="Perpetua" w:hAnsi="Perpetua"/>
        </w:rPr>
        <w:footnoteReference w:id="58"/>
      </w:r>
      <w:r w:rsidRPr="000B24A1">
        <w:rPr>
          <w:rFonts w:ascii="Perpetua" w:hAnsi="Perpetua"/>
        </w:rPr>
        <w:t xml:space="preserve"> There is nothing distinctive about (</w:t>
      </w:r>
      <w:proofErr w:type="spellStart"/>
      <w:r w:rsidRPr="000B24A1">
        <w:rPr>
          <w:rFonts w:ascii="Perpetua" w:hAnsi="Perpetua"/>
        </w:rPr>
        <w:t>i</w:t>
      </w:r>
      <w:proofErr w:type="spellEnd"/>
      <w:r w:rsidRPr="000B24A1">
        <w:rPr>
          <w:rFonts w:ascii="Perpetua" w:hAnsi="Perpetua"/>
        </w:rPr>
        <w:t>) which is governed by the harm principle.</w:t>
      </w:r>
      <w:r w:rsidR="00E566B0">
        <w:rPr>
          <w:rStyle w:val="FootnoteReference"/>
          <w:rFonts w:ascii="Perpetua" w:hAnsi="Perpetua"/>
        </w:rPr>
        <w:footnoteReference w:id="59"/>
      </w:r>
      <w:r w:rsidRPr="000B24A1">
        <w:rPr>
          <w:rFonts w:ascii="Perpetua" w:hAnsi="Perpetua"/>
        </w:rPr>
        <w:t xml:space="preserve"> (ii), however, cannot be </w:t>
      </w:r>
      <w:r w:rsidR="00037BF5">
        <w:rPr>
          <w:rFonts w:ascii="Perpetua" w:hAnsi="Perpetua"/>
        </w:rPr>
        <w:t>individualist</w:t>
      </w:r>
      <w:r w:rsidR="00C6093A">
        <w:rPr>
          <w:rFonts w:ascii="Perpetua" w:hAnsi="Perpetua"/>
        </w:rPr>
        <w:t>ic</w:t>
      </w:r>
      <w:r w:rsidRPr="000B24A1">
        <w:rPr>
          <w:rFonts w:ascii="Perpetua" w:hAnsi="Perpetua"/>
        </w:rPr>
        <w:t xml:space="preserve"> because it </w:t>
      </w:r>
      <w:r w:rsidR="00C6093A">
        <w:rPr>
          <w:rFonts w:ascii="Perpetua" w:hAnsi="Perpetua"/>
        </w:rPr>
        <w:t xml:space="preserve">is </w:t>
      </w:r>
      <w:r w:rsidRPr="000B24A1">
        <w:rPr>
          <w:rFonts w:ascii="Perpetua" w:hAnsi="Perpetua"/>
        </w:rPr>
        <w:t>concern</w:t>
      </w:r>
      <w:r w:rsidR="00C6093A">
        <w:rPr>
          <w:rFonts w:ascii="Perpetua" w:hAnsi="Perpetua"/>
        </w:rPr>
        <w:t>ed with</w:t>
      </w:r>
      <w:r w:rsidRPr="000B24A1">
        <w:rPr>
          <w:rFonts w:ascii="Perpetua" w:hAnsi="Perpetua"/>
        </w:rPr>
        <w:t xml:space="preserve"> decisions pertaining to the future about the allocation of resources. The maintenance of resources, unconcerned with the </w:t>
      </w:r>
      <w:r w:rsidRPr="000B24A1">
        <w:rPr>
          <w:rFonts w:ascii="Perpetua" w:hAnsi="Perpetua"/>
        </w:rPr>
        <w:lastRenderedPageBreak/>
        <w:t>fulfilment of needs, requires a nonindividual perspective.</w:t>
      </w:r>
      <w:r w:rsidRPr="000B24A1">
        <w:rPr>
          <w:rStyle w:val="FootnoteReference"/>
          <w:rFonts w:ascii="Perpetua" w:hAnsi="Perpetua"/>
        </w:rPr>
        <w:footnoteReference w:id="60"/>
      </w:r>
      <w:r w:rsidRPr="000B24A1">
        <w:rPr>
          <w:rFonts w:ascii="Perpetua" w:hAnsi="Perpetua"/>
        </w:rPr>
        <w:t xml:space="preserve"> These</w:t>
      </w:r>
      <w:r>
        <w:rPr>
          <w:rFonts w:ascii="Perpetua" w:hAnsi="Perpetua"/>
        </w:rPr>
        <w:t xml:space="preserve"> are</w:t>
      </w:r>
      <w:r w:rsidRPr="000B24A1">
        <w:rPr>
          <w:rFonts w:ascii="Perpetua" w:hAnsi="Perpetua"/>
        </w:rPr>
        <w:t xml:space="preserve"> ‘generalized’ obligations not owed to any individual.</w:t>
      </w:r>
      <w:r w:rsidRPr="000B24A1">
        <w:rPr>
          <w:rStyle w:val="FootnoteReference"/>
          <w:rFonts w:ascii="Perpetua" w:hAnsi="Perpetua"/>
        </w:rPr>
        <w:footnoteReference w:id="61"/>
      </w:r>
      <w:r w:rsidRPr="000B24A1">
        <w:rPr>
          <w:rFonts w:ascii="Perpetua" w:hAnsi="Perpetua"/>
        </w:rPr>
        <w:t xml:space="preserve"> </w:t>
      </w:r>
    </w:p>
    <w:p w14:paraId="102AE248" w14:textId="77777777" w:rsidR="00E566B0" w:rsidRDefault="00E566B0" w:rsidP="00C6093A">
      <w:pPr>
        <w:spacing w:line="480" w:lineRule="auto"/>
        <w:jc w:val="both"/>
        <w:rPr>
          <w:rFonts w:ascii="Perpetua" w:hAnsi="Perpetua"/>
        </w:rPr>
      </w:pPr>
    </w:p>
    <w:p w14:paraId="4915D42B" w14:textId="77777777" w:rsidR="008306C6" w:rsidRDefault="00BE0B55" w:rsidP="00C6093A">
      <w:pPr>
        <w:spacing w:line="480" w:lineRule="auto"/>
        <w:jc w:val="both"/>
        <w:rPr>
          <w:rFonts w:ascii="Perpetua" w:hAnsi="Perpetua"/>
        </w:rPr>
      </w:pPr>
      <w:r w:rsidRPr="000B24A1">
        <w:rPr>
          <w:rFonts w:ascii="Perpetua" w:hAnsi="Perpetua"/>
        </w:rPr>
        <w:t>Considered preferences</w:t>
      </w:r>
      <w:r>
        <w:rPr>
          <w:rFonts w:ascii="Perpetua" w:hAnsi="Perpetua"/>
        </w:rPr>
        <w:t xml:space="preserve"> have a bearing </w:t>
      </w:r>
      <w:r w:rsidRPr="000B24A1">
        <w:rPr>
          <w:rFonts w:ascii="Perpetua" w:hAnsi="Perpetua"/>
        </w:rPr>
        <w:t xml:space="preserve">on resource allocation. </w:t>
      </w:r>
      <w:r w:rsidR="00E566B0">
        <w:rPr>
          <w:rFonts w:ascii="Perpetua" w:hAnsi="Perpetua"/>
        </w:rPr>
        <w:t>Reason</w:t>
      </w:r>
      <w:r w:rsidRPr="000B24A1">
        <w:rPr>
          <w:rFonts w:ascii="Perpetua" w:hAnsi="Perpetua"/>
        </w:rPr>
        <w:t xml:space="preserve"> can bring out a sense of harmony with nature that can become an ‘entrenched part of our world </w:t>
      </w:r>
      <w:proofErr w:type="gramStart"/>
      <w:r w:rsidRPr="000B24A1">
        <w:rPr>
          <w:rFonts w:ascii="Perpetua" w:hAnsi="Perpetua"/>
        </w:rPr>
        <w:t xml:space="preserve">view, </w:t>
      </w:r>
      <w:r>
        <w:rPr>
          <w:rFonts w:ascii="Perpetua" w:hAnsi="Perpetua"/>
        </w:rPr>
        <w:t>[and]</w:t>
      </w:r>
      <w:proofErr w:type="gramEnd"/>
      <w:r>
        <w:rPr>
          <w:rFonts w:ascii="Perpetua" w:hAnsi="Perpetua"/>
        </w:rPr>
        <w:t xml:space="preserve"> </w:t>
      </w:r>
      <w:r w:rsidRPr="000B24A1">
        <w:rPr>
          <w:rFonts w:ascii="Perpetua" w:hAnsi="Perpetua"/>
        </w:rPr>
        <w:t>serve to correct felt preferences’</w:t>
      </w:r>
      <w:r>
        <w:rPr>
          <w:rFonts w:ascii="Perpetua" w:hAnsi="Perpetua"/>
        </w:rPr>
        <w:t>.</w:t>
      </w:r>
      <w:r w:rsidR="00E566B0">
        <w:rPr>
          <w:rStyle w:val="FootnoteReference"/>
          <w:rFonts w:ascii="Perpetua" w:hAnsi="Perpetua"/>
        </w:rPr>
        <w:footnoteReference w:id="62"/>
      </w:r>
      <w:r>
        <w:rPr>
          <w:rFonts w:ascii="Perpetua" w:hAnsi="Perpetua"/>
        </w:rPr>
        <w:t xml:space="preserve"> This can</w:t>
      </w:r>
      <w:r w:rsidRPr="000B24A1">
        <w:rPr>
          <w:rFonts w:ascii="Perpetua" w:hAnsi="Perpetua"/>
        </w:rPr>
        <w:t xml:space="preserve"> bring</w:t>
      </w:r>
      <w:r>
        <w:rPr>
          <w:rFonts w:ascii="Perpetua" w:hAnsi="Perpetua"/>
        </w:rPr>
        <w:t xml:space="preserve"> our felt preferences</w:t>
      </w:r>
      <w:r w:rsidRPr="000B24A1">
        <w:rPr>
          <w:rFonts w:ascii="Perpetua" w:hAnsi="Perpetua"/>
        </w:rPr>
        <w:t xml:space="preserve"> into line with resource allocation.</w:t>
      </w:r>
      <w:r>
        <w:rPr>
          <w:rFonts w:ascii="Perpetua" w:hAnsi="Perpetua"/>
        </w:rPr>
        <w:t xml:space="preserve"> </w:t>
      </w:r>
      <w:r w:rsidR="00E566B0">
        <w:rPr>
          <w:rFonts w:ascii="Perpetua" w:hAnsi="Perpetua"/>
        </w:rPr>
        <w:t>T</w:t>
      </w:r>
      <w:r>
        <w:rPr>
          <w:rFonts w:ascii="Perpetua" w:hAnsi="Perpetua"/>
        </w:rPr>
        <w:t xml:space="preserve">he </w:t>
      </w:r>
      <w:r w:rsidRPr="000B24A1">
        <w:rPr>
          <w:rFonts w:ascii="Perpetua" w:hAnsi="Perpetua"/>
        </w:rPr>
        <w:t xml:space="preserve">foundational ethical principle </w:t>
      </w:r>
      <w:r>
        <w:rPr>
          <w:rFonts w:ascii="Perpetua" w:hAnsi="Perpetua"/>
        </w:rPr>
        <w:t xml:space="preserve">which underpins (ii) </w:t>
      </w:r>
      <w:r w:rsidR="00E566B0">
        <w:rPr>
          <w:rFonts w:ascii="Perpetua" w:hAnsi="Perpetua"/>
        </w:rPr>
        <w:t>i</w:t>
      </w:r>
      <w:r>
        <w:rPr>
          <w:rFonts w:ascii="Perpetua" w:hAnsi="Perpetua"/>
        </w:rPr>
        <w:t>s</w:t>
      </w:r>
      <w:r w:rsidRPr="000B24A1">
        <w:rPr>
          <w:rFonts w:ascii="Perpetua" w:hAnsi="Perpetua"/>
        </w:rPr>
        <w:t xml:space="preserve"> the maintenance of the possibility of human consciousness. Norton does not argue the point. The underlying </w:t>
      </w:r>
      <w:r w:rsidR="00037BF5">
        <w:rPr>
          <w:rFonts w:ascii="Perpetua" w:hAnsi="Perpetua"/>
        </w:rPr>
        <w:t xml:space="preserve">premise </w:t>
      </w:r>
      <w:r>
        <w:rPr>
          <w:rFonts w:ascii="Perpetua" w:hAnsi="Perpetua"/>
        </w:rPr>
        <w:t xml:space="preserve">(also presupposed) </w:t>
      </w:r>
      <w:r w:rsidRPr="000B24A1">
        <w:rPr>
          <w:rFonts w:ascii="Perpetua" w:hAnsi="Perpetua"/>
        </w:rPr>
        <w:t>being a universe with human consciousness is better than one without. To</w:t>
      </w:r>
      <w:r>
        <w:rPr>
          <w:rFonts w:ascii="Perpetua" w:hAnsi="Perpetua"/>
        </w:rPr>
        <w:t xml:space="preserve"> some, this may be </w:t>
      </w:r>
      <w:r w:rsidRPr="000B24A1">
        <w:rPr>
          <w:rFonts w:ascii="Perpetua" w:hAnsi="Perpetua"/>
        </w:rPr>
        <w:t xml:space="preserve">self-evident. </w:t>
      </w:r>
      <w:r>
        <w:rPr>
          <w:rFonts w:ascii="Perpetua" w:hAnsi="Perpetua"/>
        </w:rPr>
        <w:t xml:space="preserve">We might think </w:t>
      </w:r>
      <w:r w:rsidR="00E566B0">
        <w:rPr>
          <w:rFonts w:ascii="Perpetua" w:hAnsi="Perpetua"/>
        </w:rPr>
        <w:t xml:space="preserve">that anthropocentric and </w:t>
      </w:r>
      <w:r>
        <w:rPr>
          <w:rFonts w:ascii="Perpetua" w:hAnsi="Perpetua"/>
        </w:rPr>
        <w:t xml:space="preserve">non-anthropocentric </w:t>
      </w:r>
      <w:r w:rsidR="008306C6">
        <w:rPr>
          <w:rFonts w:ascii="Perpetua" w:hAnsi="Perpetua"/>
        </w:rPr>
        <w:t>stances could consider it</w:t>
      </w:r>
      <w:r>
        <w:rPr>
          <w:rFonts w:ascii="Perpetua" w:hAnsi="Perpetua"/>
        </w:rPr>
        <w:t xml:space="preserve"> false. </w:t>
      </w:r>
    </w:p>
    <w:p w14:paraId="7A856C8D" w14:textId="77777777" w:rsidR="008306C6" w:rsidRDefault="008306C6" w:rsidP="00C6093A">
      <w:pPr>
        <w:spacing w:line="480" w:lineRule="auto"/>
        <w:jc w:val="both"/>
        <w:rPr>
          <w:rFonts w:ascii="Perpetua" w:hAnsi="Perpetua"/>
        </w:rPr>
      </w:pPr>
    </w:p>
    <w:p w14:paraId="1823DED9" w14:textId="6B8C60AA" w:rsidR="008306C6" w:rsidRDefault="00BE0B55" w:rsidP="00C6093A">
      <w:pPr>
        <w:spacing w:line="480" w:lineRule="auto"/>
        <w:jc w:val="both"/>
        <w:rPr>
          <w:rFonts w:ascii="Perpetua" w:hAnsi="Perpetua"/>
        </w:rPr>
      </w:pPr>
      <w:r w:rsidRPr="000B24A1">
        <w:rPr>
          <w:rFonts w:ascii="Perpetua" w:hAnsi="Perpetua"/>
        </w:rPr>
        <w:t xml:space="preserve">Whilst Norton </w:t>
      </w:r>
      <w:r w:rsidR="008306C6">
        <w:rPr>
          <w:rFonts w:ascii="Perpetua" w:hAnsi="Perpetua"/>
        </w:rPr>
        <w:t>claimed</w:t>
      </w:r>
      <w:r w:rsidRPr="000B24A1">
        <w:rPr>
          <w:rFonts w:ascii="Perpetua" w:hAnsi="Perpetua"/>
        </w:rPr>
        <w:t xml:space="preserve"> to </w:t>
      </w:r>
      <w:r w:rsidR="008306C6">
        <w:rPr>
          <w:rFonts w:ascii="Perpetua" w:hAnsi="Perpetua"/>
        </w:rPr>
        <w:t>limit</w:t>
      </w:r>
      <w:r w:rsidRPr="000B24A1">
        <w:rPr>
          <w:rFonts w:ascii="Perpetua" w:hAnsi="Perpetua"/>
        </w:rPr>
        <w:t xml:space="preserve"> his ambition to adequacy, he </w:t>
      </w:r>
      <w:r>
        <w:rPr>
          <w:rFonts w:ascii="Perpetua" w:hAnsi="Perpetua"/>
        </w:rPr>
        <w:t>still claims</w:t>
      </w:r>
      <w:r w:rsidRPr="000B24A1">
        <w:rPr>
          <w:rFonts w:ascii="Perpetua" w:hAnsi="Perpetua"/>
        </w:rPr>
        <w:t xml:space="preserve"> that his proposals are best.</w:t>
      </w:r>
      <w:r w:rsidRPr="000B24A1">
        <w:rPr>
          <w:rFonts w:ascii="Perpetua" w:hAnsi="Perpetua" w:cs="Times New Roman"/>
          <w:color w:val="2A2A2A"/>
          <w:kern w:val="0"/>
        </w:rPr>
        <w:t xml:space="preserve"> It is ‘adequate in a manner that no purely individualistic, strongly anthropocentric ethic can be, while avoiding difficult-to</w:t>
      </w:r>
      <w:r w:rsidR="00E566B0">
        <w:rPr>
          <w:rFonts w:ascii="Perpetua" w:hAnsi="Perpetua" w:cs="Times New Roman"/>
          <w:color w:val="2A2A2A"/>
          <w:kern w:val="0"/>
        </w:rPr>
        <w:t>-</w:t>
      </w:r>
      <w:r w:rsidRPr="000B24A1">
        <w:rPr>
          <w:rFonts w:ascii="Perpetua" w:hAnsi="Perpetua" w:cs="Times New Roman"/>
          <w:color w:val="2A2A2A"/>
          <w:kern w:val="0"/>
        </w:rPr>
        <w:t>defend references to the intrinsic value of nonhuman natural objects’</w:t>
      </w:r>
      <w:r w:rsidR="008306C6">
        <w:rPr>
          <w:rFonts w:ascii="Perpetua" w:hAnsi="Perpetua" w:cs="Times New Roman"/>
          <w:color w:val="2A2A2A"/>
          <w:kern w:val="0"/>
        </w:rPr>
        <w:t>.</w:t>
      </w:r>
      <w:r w:rsidR="008306C6">
        <w:rPr>
          <w:rStyle w:val="FootnoteReference"/>
          <w:rFonts w:ascii="Perpetua" w:hAnsi="Perpetua" w:cs="Times New Roman"/>
          <w:color w:val="2A2A2A"/>
          <w:kern w:val="0"/>
        </w:rPr>
        <w:footnoteReference w:id="63"/>
      </w:r>
      <w:r w:rsidRPr="000B24A1">
        <w:rPr>
          <w:rFonts w:ascii="Perpetua" w:hAnsi="Perpetua" w:cs="Times New Roman"/>
          <w:color w:val="2A2A2A"/>
          <w:kern w:val="0"/>
        </w:rPr>
        <w:t xml:space="preserve"> </w:t>
      </w:r>
      <w:r w:rsidRPr="000B24A1">
        <w:rPr>
          <w:rFonts w:ascii="Perpetua" w:hAnsi="Perpetua"/>
        </w:rPr>
        <w:t xml:space="preserve">For Norton, any talk about intrinsic value </w:t>
      </w:r>
      <w:r w:rsidR="008306C6">
        <w:rPr>
          <w:rFonts w:ascii="Perpetua" w:hAnsi="Perpetua"/>
        </w:rPr>
        <w:t>comes with</w:t>
      </w:r>
      <w:r>
        <w:rPr>
          <w:rFonts w:ascii="Perpetua" w:hAnsi="Perpetua"/>
        </w:rPr>
        <w:t xml:space="preserve"> metaphysical baggage </w:t>
      </w:r>
      <w:r w:rsidR="00C6093A">
        <w:rPr>
          <w:rFonts w:ascii="Perpetua" w:hAnsi="Perpetua"/>
        </w:rPr>
        <w:t>and</w:t>
      </w:r>
      <w:r>
        <w:rPr>
          <w:rFonts w:ascii="Perpetua" w:hAnsi="Perpetua"/>
        </w:rPr>
        <w:t xml:space="preserve"> is philosophically</w:t>
      </w:r>
      <w:r w:rsidRPr="000B24A1">
        <w:rPr>
          <w:rFonts w:ascii="Perpetua" w:hAnsi="Perpetua"/>
        </w:rPr>
        <w:t xml:space="preserve"> fraught. </w:t>
      </w:r>
      <w:r>
        <w:rPr>
          <w:rFonts w:ascii="Perpetua" w:hAnsi="Perpetua"/>
        </w:rPr>
        <w:t xml:space="preserve"> </w:t>
      </w:r>
    </w:p>
    <w:p w14:paraId="4577653F" w14:textId="77777777" w:rsidR="008306C6" w:rsidRDefault="008306C6" w:rsidP="00C6093A">
      <w:pPr>
        <w:autoSpaceDE w:val="0"/>
        <w:autoSpaceDN w:val="0"/>
        <w:adjustRightInd w:val="0"/>
        <w:spacing w:after="0" w:line="480" w:lineRule="auto"/>
        <w:jc w:val="both"/>
        <w:rPr>
          <w:rFonts w:ascii="Perpetua" w:hAnsi="Perpetua"/>
        </w:rPr>
      </w:pPr>
    </w:p>
    <w:p w14:paraId="4CB9A0FE" w14:textId="09726E6F" w:rsidR="00BE0B55" w:rsidRDefault="00BE0B55" w:rsidP="00C6093A">
      <w:pPr>
        <w:autoSpaceDE w:val="0"/>
        <w:autoSpaceDN w:val="0"/>
        <w:adjustRightInd w:val="0"/>
        <w:spacing w:after="0" w:line="480" w:lineRule="auto"/>
        <w:jc w:val="both"/>
        <w:rPr>
          <w:rFonts w:ascii="Perpetua" w:hAnsi="Perpetua"/>
        </w:rPr>
      </w:pPr>
      <w:r w:rsidRPr="000B24A1">
        <w:rPr>
          <w:rFonts w:ascii="Perpetua" w:hAnsi="Perpetua" w:cs="Times New Roman"/>
          <w:color w:val="2A2A2A"/>
          <w:kern w:val="0"/>
        </w:rPr>
        <w:t>That WA avoids intrinsic value is</w:t>
      </w:r>
      <w:r w:rsidR="008306C6">
        <w:rPr>
          <w:rFonts w:ascii="Perpetua" w:hAnsi="Perpetua" w:cs="Times New Roman"/>
          <w:color w:val="2A2A2A"/>
          <w:kern w:val="0"/>
        </w:rPr>
        <w:t>, therefore,</w:t>
      </w:r>
      <w:r w:rsidRPr="000B24A1">
        <w:rPr>
          <w:rFonts w:ascii="Perpetua" w:hAnsi="Perpetua" w:cs="Times New Roman"/>
          <w:color w:val="2A2A2A"/>
          <w:kern w:val="0"/>
        </w:rPr>
        <w:t xml:space="preserve"> </w:t>
      </w:r>
      <w:r w:rsidR="008306C6">
        <w:rPr>
          <w:rFonts w:ascii="Perpetua" w:hAnsi="Perpetua" w:cs="Times New Roman"/>
          <w:color w:val="2A2A2A"/>
          <w:kern w:val="0"/>
        </w:rPr>
        <w:t>considered</w:t>
      </w:r>
      <w:r w:rsidRPr="000B24A1">
        <w:rPr>
          <w:rFonts w:ascii="Perpetua" w:hAnsi="Perpetua" w:cs="Times New Roman"/>
          <w:color w:val="2A2A2A"/>
          <w:kern w:val="0"/>
        </w:rPr>
        <w:t xml:space="preserve"> a significant advantage</w:t>
      </w:r>
      <w:r>
        <w:rPr>
          <w:rFonts w:ascii="Perpetua" w:hAnsi="Perpetua" w:cs="Times New Roman"/>
          <w:color w:val="2A2A2A"/>
          <w:kern w:val="0"/>
        </w:rPr>
        <w:t xml:space="preserve">. </w:t>
      </w:r>
      <w:r w:rsidRPr="000B24A1">
        <w:rPr>
          <w:rFonts w:ascii="Perpetua" w:hAnsi="Perpetua" w:cs="Times New Roman"/>
          <w:color w:val="2A2A2A"/>
          <w:kern w:val="0"/>
        </w:rPr>
        <w:t xml:space="preserve">Occam’s razor is prayed in aid. </w:t>
      </w:r>
      <w:r w:rsidRPr="000B24A1">
        <w:rPr>
          <w:rFonts w:ascii="Perpetua" w:hAnsi="Perpetua"/>
        </w:rPr>
        <w:t>Whether WA is simplest and whether simplicity is best</w:t>
      </w:r>
      <w:r w:rsidR="008306C6">
        <w:rPr>
          <w:rFonts w:ascii="Perpetua" w:hAnsi="Perpetua"/>
        </w:rPr>
        <w:t>, we can leave alone</w:t>
      </w:r>
      <w:r>
        <w:rPr>
          <w:rFonts w:ascii="Perpetua" w:hAnsi="Perpetua"/>
        </w:rPr>
        <w:t>.</w:t>
      </w:r>
      <w:r w:rsidRPr="000B24A1">
        <w:rPr>
          <w:rFonts w:ascii="Perpetua" w:hAnsi="Perpetua"/>
        </w:rPr>
        <w:t xml:space="preserve"> Pragmatically, </w:t>
      </w:r>
      <w:r>
        <w:rPr>
          <w:rFonts w:ascii="Perpetua" w:hAnsi="Perpetua"/>
        </w:rPr>
        <w:t>Norton</w:t>
      </w:r>
      <w:r w:rsidRPr="000B24A1">
        <w:rPr>
          <w:rFonts w:ascii="Perpetua" w:hAnsi="Perpetua"/>
        </w:rPr>
        <w:t xml:space="preserve"> suggests ‘that </w:t>
      </w:r>
      <w:r w:rsidRPr="00E566B0">
        <w:rPr>
          <w:rFonts w:ascii="Perpetua" w:hAnsi="Perpetua"/>
        </w:rPr>
        <w:t>speaking</w:t>
      </w:r>
      <w:r w:rsidRPr="000B24A1">
        <w:rPr>
          <w:rFonts w:ascii="Perpetua" w:hAnsi="Perpetua"/>
          <w:i/>
          <w:iCs/>
        </w:rPr>
        <w:t xml:space="preserve"> as if </w:t>
      </w:r>
      <w:r w:rsidRPr="000B24A1">
        <w:rPr>
          <w:rFonts w:ascii="Perpetua" w:hAnsi="Perpetua"/>
        </w:rPr>
        <w:t xml:space="preserve">nature has intrinsic value could provide useful guidance’ in correcting felt </w:t>
      </w:r>
      <w:r w:rsidRPr="000B24A1">
        <w:rPr>
          <w:rFonts w:ascii="Perpetua" w:hAnsi="Perpetua"/>
        </w:rPr>
        <w:lastRenderedPageBreak/>
        <w:t xml:space="preserve">preferences. Quasi-realism </w:t>
      </w:r>
      <w:r>
        <w:rPr>
          <w:rFonts w:ascii="Perpetua" w:hAnsi="Perpetua"/>
        </w:rPr>
        <w:t>seems a valid</w:t>
      </w:r>
      <w:r w:rsidRPr="000B24A1">
        <w:rPr>
          <w:rFonts w:ascii="Perpetua" w:hAnsi="Perpetua"/>
        </w:rPr>
        <w:t xml:space="preserve"> point of comparison. </w:t>
      </w:r>
      <w:r w:rsidR="008306C6">
        <w:rPr>
          <w:rFonts w:ascii="Perpetua" w:hAnsi="Perpetua"/>
        </w:rPr>
        <w:t>The</w:t>
      </w:r>
      <w:r w:rsidRPr="000B24A1">
        <w:rPr>
          <w:rFonts w:ascii="Perpetua" w:hAnsi="Perpetua"/>
        </w:rPr>
        <w:t xml:space="preserve"> quasi-realist who </w:t>
      </w:r>
      <w:r>
        <w:rPr>
          <w:rFonts w:ascii="Perpetua" w:hAnsi="Perpetua"/>
        </w:rPr>
        <w:t xml:space="preserve">must </w:t>
      </w:r>
      <w:r w:rsidRPr="000B24A1">
        <w:rPr>
          <w:rFonts w:ascii="Perpetua" w:hAnsi="Perpetua"/>
        </w:rPr>
        <w:t xml:space="preserve">earn the right to speak </w:t>
      </w:r>
      <w:r w:rsidRPr="00632D4E">
        <w:rPr>
          <w:rFonts w:ascii="Perpetua" w:hAnsi="Perpetua"/>
          <w:i/>
          <w:iCs/>
        </w:rPr>
        <w:t>as if</w:t>
      </w:r>
      <w:r w:rsidRPr="000B24A1">
        <w:rPr>
          <w:rFonts w:ascii="Perpetua" w:hAnsi="Perpetua"/>
        </w:rPr>
        <w:t xml:space="preserve"> realism were true might wonder why they </w:t>
      </w:r>
      <w:r>
        <w:rPr>
          <w:rFonts w:ascii="Perpetua" w:hAnsi="Perpetua"/>
        </w:rPr>
        <w:t>are asked to work so hard for the privilege.</w:t>
      </w:r>
      <w:r w:rsidRPr="000B24A1">
        <w:rPr>
          <w:rStyle w:val="FootnoteReference"/>
          <w:rFonts w:ascii="Perpetua" w:hAnsi="Perpetua"/>
        </w:rPr>
        <w:footnoteReference w:id="64"/>
      </w:r>
      <w:r w:rsidRPr="000B24A1">
        <w:rPr>
          <w:rFonts w:ascii="Perpetua" w:hAnsi="Perpetua"/>
        </w:rPr>
        <w:t xml:space="preserve">  </w:t>
      </w:r>
    </w:p>
    <w:p w14:paraId="086212CF" w14:textId="77777777" w:rsidR="00BE0B55" w:rsidRPr="000B24A1" w:rsidRDefault="00BE0B55" w:rsidP="00C6093A">
      <w:pPr>
        <w:autoSpaceDE w:val="0"/>
        <w:autoSpaceDN w:val="0"/>
        <w:adjustRightInd w:val="0"/>
        <w:spacing w:after="0" w:line="480" w:lineRule="auto"/>
        <w:jc w:val="both"/>
        <w:rPr>
          <w:rFonts w:ascii="Perpetua" w:hAnsi="Perpetua"/>
        </w:rPr>
      </w:pPr>
    </w:p>
    <w:p w14:paraId="35783D35" w14:textId="62FF4C12" w:rsidR="00BE0B55" w:rsidRPr="000B24A1" w:rsidRDefault="00BE0B55" w:rsidP="00C6093A">
      <w:pPr>
        <w:autoSpaceDE w:val="0"/>
        <w:autoSpaceDN w:val="0"/>
        <w:adjustRightInd w:val="0"/>
        <w:spacing w:after="0" w:line="480" w:lineRule="auto"/>
        <w:jc w:val="both"/>
        <w:rPr>
          <w:rFonts w:ascii="Perpetua" w:hAnsi="Perpetua"/>
        </w:rPr>
      </w:pPr>
      <w:r>
        <w:rPr>
          <w:rFonts w:ascii="Perpetua" w:hAnsi="Perpetua"/>
        </w:rPr>
        <w:t xml:space="preserve">Overall, </w:t>
      </w:r>
      <w:r w:rsidRPr="000B24A1">
        <w:rPr>
          <w:rFonts w:ascii="Perpetua" w:hAnsi="Perpetua"/>
        </w:rPr>
        <w:t xml:space="preserve">Norton’s negative account </w:t>
      </w:r>
      <w:r>
        <w:rPr>
          <w:rFonts w:ascii="Perpetua" w:hAnsi="Perpetua"/>
        </w:rPr>
        <w:t>is persuasive</w:t>
      </w:r>
      <w:r w:rsidRPr="000B24A1">
        <w:rPr>
          <w:rFonts w:ascii="Perpetua" w:hAnsi="Perpetua"/>
        </w:rPr>
        <w:t>. The distinctions between felt/considered preferences</w:t>
      </w:r>
      <w:r>
        <w:rPr>
          <w:rFonts w:ascii="Perpetua" w:hAnsi="Perpetua"/>
        </w:rPr>
        <w:t xml:space="preserve"> and </w:t>
      </w:r>
      <w:r w:rsidRPr="000B24A1">
        <w:rPr>
          <w:rFonts w:ascii="Perpetua" w:hAnsi="Perpetua"/>
        </w:rPr>
        <w:t xml:space="preserve">distributional fairness/allocation </w:t>
      </w:r>
      <w:r>
        <w:rPr>
          <w:rFonts w:ascii="Perpetua" w:hAnsi="Perpetua"/>
        </w:rPr>
        <w:t xml:space="preserve">adroit. </w:t>
      </w:r>
      <w:r w:rsidRPr="000B24A1">
        <w:rPr>
          <w:rFonts w:ascii="Perpetua" w:hAnsi="Perpetua"/>
        </w:rPr>
        <w:t xml:space="preserve">The positive case is reasoned </w:t>
      </w:r>
      <w:r>
        <w:rPr>
          <w:rFonts w:ascii="Perpetua" w:hAnsi="Perpetua"/>
        </w:rPr>
        <w:t>even if its</w:t>
      </w:r>
      <w:r w:rsidRPr="000B24A1">
        <w:rPr>
          <w:rFonts w:ascii="Perpetua" w:hAnsi="Perpetua"/>
        </w:rPr>
        <w:t xml:space="preserve"> foundations </w:t>
      </w:r>
      <w:r>
        <w:rPr>
          <w:rFonts w:ascii="Perpetua" w:hAnsi="Perpetua"/>
        </w:rPr>
        <w:t>might appear suspect</w:t>
      </w:r>
      <w:r w:rsidRPr="000B24A1">
        <w:rPr>
          <w:rFonts w:ascii="Perpetua" w:hAnsi="Perpetua"/>
        </w:rPr>
        <w:t xml:space="preserve">. </w:t>
      </w:r>
      <w:r w:rsidR="00F22CFD">
        <w:rPr>
          <w:rFonts w:ascii="Perpetua" w:hAnsi="Perpetua"/>
        </w:rPr>
        <w:t>O</w:t>
      </w:r>
      <w:r w:rsidR="008306C6">
        <w:rPr>
          <w:rFonts w:ascii="Perpetua" w:hAnsi="Perpetua"/>
        </w:rPr>
        <w:t xml:space="preserve">n any reading, </w:t>
      </w:r>
      <w:r w:rsidR="002C5337">
        <w:rPr>
          <w:rFonts w:ascii="Perpetua" w:hAnsi="Perpetua"/>
        </w:rPr>
        <w:t xml:space="preserve">WA’s </w:t>
      </w:r>
      <w:r w:rsidR="008306C6">
        <w:rPr>
          <w:rFonts w:ascii="Perpetua" w:hAnsi="Perpetua"/>
        </w:rPr>
        <w:t xml:space="preserve">adequacy </w:t>
      </w:r>
      <w:r w:rsidRPr="000B24A1">
        <w:rPr>
          <w:rFonts w:ascii="Perpetua" w:hAnsi="Perpetua"/>
        </w:rPr>
        <w:t xml:space="preserve">does not </w:t>
      </w:r>
      <w:r w:rsidR="008306C6">
        <w:rPr>
          <w:rFonts w:ascii="Perpetua" w:hAnsi="Perpetua"/>
        </w:rPr>
        <w:t>make it</w:t>
      </w:r>
      <w:r w:rsidRPr="000B24A1">
        <w:rPr>
          <w:rFonts w:ascii="Perpetua" w:hAnsi="Perpetua"/>
        </w:rPr>
        <w:t xml:space="preserve"> best. </w:t>
      </w:r>
    </w:p>
    <w:p w14:paraId="60D0E1F5" w14:textId="77777777" w:rsidR="00BE0B55" w:rsidRPr="000B24A1" w:rsidRDefault="00BE0B55" w:rsidP="00C6093A">
      <w:pPr>
        <w:spacing w:line="480" w:lineRule="auto"/>
        <w:jc w:val="both"/>
        <w:rPr>
          <w:rFonts w:ascii="Perpetua" w:hAnsi="Perpetua"/>
        </w:rPr>
      </w:pPr>
    </w:p>
    <w:p w14:paraId="48796DB0" w14:textId="25225672" w:rsidR="00BE0B55" w:rsidRPr="000B24A1" w:rsidRDefault="00BE0B55" w:rsidP="00C6093A">
      <w:pPr>
        <w:autoSpaceDE w:val="0"/>
        <w:autoSpaceDN w:val="0"/>
        <w:adjustRightInd w:val="0"/>
        <w:spacing w:after="0" w:line="480" w:lineRule="auto"/>
        <w:jc w:val="both"/>
        <w:rPr>
          <w:rFonts w:ascii="Perpetua" w:hAnsi="Perpetua" w:cs="Times New Roman"/>
          <w:color w:val="2A2A2A"/>
          <w:kern w:val="0"/>
        </w:rPr>
      </w:pPr>
      <w:r w:rsidRPr="000B24A1">
        <w:rPr>
          <w:rFonts w:ascii="Perpetua" w:hAnsi="Perpetua" w:cs="Times New Roman"/>
          <w:color w:val="2A2A2A"/>
          <w:kern w:val="0"/>
        </w:rPr>
        <w:t xml:space="preserve">Since 1984, the once simple picture has been disturbed further (e.g. the emergence of environmental pragmatism, attempts to reassess deep ecology as anthropocentric). </w:t>
      </w:r>
      <w:r>
        <w:rPr>
          <w:rFonts w:ascii="Perpetua" w:hAnsi="Perpetua" w:cs="Times New Roman"/>
          <w:color w:val="2A2A2A"/>
          <w:kern w:val="0"/>
        </w:rPr>
        <w:t>An</w:t>
      </w:r>
      <w:r w:rsidRPr="000B24A1">
        <w:rPr>
          <w:rFonts w:ascii="Perpetua" w:hAnsi="Perpetua" w:cs="Times New Roman"/>
          <w:color w:val="2A2A2A"/>
          <w:kern w:val="0"/>
        </w:rPr>
        <w:t xml:space="preserve"> already slippery word has continued to be misused (intentionally; understandably; inexcusably) despite the lengthening taxonomies</w:t>
      </w:r>
      <w:r w:rsidR="00DE2A50">
        <w:rPr>
          <w:rFonts w:ascii="Perpetua" w:hAnsi="Perpetua" w:cs="Times New Roman"/>
          <w:color w:val="2A2A2A"/>
          <w:kern w:val="0"/>
        </w:rPr>
        <w:t>.</w:t>
      </w:r>
      <w:r w:rsidR="002C5337">
        <w:rPr>
          <w:rFonts w:ascii="Perpetua" w:hAnsi="Perpetua" w:cs="Times New Roman"/>
          <w:color w:val="2A2A2A"/>
          <w:kern w:val="0"/>
        </w:rPr>
        <w:t xml:space="preserve"> </w:t>
      </w:r>
      <w:r w:rsidR="00DE2A50">
        <w:rPr>
          <w:rFonts w:ascii="Perpetua" w:hAnsi="Perpetua" w:cs="Times New Roman"/>
          <w:color w:val="2A2A2A"/>
          <w:kern w:val="0"/>
        </w:rPr>
        <w:t>A</w:t>
      </w:r>
      <w:r w:rsidR="002C5337">
        <w:rPr>
          <w:rFonts w:ascii="Perpetua" w:hAnsi="Perpetua" w:cs="Times New Roman"/>
          <w:color w:val="2A2A2A"/>
          <w:kern w:val="0"/>
        </w:rPr>
        <w:t>nd t</w:t>
      </w:r>
      <w:r w:rsidRPr="000B24A1">
        <w:rPr>
          <w:rFonts w:ascii="Perpetua" w:hAnsi="Perpetua" w:cs="Times New Roman"/>
          <w:color w:val="2A2A2A"/>
          <w:kern w:val="0"/>
        </w:rPr>
        <w:t xml:space="preserve">hat’s just in English. </w:t>
      </w:r>
      <w:r>
        <w:rPr>
          <w:rFonts w:ascii="Perpetua" w:hAnsi="Perpetua" w:cs="Times New Roman"/>
          <w:color w:val="2A2A2A"/>
          <w:kern w:val="0"/>
        </w:rPr>
        <w:t>Anthropocentrism is less significant than once thought</w:t>
      </w:r>
      <w:r w:rsidR="002C5337">
        <w:rPr>
          <w:rFonts w:ascii="Perpetua" w:hAnsi="Perpetua" w:cs="Times New Roman"/>
          <w:color w:val="2A2A2A"/>
          <w:kern w:val="0"/>
        </w:rPr>
        <w:t>.</w:t>
      </w:r>
      <w:r w:rsidR="002C5337">
        <w:rPr>
          <w:rStyle w:val="FootnoteReference"/>
          <w:rFonts w:ascii="Perpetua" w:hAnsi="Perpetua" w:cs="Times New Roman"/>
          <w:color w:val="2A2A2A"/>
          <w:kern w:val="0"/>
        </w:rPr>
        <w:footnoteReference w:id="65"/>
      </w:r>
      <w:r w:rsidR="002C5337">
        <w:rPr>
          <w:rFonts w:ascii="Perpetua" w:hAnsi="Perpetua" w:cs="Times New Roman"/>
          <w:color w:val="2A2A2A"/>
          <w:kern w:val="0"/>
        </w:rPr>
        <w:t xml:space="preserve"> Th</w:t>
      </w:r>
      <w:r>
        <w:rPr>
          <w:rFonts w:ascii="Perpetua" w:hAnsi="Perpetua" w:cs="Times New Roman"/>
          <w:color w:val="2A2A2A"/>
          <w:kern w:val="0"/>
        </w:rPr>
        <w:t xml:space="preserve">ere is still </w:t>
      </w:r>
      <w:proofErr w:type="gramStart"/>
      <w:r>
        <w:rPr>
          <w:rFonts w:ascii="Perpetua" w:hAnsi="Perpetua" w:cs="Times New Roman"/>
          <w:color w:val="2A2A2A"/>
          <w:kern w:val="0"/>
        </w:rPr>
        <w:t>advantage</w:t>
      </w:r>
      <w:proofErr w:type="gramEnd"/>
      <w:r>
        <w:rPr>
          <w:rFonts w:ascii="Perpetua" w:hAnsi="Perpetua" w:cs="Times New Roman"/>
          <w:color w:val="2A2A2A"/>
          <w:kern w:val="0"/>
        </w:rPr>
        <w:t xml:space="preserve"> to be had in </w:t>
      </w:r>
      <w:proofErr w:type="spellStart"/>
      <w:r>
        <w:rPr>
          <w:rFonts w:ascii="Perpetua" w:hAnsi="Perpetua" w:cs="Times New Roman"/>
          <w:color w:val="2A2A2A"/>
          <w:kern w:val="0"/>
        </w:rPr>
        <w:t>nonanthropocentrism</w:t>
      </w:r>
      <w:proofErr w:type="spellEnd"/>
      <w:r>
        <w:rPr>
          <w:rFonts w:ascii="Perpetua" w:hAnsi="Perpetua" w:cs="Times New Roman"/>
          <w:color w:val="2A2A2A"/>
          <w:kern w:val="0"/>
        </w:rPr>
        <w:t xml:space="preserve"> (e.g. suffering of individual</w:t>
      </w:r>
      <w:r w:rsidR="00DE2A50">
        <w:rPr>
          <w:rFonts w:ascii="Perpetua" w:hAnsi="Perpetua" w:cs="Times New Roman"/>
          <w:color w:val="2A2A2A"/>
          <w:kern w:val="0"/>
        </w:rPr>
        <w:t>s</w:t>
      </w:r>
      <w:r>
        <w:rPr>
          <w:rFonts w:ascii="Perpetua" w:hAnsi="Perpetua" w:cs="Times New Roman"/>
          <w:color w:val="2A2A2A"/>
          <w:kern w:val="0"/>
        </w:rPr>
        <w:t xml:space="preserve"> </w:t>
      </w:r>
      <w:r w:rsidR="00DE2A50">
        <w:rPr>
          <w:rFonts w:ascii="Perpetua" w:hAnsi="Perpetua" w:cs="Times New Roman"/>
          <w:color w:val="2A2A2A"/>
          <w:kern w:val="0"/>
        </w:rPr>
        <w:t>from unidentified species</w:t>
      </w:r>
      <w:r>
        <w:rPr>
          <w:rFonts w:ascii="Perpetua" w:hAnsi="Perpetua" w:cs="Times New Roman"/>
          <w:color w:val="2A2A2A"/>
          <w:kern w:val="0"/>
        </w:rPr>
        <w:t xml:space="preserve">) </w:t>
      </w:r>
      <w:r w:rsidR="00DE2A50">
        <w:rPr>
          <w:rFonts w:ascii="Perpetua" w:hAnsi="Perpetua" w:cs="Times New Roman"/>
          <w:color w:val="2A2A2A"/>
          <w:kern w:val="0"/>
        </w:rPr>
        <w:t>independent</w:t>
      </w:r>
      <w:r>
        <w:rPr>
          <w:rFonts w:ascii="Perpetua" w:hAnsi="Perpetua" w:cs="Times New Roman"/>
          <w:color w:val="2A2A2A"/>
          <w:kern w:val="0"/>
        </w:rPr>
        <w:t xml:space="preserve"> of any views one may have about pragmatism. </w:t>
      </w:r>
      <w:r w:rsidR="00F22CFD">
        <w:rPr>
          <w:rFonts w:ascii="Perpetua" w:hAnsi="Perpetua"/>
        </w:rPr>
        <w:t>How</w:t>
      </w:r>
      <w:r w:rsidRPr="000B24A1">
        <w:rPr>
          <w:rFonts w:ascii="Perpetua" w:hAnsi="Perpetua"/>
        </w:rPr>
        <w:t xml:space="preserve"> we respond</w:t>
      </w:r>
      <w:r>
        <w:rPr>
          <w:rFonts w:ascii="Perpetua" w:hAnsi="Perpetua"/>
        </w:rPr>
        <w:t>,</w:t>
      </w:r>
      <w:r w:rsidRPr="000B24A1">
        <w:rPr>
          <w:rFonts w:ascii="Perpetua" w:hAnsi="Perpetua"/>
        </w:rPr>
        <w:t xml:space="preserve"> and why</w:t>
      </w:r>
      <w:r>
        <w:rPr>
          <w:rFonts w:ascii="Perpetua" w:hAnsi="Perpetua"/>
        </w:rPr>
        <w:t>,</w:t>
      </w:r>
      <w:r w:rsidRPr="000B24A1">
        <w:rPr>
          <w:rFonts w:ascii="Perpetua" w:hAnsi="Perpetua"/>
        </w:rPr>
        <w:t xml:space="preserve"> matters. </w:t>
      </w:r>
      <w:r>
        <w:rPr>
          <w:rFonts w:ascii="Perpetua" w:hAnsi="Perpetua" w:cs="Times New Roman"/>
          <w:color w:val="2A2A2A"/>
          <w:kern w:val="0"/>
        </w:rPr>
        <w:t>This is so even if the convergence hypothesis is true.</w:t>
      </w:r>
      <w:r>
        <w:rPr>
          <w:rStyle w:val="FootnoteReference"/>
          <w:rFonts w:ascii="Perpetua" w:hAnsi="Perpetua" w:cs="Times New Roman"/>
          <w:color w:val="2A2A2A"/>
          <w:kern w:val="0"/>
        </w:rPr>
        <w:footnoteReference w:id="66"/>
      </w:r>
      <w:r>
        <w:rPr>
          <w:rFonts w:ascii="Perpetua" w:hAnsi="Perpetua" w:cs="Times New Roman"/>
          <w:color w:val="2A2A2A"/>
          <w:kern w:val="0"/>
        </w:rPr>
        <w:t xml:space="preserve"> But, true or false, Norton’s claim raises </w:t>
      </w:r>
      <w:r w:rsidRPr="000B24A1">
        <w:rPr>
          <w:rFonts w:ascii="Perpetua" w:hAnsi="Perpetua" w:cs="Times New Roman"/>
          <w:color w:val="2A2A2A"/>
          <w:kern w:val="0"/>
        </w:rPr>
        <w:t xml:space="preserve">genuine doubt about the significance of </w:t>
      </w:r>
      <w:r>
        <w:rPr>
          <w:rFonts w:ascii="Perpetua" w:hAnsi="Perpetua" w:cs="Times New Roman"/>
          <w:color w:val="2A2A2A"/>
          <w:kern w:val="0"/>
        </w:rPr>
        <w:t>any WA/non-anthropocentric</w:t>
      </w:r>
      <w:r w:rsidRPr="000B24A1">
        <w:rPr>
          <w:rFonts w:ascii="Perpetua" w:hAnsi="Perpetua" w:cs="Times New Roman"/>
          <w:color w:val="2A2A2A"/>
          <w:kern w:val="0"/>
        </w:rPr>
        <w:t xml:space="preserve"> distinction.</w:t>
      </w:r>
      <w:r>
        <w:rPr>
          <w:rFonts w:ascii="Perpetua" w:hAnsi="Perpetua" w:cs="Times New Roman"/>
          <w:color w:val="2A2A2A"/>
          <w:kern w:val="0"/>
        </w:rPr>
        <w:t xml:space="preserve"> Internecine dispute in the face of a strong and common enemy cannot help but appear foolish. </w:t>
      </w:r>
      <w:r w:rsidRPr="000B24A1">
        <w:rPr>
          <w:rFonts w:ascii="Perpetua" w:hAnsi="Perpetua" w:cs="Times New Roman"/>
          <w:color w:val="2A2A2A"/>
          <w:kern w:val="0"/>
        </w:rPr>
        <w:t xml:space="preserve">  </w:t>
      </w:r>
      <w:r w:rsidR="00F22CFD">
        <w:rPr>
          <w:rFonts w:ascii="Perpetua" w:hAnsi="Perpetua" w:cs="Times New Roman"/>
          <w:color w:val="2A2A2A"/>
          <w:kern w:val="0"/>
        </w:rPr>
        <w:t>T</w:t>
      </w:r>
      <w:r w:rsidRPr="000B24A1">
        <w:rPr>
          <w:rFonts w:ascii="Perpetua" w:hAnsi="Perpetua" w:cs="Times New Roman"/>
          <w:color w:val="2A2A2A"/>
          <w:kern w:val="0"/>
        </w:rPr>
        <w:t xml:space="preserve">he seeds of convergence </w:t>
      </w:r>
      <w:r w:rsidR="00F22CFD">
        <w:rPr>
          <w:rFonts w:ascii="Perpetua" w:hAnsi="Perpetua" w:cs="Times New Roman"/>
          <w:color w:val="2A2A2A"/>
          <w:kern w:val="0"/>
        </w:rPr>
        <w:t xml:space="preserve">had been </w:t>
      </w:r>
      <w:r w:rsidRPr="000B24A1">
        <w:rPr>
          <w:rFonts w:ascii="Perpetua" w:hAnsi="Perpetua" w:cs="Times New Roman"/>
          <w:color w:val="2A2A2A"/>
          <w:kern w:val="0"/>
        </w:rPr>
        <w:t>sown.</w:t>
      </w:r>
    </w:p>
    <w:p w14:paraId="5AD42C5F" w14:textId="77777777" w:rsidR="00BE0B55" w:rsidRDefault="00BE0B55" w:rsidP="00BE0B55">
      <w:pPr>
        <w:spacing w:line="480" w:lineRule="auto"/>
        <w:jc w:val="both"/>
        <w:rPr>
          <w:rFonts w:ascii="Perpetua" w:hAnsi="Perpetua"/>
        </w:rPr>
      </w:pPr>
    </w:p>
    <w:p w14:paraId="7571D22D" w14:textId="4982EDDE" w:rsidR="00BE0B55" w:rsidRPr="000B24A1" w:rsidRDefault="00BE0B55" w:rsidP="00BE0B55">
      <w:pPr>
        <w:spacing w:line="480" w:lineRule="auto"/>
        <w:jc w:val="both"/>
        <w:rPr>
          <w:rFonts w:ascii="Perpetua" w:hAnsi="Perpetua"/>
        </w:rPr>
      </w:pPr>
      <w:r>
        <w:rPr>
          <w:rFonts w:ascii="Perpetua" w:hAnsi="Perpetua"/>
        </w:rPr>
        <w:t>Word Count</w:t>
      </w:r>
      <w:r w:rsidR="00DE2A50">
        <w:rPr>
          <w:rFonts w:ascii="Perpetua" w:hAnsi="Perpetua"/>
        </w:rPr>
        <w:t xml:space="preserve"> (excluding title and footnotes)</w:t>
      </w:r>
      <w:r>
        <w:rPr>
          <w:rFonts w:ascii="Perpetua" w:hAnsi="Perpetua"/>
        </w:rPr>
        <w:t>: 1,0</w:t>
      </w:r>
      <w:r w:rsidR="00F22CFD">
        <w:rPr>
          <w:rFonts w:ascii="Perpetua" w:hAnsi="Perpetua"/>
        </w:rPr>
        <w:t>10</w:t>
      </w:r>
      <w:r>
        <w:rPr>
          <w:rFonts w:ascii="Perpetua" w:hAnsi="Perpetua"/>
        </w:rPr>
        <w:t xml:space="preserve">. </w:t>
      </w:r>
    </w:p>
    <w:p w14:paraId="3869035D" w14:textId="5BDE1038" w:rsidR="009C34C2" w:rsidRDefault="009C34C2">
      <w:r>
        <w:br w:type="page"/>
      </w:r>
    </w:p>
    <w:p w14:paraId="1CFEA92E" w14:textId="77777777" w:rsidR="009C34C2" w:rsidRPr="00F22CFD" w:rsidRDefault="009C34C2" w:rsidP="009C34C2">
      <w:pPr>
        <w:pStyle w:val="NoSpacing"/>
        <w:rPr>
          <w:b/>
          <w:bCs/>
        </w:rPr>
      </w:pPr>
    </w:p>
    <w:p w14:paraId="70ACFEAF" w14:textId="47B5440E" w:rsidR="009C34C2" w:rsidRPr="00F22CFD" w:rsidRDefault="00574D6E" w:rsidP="009C34C2">
      <w:pPr>
        <w:pStyle w:val="NoSpacing"/>
        <w:rPr>
          <w:rFonts w:ascii="Perpetua" w:hAnsi="Perpetua"/>
          <w:b/>
          <w:bCs/>
          <w:color w:val="000000" w:themeColor="text1"/>
        </w:rPr>
      </w:pPr>
      <w:r w:rsidRPr="00F22CFD">
        <w:rPr>
          <w:rFonts w:ascii="Perpetua" w:hAnsi="Perpetua"/>
          <w:b/>
          <w:bCs/>
          <w:color w:val="000000" w:themeColor="text1"/>
        </w:rPr>
        <w:t>3</w:t>
      </w:r>
      <w:r w:rsidR="009C34C2" w:rsidRPr="00F22CFD">
        <w:rPr>
          <w:rFonts w:ascii="Perpetua" w:hAnsi="Perpetua"/>
          <w:b/>
          <w:bCs/>
          <w:color w:val="000000" w:themeColor="text1"/>
        </w:rPr>
        <w:t>.</w:t>
      </w:r>
    </w:p>
    <w:p w14:paraId="37B36986" w14:textId="2F1ECE0B" w:rsidR="009C34C2" w:rsidRPr="00F22CFD" w:rsidRDefault="009C34C2" w:rsidP="009C34C2">
      <w:pPr>
        <w:pStyle w:val="NoSpacing"/>
        <w:rPr>
          <w:rFonts w:ascii="Perpetua" w:hAnsi="Perpetua"/>
          <w:b/>
          <w:bCs/>
          <w:color w:val="000000" w:themeColor="text1"/>
        </w:rPr>
      </w:pPr>
      <w:r w:rsidRPr="00F22CFD">
        <w:rPr>
          <w:rFonts w:ascii="Perpetua" w:hAnsi="Perpetua"/>
          <w:b/>
          <w:bCs/>
          <w:color w:val="000000" w:themeColor="text1"/>
        </w:rPr>
        <w:t>Mary Midgley</w:t>
      </w:r>
      <w:r w:rsidR="00574D6E" w:rsidRPr="00F22CFD">
        <w:rPr>
          <w:rFonts w:ascii="Perpetua" w:hAnsi="Perpetua"/>
          <w:b/>
          <w:bCs/>
          <w:color w:val="000000" w:themeColor="text1"/>
        </w:rPr>
        <w:t>,</w:t>
      </w:r>
      <w:r w:rsidRPr="00F22CFD">
        <w:rPr>
          <w:rFonts w:ascii="Perpetua" w:hAnsi="Perpetua"/>
          <w:b/>
          <w:bCs/>
          <w:color w:val="000000" w:themeColor="text1"/>
        </w:rPr>
        <w:t xml:space="preserve"> </w:t>
      </w:r>
      <w:r w:rsidRPr="00F22CFD">
        <w:rPr>
          <w:rFonts w:ascii="Perpetua" w:hAnsi="Perpetua"/>
          <w:b/>
          <w:bCs/>
          <w:color w:val="000000" w:themeColor="text1"/>
          <w:shd w:val="clear" w:color="auto" w:fill="FFFFFF"/>
        </w:rPr>
        <w:t>“</w:t>
      </w:r>
      <w:r w:rsidRPr="00F22CFD">
        <w:rPr>
          <w:rStyle w:val="Emphasis"/>
          <w:rFonts w:ascii="Perpetua" w:hAnsi="Perpetua"/>
          <w:b/>
          <w:bCs/>
          <w:i w:val="0"/>
          <w:iCs w:val="0"/>
          <w:color w:val="000000" w:themeColor="text1"/>
        </w:rPr>
        <w:t>Beasts</w:t>
      </w:r>
      <w:r w:rsidRPr="00F22CFD">
        <w:rPr>
          <w:rStyle w:val="apple-converted-space"/>
          <w:rFonts w:ascii="Perpetua" w:hAnsi="Perpetua"/>
          <w:b/>
          <w:bCs/>
          <w:color w:val="000000" w:themeColor="text1"/>
          <w:shd w:val="clear" w:color="auto" w:fill="FFFFFF"/>
        </w:rPr>
        <w:t> </w:t>
      </w:r>
      <w:r w:rsidRPr="00F22CFD">
        <w:rPr>
          <w:rFonts w:ascii="Perpetua" w:hAnsi="Perpetua"/>
          <w:b/>
          <w:bCs/>
          <w:color w:val="000000" w:themeColor="text1"/>
          <w:shd w:val="clear" w:color="auto" w:fill="FFFFFF"/>
        </w:rPr>
        <w:t>Versus the</w:t>
      </w:r>
      <w:r w:rsidRPr="00F22CFD">
        <w:rPr>
          <w:rStyle w:val="apple-converted-space"/>
          <w:rFonts w:ascii="Perpetua" w:hAnsi="Perpetua"/>
          <w:b/>
          <w:bCs/>
          <w:color w:val="000000" w:themeColor="text1"/>
          <w:shd w:val="clear" w:color="auto" w:fill="FFFFFF"/>
        </w:rPr>
        <w:t> </w:t>
      </w:r>
      <w:r w:rsidRPr="00F22CFD">
        <w:rPr>
          <w:rStyle w:val="Emphasis"/>
          <w:rFonts w:ascii="Perpetua" w:hAnsi="Perpetua"/>
          <w:b/>
          <w:bCs/>
          <w:i w:val="0"/>
          <w:iCs w:val="0"/>
          <w:color w:val="000000" w:themeColor="text1"/>
        </w:rPr>
        <w:t>Biosphere</w:t>
      </w:r>
      <w:r w:rsidRPr="00F22CFD">
        <w:rPr>
          <w:rFonts w:ascii="Perpetua" w:hAnsi="Perpetua"/>
          <w:b/>
          <w:bCs/>
          <w:color w:val="000000" w:themeColor="text1"/>
          <w:shd w:val="clear" w:color="auto" w:fill="FFFFFF"/>
        </w:rPr>
        <w:t xml:space="preserve">?”, </w:t>
      </w:r>
      <w:r w:rsidRPr="00F22CFD">
        <w:rPr>
          <w:rFonts w:ascii="Perpetua" w:hAnsi="Perpetua"/>
          <w:b/>
          <w:bCs/>
          <w:i/>
          <w:iCs/>
          <w:color w:val="000000" w:themeColor="text1"/>
          <w:shd w:val="clear" w:color="auto" w:fill="FFFFFF"/>
        </w:rPr>
        <w:t>Environmental Values</w:t>
      </w:r>
      <w:r w:rsidRPr="00F22CFD">
        <w:rPr>
          <w:rFonts w:ascii="Perpetua" w:hAnsi="Perpetua"/>
          <w:b/>
          <w:bCs/>
          <w:color w:val="000000" w:themeColor="text1"/>
          <w:shd w:val="clear" w:color="auto" w:fill="FFFFFF"/>
        </w:rPr>
        <w:t xml:space="preserve"> 1, no. 2, (1992), pp. 113–21.</w:t>
      </w:r>
    </w:p>
    <w:p w14:paraId="78E40D5F" w14:textId="77777777" w:rsidR="009C34C2" w:rsidRPr="00A82267" w:rsidRDefault="009C34C2" w:rsidP="009C34C2">
      <w:pPr>
        <w:pStyle w:val="NoSpacing"/>
      </w:pPr>
    </w:p>
    <w:p w14:paraId="24EA85B6" w14:textId="77777777" w:rsidR="00574D6E" w:rsidRPr="00A82267" w:rsidRDefault="00574D6E" w:rsidP="009C34C2">
      <w:pPr>
        <w:pStyle w:val="NoSpacing"/>
        <w:spacing w:line="480" w:lineRule="auto"/>
        <w:jc w:val="both"/>
        <w:rPr>
          <w:rFonts w:ascii="Perpetua" w:hAnsi="Perpetua"/>
        </w:rPr>
      </w:pPr>
    </w:p>
    <w:p w14:paraId="79FE2643" w14:textId="2CE29B75" w:rsidR="009C34C2" w:rsidRDefault="009C34C2" w:rsidP="009C34C2">
      <w:pPr>
        <w:pStyle w:val="NoSpacing"/>
        <w:spacing w:line="480" w:lineRule="auto"/>
        <w:jc w:val="both"/>
        <w:rPr>
          <w:rFonts w:ascii="Perpetua" w:hAnsi="Perpetua"/>
        </w:rPr>
      </w:pPr>
      <w:r w:rsidRPr="00A82267">
        <w:rPr>
          <w:rFonts w:ascii="Perpetua" w:hAnsi="Perpetua"/>
        </w:rPr>
        <w:t xml:space="preserve">As </w:t>
      </w:r>
      <w:r w:rsidRPr="00A82267">
        <w:rPr>
          <w:rFonts w:ascii="Perpetua" w:hAnsi="Perpetua"/>
          <w:i/>
          <w:iCs/>
        </w:rPr>
        <w:t>Animals and Why They Matter</w:t>
      </w:r>
      <w:r w:rsidRPr="00A82267">
        <w:rPr>
          <w:rFonts w:ascii="Perpetua" w:hAnsi="Perpetua"/>
        </w:rPr>
        <w:t xml:space="preserve"> headed for publication, animal liberationist and deep ecology hostilities </w:t>
      </w:r>
      <w:r w:rsidR="00574D6E">
        <w:rPr>
          <w:rFonts w:ascii="Perpetua" w:hAnsi="Perpetua"/>
        </w:rPr>
        <w:t>raged</w:t>
      </w:r>
      <w:r w:rsidRPr="00A82267">
        <w:rPr>
          <w:rFonts w:ascii="Perpetua" w:hAnsi="Perpetua"/>
        </w:rPr>
        <w:t xml:space="preserve"> fierce.</w:t>
      </w:r>
      <w:r w:rsidRPr="00A82267">
        <w:rPr>
          <w:rStyle w:val="FootnoteReference"/>
          <w:rFonts w:ascii="Perpetua" w:hAnsi="Perpetua"/>
        </w:rPr>
        <w:footnoteReference w:id="67"/>
      </w:r>
      <w:r w:rsidRPr="00A82267">
        <w:rPr>
          <w:rFonts w:ascii="Perpetua" w:hAnsi="Perpetua"/>
        </w:rPr>
        <w:t xml:space="preserve"> The pitch was increasingly vituperative. Exchanges were laced with hyperbole and occasional resort to </w:t>
      </w:r>
      <w:r w:rsidRPr="00A82267">
        <w:rPr>
          <w:rFonts w:ascii="Perpetua" w:hAnsi="Perpetua"/>
          <w:i/>
          <w:iCs/>
        </w:rPr>
        <w:t>ad hominem</w:t>
      </w:r>
      <w:r w:rsidRPr="00A82267">
        <w:rPr>
          <w:rFonts w:ascii="Perpetua" w:hAnsi="Perpetua"/>
        </w:rPr>
        <w:t>.</w:t>
      </w:r>
      <w:r w:rsidRPr="00A82267">
        <w:rPr>
          <w:rStyle w:val="FootnoteReference"/>
          <w:rFonts w:ascii="Perpetua" w:hAnsi="Perpetua"/>
        </w:rPr>
        <w:footnoteReference w:id="68"/>
      </w:r>
      <w:r w:rsidRPr="00A82267">
        <w:rPr>
          <w:rFonts w:ascii="Perpetua" w:hAnsi="Perpetua"/>
        </w:rPr>
        <w:t xml:space="preserve"> Many presumed the causes irreconcilable.</w:t>
      </w:r>
      <w:r w:rsidRPr="00A82267">
        <w:rPr>
          <w:rStyle w:val="FootnoteReference"/>
          <w:rFonts w:ascii="Perpetua" w:hAnsi="Perpetua"/>
        </w:rPr>
        <w:footnoteReference w:id="69"/>
      </w:r>
      <w:r w:rsidRPr="00A82267">
        <w:rPr>
          <w:rFonts w:ascii="Perpetua" w:hAnsi="Perpetua"/>
        </w:rPr>
        <w:t xml:space="preserve"> But as others were becoming mired in dispute (their own</w:t>
      </w:r>
      <w:r w:rsidRPr="00A82267">
        <w:rPr>
          <w:rFonts w:ascii="Perpetua" w:hAnsi="Perpetua"/>
          <w:i/>
          <w:iCs/>
        </w:rPr>
        <w:t xml:space="preserve"> </w:t>
      </w:r>
      <w:r w:rsidRPr="00A82267">
        <w:rPr>
          <w:rFonts w:ascii="Perpetua" w:hAnsi="Perpetua"/>
        </w:rPr>
        <w:t xml:space="preserve">analytic heritage worn a little heavier; a little too heavy), Mary Midgley considered the resolutely irresolvable conflict between animal-individualistic and environmental-holist positions and applied her inimitable method. </w:t>
      </w:r>
    </w:p>
    <w:p w14:paraId="2491EB18" w14:textId="77777777" w:rsidR="00574D6E" w:rsidRPr="00A82267" w:rsidRDefault="00574D6E" w:rsidP="009C34C2">
      <w:pPr>
        <w:pStyle w:val="NoSpacing"/>
        <w:spacing w:line="480" w:lineRule="auto"/>
        <w:jc w:val="both"/>
        <w:rPr>
          <w:rFonts w:ascii="Perpetua" w:hAnsi="Perpetua"/>
        </w:rPr>
      </w:pPr>
    </w:p>
    <w:p w14:paraId="260ED493" w14:textId="77777777" w:rsidR="009C34C2" w:rsidRPr="00A82267" w:rsidRDefault="009C34C2" w:rsidP="009C34C2">
      <w:pPr>
        <w:pStyle w:val="NoSpacing"/>
      </w:pPr>
    </w:p>
    <w:p w14:paraId="21FDC506" w14:textId="77777777" w:rsidR="009C34C2" w:rsidRPr="00A82267" w:rsidRDefault="009C34C2" w:rsidP="009C34C2">
      <w:pPr>
        <w:pStyle w:val="NoSpacing"/>
        <w:spacing w:line="480" w:lineRule="auto"/>
        <w:jc w:val="both"/>
        <w:rPr>
          <w:rFonts w:ascii="Perpetua" w:hAnsi="Perpetua"/>
        </w:rPr>
      </w:pPr>
      <w:r w:rsidRPr="00A82267">
        <w:rPr>
          <w:rFonts w:ascii="Perpetua" w:hAnsi="Perpetua"/>
        </w:rPr>
        <w:t>With characteristic insight, Midgley saw that stopping at sentience was a mistake.</w:t>
      </w:r>
      <w:r w:rsidRPr="00A82267">
        <w:rPr>
          <w:rStyle w:val="FootnoteReference"/>
          <w:rFonts w:ascii="Perpetua" w:hAnsi="Perpetua"/>
        </w:rPr>
        <w:footnoteReference w:id="70"/>
      </w:r>
      <w:r w:rsidRPr="00A82267">
        <w:rPr>
          <w:rFonts w:ascii="Perpetua" w:hAnsi="Perpetua"/>
        </w:rPr>
        <w:t xml:space="preserve"> Why? Because it makes ‘it impossible for us to care for such things as trees and forest, grasses, rivers and mountains’.</w:t>
      </w:r>
      <w:r w:rsidRPr="00A82267">
        <w:rPr>
          <w:rStyle w:val="FootnoteReference"/>
          <w:rFonts w:ascii="Perpetua" w:hAnsi="Perpetua"/>
        </w:rPr>
        <w:footnoteReference w:id="71"/>
      </w:r>
      <w:r w:rsidRPr="00A82267">
        <w:rPr>
          <w:rFonts w:ascii="Perpetua" w:hAnsi="Perpetua"/>
        </w:rPr>
        <w:t xml:space="preserve"> She did not deny the importance of sentience or individuality.</w:t>
      </w:r>
      <w:r w:rsidRPr="00A82267">
        <w:rPr>
          <w:rStyle w:val="FootnoteReference"/>
          <w:rFonts w:ascii="Perpetua" w:hAnsi="Perpetua"/>
        </w:rPr>
        <w:footnoteReference w:id="72"/>
      </w:r>
      <w:r w:rsidRPr="00A82267">
        <w:rPr>
          <w:rFonts w:ascii="Perpetua" w:hAnsi="Perpetua"/>
        </w:rPr>
        <w:t xml:space="preserve"> She just could not understand why such things </w:t>
      </w:r>
      <w:r w:rsidRPr="00A82267">
        <w:rPr>
          <w:rFonts w:ascii="Perpetua" w:hAnsi="Perpetua"/>
        </w:rPr>
        <w:lastRenderedPageBreak/>
        <w:t xml:space="preserve">should be exhaustive of morality. Buoyed by a capacious pluralism, she understood that we can have duties to those who suffer </w:t>
      </w:r>
      <w:r w:rsidRPr="00A82267">
        <w:rPr>
          <w:rFonts w:ascii="Perpetua" w:hAnsi="Perpetua"/>
          <w:i/>
          <w:iCs/>
        </w:rPr>
        <w:t xml:space="preserve">and </w:t>
      </w:r>
      <w:r w:rsidRPr="00A82267">
        <w:rPr>
          <w:rFonts w:ascii="Perpetua" w:hAnsi="Perpetua"/>
        </w:rPr>
        <w:t xml:space="preserve">duties to redwoods </w:t>
      </w:r>
      <w:r w:rsidRPr="00A82267">
        <w:rPr>
          <w:rFonts w:ascii="Perpetua" w:hAnsi="Perpetua"/>
          <w:i/>
          <w:iCs/>
        </w:rPr>
        <w:t>and</w:t>
      </w:r>
      <w:r w:rsidRPr="00A82267">
        <w:rPr>
          <w:rFonts w:ascii="Perpetua" w:hAnsi="Perpetua"/>
        </w:rPr>
        <w:t xml:space="preserve"> duties to the redwood species. </w:t>
      </w:r>
    </w:p>
    <w:p w14:paraId="1F7C44CF" w14:textId="77777777" w:rsidR="009C34C2" w:rsidRPr="00A82267" w:rsidRDefault="009C34C2" w:rsidP="009C34C2">
      <w:pPr>
        <w:pStyle w:val="NoSpacing"/>
        <w:spacing w:line="480" w:lineRule="auto"/>
        <w:jc w:val="both"/>
        <w:rPr>
          <w:rFonts w:ascii="Perpetua" w:hAnsi="Perpetua"/>
        </w:rPr>
      </w:pPr>
    </w:p>
    <w:p w14:paraId="7D687391" w14:textId="0AF4D76E" w:rsidR="009C34C2" w:rsidRPr="00A82267" w:rsidRDefault="009C34C2" w:rsidP="009C34C2">
      <w:pPr>
        <w:pStyle w:val="NoSpacing"/>
        <w:spacing w:line="480" w:lineRule="auto"/>
        <w:jc w:val="both"/>
        <w:rPr>
          <w:rFonts w:ascii="Perpetua" w:hAnsi="Perpetua"/>
        </w:rPr>
      </w:pPr>
      <w:r w:rsidRPr="00A82267">
        <w:rPr>
          <w:rFonts w:ascii="Perpetua" w:hAnsi="Perpetua"/>
        </w:rPr>
        <w:t>In ‘</w:t>
      </w:r>
      <w:r w:rsidRPr="00A82267">
        <w:rPr>
          <w:rFonts w:ascii="Perpetua" w:hAnsi="Perpetua"/>
          <w:i/>
          <w:iCs/>
        </w:rPr>
        <w:t>Beasts Versus the Biosphere’</w:t>
      </w:r>
      <w:r w:rsidRPr="00A82267">
        <w:rPr>
          <w:rFonts w:ascii="Perpetua" w:hAnsi="Perpetua"/>
        </w:rPr>
        <w:t>, Midgley returned to the issue.</w:t>
      </w:r>
      <w:r w:rsidRPr="00A82267">
        <w:rPr>
          <w:rStyle w:val="FootnoteReference"/>
          <w:rFonts w:ascii="Perpetua" w:hAnsi="Perpetua"/>
        </w:rPr>
        <w:footnoteReference w:id="73"/>
      </w:r>
      <w:r w:rsidRPr="00A82267">
        <w:rPr>
          <w:rFonts w:ascii="Perpetua" w:hAnsi="Perpetua"/>
        </w:rPr>
        <w:t xml:space="preserve"> A further decade of ‘considerable reconciliation’ had passed.</w:t>
      </w:r>
      <w:r w:rsidRPr="00A82267">
        <w:rPr>
          <w:rStyle w:val="FootnoteReference"/>
          <w:rFonts w:ascii="Perpetua" w:hAnsi="Perpetua"/>
        </w:rPr>
        <w:footnoteReference w:id="74"/>
      </w:r>
      <w:r w:rsidRPr="00A82267">
        <w:rPr>
          <w:rFonts w:ascii="Perpetua" w:hAnsi="Perpetua"/>
        </w:rPr>
        <w:t xml:space="preserve"> </w:t>
      </w:r>
      <w:r w:rsidR="00305BAF">
        <w:rPr>
          <w:rFonts w:ascii="Perpetua" w:hAnsi="Perpetua"/>
        </w:rPr>
        <w:t>Nevertheless</w:t>
      </w:r>
      <w:r w:rsidRPr="00A82267">
        <w:rPr>
          <w:rFonts w:ascii="Perpetua" w:hAnsi="Perpetua"/>
        </w:rPr>
        <w:t xml:space="preserve">, the causes were distinct. They ‘overlap widely’ but </w:t>
      </w:r>
      <w:r>
        <w:rPr>
          <w:rFonts w:ascii="Perpetua" w:hAnsi="Perpetua"/>
        </w:rPr>
        <w:t xml:space="preserve">they </w:t>
      </w:r>
      <w:r w:rsidRPr="00A82267">
        <w:rPr>
          <w:rFonts w:ascii="Perpetua" w:hAnsi="Perpetua"/>
        </w:rPr>
        <w:t>differ ‘widely in emphasis’.</w:t>
      </w:r>
      <w:r w:rsidRPr="00A82267">
        <w:rPr>
          <w:rStyle w:val="FootnoteReference"/>
          <w:rFonts w:ascii="Perpetua" w:hAnsi="Perpetua"/>
        </w:rPr>
        <w:footnoteReference w:id="75"/>
      </w:r>
      <w:r w:rsidRPr="00A82267">
        <w:rPr>
          <w:rFonts w:ascii="Perpetua" w:hAnsi="Perpetua"/>
        </w:rPr>
        <w:t xml:space="preserve"> Achieving one cause’s aims may have no bearing on the other. This ‘does not make all-out conflict necessary’.</w:t>
      </w:r>
      <w:r w:rsidRPr="00A82267">
        <w:rPr>
          <w:rStyle w:val="FootnoteReference"/>
          <w:rFonts w:ascii="Perpetua" w:hAnsi="Perpetua"/>
        </w:rPr>
        <w:footnoteReference w:id="76"/>
      </w:r>
      <w:r w:rsidRPr="00A82267">
        <w:rPr>
          <w:rFonts w:ascii="Perpetua" w:hAnsi="Perpetua"/>
        </w:rPr>
        <w:t xml:space="preserve"> </w:t>
      </w:r>
    </w:p>
    <w:p w14:paraId="2B266EA0" w14:textId="77777777" w:rsidR="009C34C2" w:rsidRPr="00A82267" w:rsidRDefault="009C34C2" w:rsidP="009C34C2">
      <w:pPr>
        <w:pStyle w:val="NoSpacing"/>
        <w:spacing w:line="480" w:lineRule="auto"/>
        <w:jc w:val="both"/>
        <w:rPr>
          <w:rFonts w:ascii="Perpetua" w:hAnsi="Perpetua"/>
        </w:rPr>
      </w:pPr>
    </w:p>
    <w:p w14:paraId="7C6EA7A5" w14:textId="76CC155E" w:rsidR="009C34C2" w:rsidRPr="00A82267" w:rsidRDefault="009C34C2" w:rsidP="009C34C2">
      <w:pPr>
        <w:pStyle w:val="NoSpacing"/>
        <w:spacing w:line="480" w:lineRule="auto"/>
        <w:jc w:val="both"/>
        <w:rPr>
          <w:rFonts w:ascii="Perpetua" w:hAnsi="Perpetua"/>
        </w:rPr>
      </w:pPr>
      <w:r w:rsidRPr="00A82267">
        <w:rPr>
          <w:rFonts w:ascii="Perpetua" w:hAnsi="Perpetua"/>
        </w:rPr>
        <w:t xml:space="preserve">Midgley reiterated, ‘Any sane and workable approach to life has to contain </w:t>
      </w:r>
      <w:r w:rsidRPr="00A82267">
        <w:rPr>
          <w:rFonts w:ascii="Perpetua" w:hAnsi="Perpetua"/>
          <w:i/>
          <w:iCs/>
        </w:rPr>
        <w:t xml:space="preserve">both </w:t>
      </w:r>
      <w:r w:rsidRPr="00A82267">
        <w:rPr>
          <w:rFonts w:ascii="Perpetua" w:hAnsi="Perpetua"/>
        </w:rPr>
        <w:t xml:space="preserve">an attitude to individuals </w:t>
      </w:r>
      <w:r w:rsidRPr="00A82267">
        <w:rPr>
          <w:rFonts w:ascii="Perpetua" w:hAnsi="Perpetua"/>
          <w:i/>
          <w:iCs/>
        </w:rPr>
        <w:t xml:space="preserve">and </w:t>
      </w:r>
      <w:r w:rsidRPr="00A82267">
        <w:rPr>
          <w:rFonts w:ascii="Perpetua" w:hAnsi="Perpetua"/>
        </w:rPr>
        <w:t>an attitude to larger wholes.’</w:t>
      </w:r>
      <w:r w:rsidRPr="00A82267">
        <w:rPr>
          <w:rStyle w:val="FootnoteReference"/>
          <w:rFonts w:ascii="Perpetua" w:hAnsi="Perpetua"/>
        </w:rPr>
        <w:footnoteReference w:id="77"/>
      </w:r>
      <w:r w:rsidRPr="00A82267">
        <w:rPr>
          <w:rFonts w:ascii="Perpetua" w:hAnsi="Perpetua"/>
        </w:rPr>
        <w:t xml:space="preserve"> Neither is reducible to the other. Neither integrity nor logical consistency require a choice.</w:t>
      </w:r>
      <w:r w:rsidRPr="00A82267">
        <w:rPr>
          <w:rStyle w:val="FootnoteReference"/>
          <w:rFonts w:ascii="Perpetua" w:hAnsi="Perpetua"/>
        </w:rPr>
        <w:footnoteReference w:id="78"/>
      </w:r>
      <w:r w:rsidRPr="00A82267">
        <w:rPr>
          <w:rFonts w:ascii="Perpetua" w:hAnsi="Perpetua"/>
        </w:rPr>
        <w:t xml:space="preserve"> Concern for the individual and the whole are not alternatives. They are complementary, inseparable aspects of ‘a decent moral problem’.</w:t>
      </w:r>
      <w:r w:rsidRPr="00A82267">
        <w:rPr>
          <w:rStyle w:val="FootnoteReference"/>
          <w:rFonts w:ascii="Perpetua" w:hAnsi="Perpetua"/>
        </w:rPr>
        <w:footnoteReference w:id="79"/>
      </w:r>
      <w:r w:rsidRPr="00A82267">
        <w:rPr>
          <w:rFonts w:ascii="Perpetua" w:hAnsi="Perpetua"/>
        </w:rPr>
        <w:t xml:space="preserve"> And its solution lies with philosophical clarity and, where specific differences in practice make conflict unavoidable, with honesty. A heads-on approach is what reality requires. In ethics as in life, conflicts are inevitable. Concerns </w:t>
      </w:r>
      <w:r w:rsidRPr="00A82267">
        <w:rPr>
          <w:rFonts w:ascii="Perpetua" w:hAnsi="Perpetua"/>
          <w:i/>
          <w:iCs/>
        </w:rPr>
        <w:t xml:space="preserve">may </w:t>
      </w:r>
      <w:r w:rsidRPr="00A82267">
        <w:rPr>
          <w:rFonts w:ascii="Perpetua" w:hAnsi="Perpetua"/>
        </w:rPr>
        <w:t xml:space="preserve">conflict but </w:t>
      </w:r>
      <w:r w:rsidRPr="00A82267">
        <w:rPr>
          <w:rFonts w:ascii="Perpetua" w:hAnsi="Perpetua"/>
          <w:i/>
          <w:iCs/>
        </w:rPr>
        <w:t>must</w:t>
      </w:r>
      <w:r w:rsidRPr="00A82267">
        <w:rPr>
          <w:rFonts w:ascii="Perpetua" w:hAnsi="Perpetua"/>
        </w:rPr>
        <w:t xml:space="preserve"> be brought into harmony.</w:t>
      </w:r>
      <w:r w:rsidRPr="00A82267">
        <w:rPr>
          <w:rStyle w:val="FootnoteReference"/>
          <w:rFonts w:ascii="Perpetua" w:hAnsi="Perpetua"/>
        </w:rPr>
        <w:footnoteReference w:id="80"/>
      </w:r>
      <w:r w:rsidRPr="00A82267">
        <w:rPr>
          <w:rFonts w:ascii="Perpetua" w:hAnsi="Perpetua"/>
        </w:rPr>
        <w:t xml:space="preserve"> For Midgley, resolution does not lie with abstraction and yet another set of unyielding, ‘all-purpose’ principles.</w:t>
      </w:r>
      <w:r w:rsidRPr="00A82267">
        <w:rPr>
          <w:rStyle w:val="FootnoteReference"/>
          <w:rFonts w:ascii="Perpetua" w:hAnsi="Perpetua"/>
        </w:rPr>
        <w:footnoteReference w:id="81"/>
      </w:r>
      <w:r w:rsidRPr="00A82267">
        <w:rPr>
          <w:rFonts w:ascii="Perpetua" w:hAnsi="Perpetua"/>
        </w:rPr>
        <w:t xml:space="preserve"> It lies in context with a plain-sighted appreciation of the facts. Having principles and thinking them supreme is fanaticism.</w:t>
      </w:r>
      <w:r w:rsidR="00256A2A" w:rsidRPr="00A82267">
        <w:rPr>
          <w:rStyle w:val="FootnoteReference"/>
          <w:rFonts w:ascii="Perpetua" w:hAnsi="Perpetua"/>
        </w:rPr>
        <w:footnoteReference w:id="82"/>
      </w:r>
      <w:r w:rsidRPr="00A82267">
        <w:rPr>
          <w:rFonts w:ascii="Perpetua" w:hAnsi="Perpetua"/>
        </w:rPr>
        <w:t xml:space="preserve">  The fanatic cannot see anything there to reconcile. </w:t>
      </w:r>
    </w:p>
    <w:p w14:paraId="3C2255A2" w14:textId="77777777" w:rsidR="009C34C2" w:rsidRPr="00A82267" w:rsidRDefault="009C34C2" w:rsidP="009C34C2">
      <w:pPr>
        <w:pStyle w:val="NoSpacing"/>
        <w:spacing w:line="480" w:lineRule="auto"/>
        <w:jc w:val="both"/>
        <w:rPr>
          <w:rFonts w:ascii="Perpetua" w:hAnsi="Perpetua"/>
        </w:rPr>
      </w:pPr>
    </w:p>
    <w:p w14:paraId="0C3C08E3" w14:textId="5C6815A6" w:rsidR="009C34C2" w:rsidRPr="00A82267" w:rsidRDefault="009C34C2" w:rsidP="009C34C2">
      <w:pPr>
        <w:pStyle w:val="NoSpacing"/>
        <w:spacing w:line="480" w:lineRule="auto"/>
        <w:jc w:val="both"/>
        <w:rPr>
          <w:rFonts w:ascii="Perpetua" w:hAnsi="Perpetua"/>
        </w:rPr>
      </w:pPr>
      <w:r>
        <w:rPr>
          <w:rFonts w:ascii="Perpetua" w:hAnsi="Perpetua"/>
        </w:rPr>
        <w:t>Generation after</w:t>
      </w:r>
      <w:r w:rsidRPr="00A82267">
        <w:rPr>
          <w:rFonts w:ascii="Perpetua" w:hAnsi="Perpetua"/>
        </w:rPr>
        <w:t xml:space="preserve"> generation of dead, male philosophers ha</w:t>
      </w:r>
      <w:r>
        <w:rPr>
          <w:rFonts w:ascii="Perpetua" w:hAnsi="Perpetua"/>
        </w:rPr>
        <w:t>d</w:t>
      </w:r>
      <w:r w:rsidRPr="00A82267">
        <w:rPr>
          <w:rFonts w:ascii="Perpetua" w:hAnsi="Perpetua"/>
        </w:rPr>
        <w:t xml:space="preserve"> sought to reduce morality into a unifying theory. For Midgley, </w:t>
      </w:r>
      <w:r w:rsidR="0014363C">
        <w:rPr>
          <w:rFonts w:ascii="Perpetua" w:hAnsi="Perpetua"/>
        </w:rPr>
        <w:t>they had all</w:t>
      </w:r>
      <w:r w:rsidRPr="00A82267">
        <w:rPr>
          <w:rFonts w:ascii="Perpetua" w:hAnsi="Perpetua"/>
        </w:rPr>
        <w:t xml:space="preserve"> p</w:t>
      </w:r>
      <w:r w:rsidR="0014363C">
        <w:rPr>
          <w:rFonts w:ascii="Perpetua" w:hAnsi="Perpetua"/>
        </w:rPr>
        <w:t>ractised</w:t>
      </w:r>
      <w:r w:rsidRPr="00A82267">
        <w:rPr>
          <w:rFonts w:ascii="Perpetua" w:hAnsi="Perpetua"/>
        </w:rPr>
        <w:t xml:space="preserve"> a ‘shallow and futile evasion’.</w:t>
      </w:r>
      <w:r w:rsidRPr="00A82267">
        <w:rPr>
          <w:rStyle w:val="FootnoteReference"/>
          <w:rFonts w:ascii="Perpetua" w:hAnsi="Perpetua"/>
        </w:rPr>
        <w:footnoteReference w:id="83"/>
      </w:r>
      <w:r w:rsidRPr="00A82267">
        <w:rPr>
          <w:rFonts w:ascii="Perpetua" w:hAnsi="Perpetua"/>
        </w:rPr>
        <w:t xml:space="preserve"> They ‘forget all but one part </w:t>
      </w:r>
      <w:r w:rsidRPr="00A82267">
        <w:rPr>
          <w:rFonts w:ascii="Perpetua" w:hAnsi="Perpetua"/>
        </w:rPr>
        <w:lastRenderedPageBreak/>
        <w:t>of the moral scene’.</w:t>
      </w:r>
      <w:r w:rsidRPr="00A82267">
        <w:rPr>
          <w:rStyle w:val="FootnoteReference"/>
          <w:rFonts w:ascii="Perpetua" w:hAnsi="Perpetua"/>
        </w:rPr>
        <w:footnoteReference w:id="84"/>
      </w:r>
      <w:r w:rsidRPr="00A82267">
        <w:rPr>
          <w:rFonts w:ascii="Perpetua" w:hAnsi="Perpetua"/>
        </w:rPr>
        <w:t xml:space="preserve"> Their moralities are ‘one-sided’ when we ourselves are many.</w:t>
      </w:r>
      <w:r w:rsidRPr="00A82267">
        <w:rPr>
          <w:rStyle w:val="FootnoteReference"/>
          <w:rFonts w:ascii="Perpetua" w:hAnsi="Perpetua"/>
        </w:rPr>
        <w:footnoteReference w:id="85"/>
      </w:r>
      <w:r w:rsidRPr="00A82267">
        <w:rPr>
          <w:rFonts w:ascii="Perpetua" w:hAnsi="Perpetua"/>
        </w:rPr>
        <w:t xml:space="preserve"> Simplicity may be comforting</w:t>
      </w:r>
      <w:r>
        <w:rPr>
          <w:rFonts w:ascii="Perpetua" w:hAnsi="Perpetua"/>
        </w:rPr>
        <w:t>. L</w:t>
      </w:r>
      <w:r w:rsidRPr="00A82267">
        <w:rPr>
          <w:rFonts w:ascii="Perpetua" w:hAnsi="Perpetua"/>
        </w:rPr>
        <w:t xml:space="preserve">ife is complex. Differing insights </w:t>
      </w:r>
      <w:r w:rsidR="0014363C">
        <w:rPr>
          <w:rFonts w:ascii="Perpetua" w:hAnsi="Perpetua"/>
        </w:rPr>
        <w:t>should</w:t>
      </w:r>
      <w:r w:rsidRPr="00A82267">
        <w:rPr>
          <w:rFonts w:ascii="Perpetua" w:hAnsi="Perpetua"/>
        </w:rPr>
        <w:t xml:space="preserve"> be harmonised. </w:t>
      </w:r>
      <w:r w:rsidR="0014363C">
        <w:rPr>
          <w:rFonts w:ascii="Perpetua" w:hAnsi="Perpetua"/>
        </w:rPr>
        <w:t>For p</w:t>
      </w:r>
      <w:r w:rsidRPr="00A82267">
        <w:rPr>
          <w:rFonts w:ascii="Perpetua" w:hAnsi="Perpetua"/>
        </w:rPr>
        <w:t>arts only make sense in the context of the whole. Which, as an approach, stands in direct opposition to the orthodoxy which had dominated mid-twentieth century ‘modern moral philosophy’.</w:t>
      </w:r>
      <w:r w:rsidRPr="00A82267">
        <w:rPr>
          <w:rStyle w:val="FootnoteReference"/>
          <w:rFonts w:ascii="Perpetua" w:hAnsi="Perpetua"/>
        </w:rPr>
        <w:footnoteReference w:id="86"/>
      </w:r>
      <w:r w:rsidRPr="00A82267">
        <w:rPr>
          <w:rFonts w:ascii="Perpetua" w:hAnsi="Perpetua"/>
        </w:rPr>
        <w:t xml:space="preserve"> Within animal ethics, its legacy seemed alive and well.</w:t>
      </w:r>
      <w:r w:rsidRPr="00A82267">
        <w:rPr>
          <w:rStyle w:val="FootnoteReference"/>
          <w:rFonts w:ascii="Perpetua" w:hAnsi="Perpetua"/>
        </w:rPr>
        <w:footnoteReference w:id="87"/>
      </w:r>
      <w:r w:rsidRPr="00A82267">
        <w:rPr>
          <w:rFonts w:ascii="Perpetua" w:hAnsi="Perpetua"/>
        </w:rPr>
        <w:t xml:space="preserve"> Its death, apparently, too soon foretold. </w:t>
      </w:r>
    </w:p>
    <w:p w14:paraId="762DA88E" w14:textId="77777777" w:rsidR="009C34C2" w:rsidRPr="00A82267" w:rsidRDefault="009C34C2" w:rsidP="009C34C2">
      <w:pPr>
        <w:pStyle w:val="NoSpacing"/>
        <w:spacing w:line="480" w:lineRule="auto"/>
        <w:rPr>
          <w:rFonts w:ascii="Perpetua" w:hAnsi="Perpetua"/>
        </w:rPr>
      </w:pPr>
    </w:p>
    <w:p w14:paraId="50A84359" w14:textId="0F71796F" w:rsidR="009C34C2" w:rsidRPr="00A82267" w:rsidRDefault="009C34C2" w:rsidP="009C34C2">
      <w:pPr>
        <w:pStyle w:val="NoSpacing"/>
        <w:spacing w:line="480" w:lineRule="auto"/>
        <w:jc w:val="both"/>
        <w:rPr>
          <w:rFonts w:ascii="Perpetua" w:hAnsi="Perpetua"/>
        </w:rPr>
      </w:pPr>
      <w:r w:rsidRPr="00A82267">
        <w:rPr>
          <w:rFonts w:ascii="Perpetua" w:hAnsi="Perpetua"/>
        </w:rPr>
        <w:t>What explained the reconciliation?  Not any academic effort (the corollary of Midgley abjuring the ‘endemic tendency to pick quarrels’ is a refreshing absence of references to contemporaries and/or their works).</w:t>
      </w:r>
      <w:r w:rsidRPr="00A82267">
        <w:rPr>
          <w:rStyle w:val="FootnoteReference"/>
          <w:rFonts w:ascii="Perpetua" w:hAnsi="Perpetua"/>
        </w:rPr>
        <w:footnoteReference w:id="88"/>
      </w:r>
      <w:r w:rsidRPr="00A82267">
        <w:rPr>
          <w:rFonts w:ascii="Perpetua" w:hAnsi="Perpetua"/>
        </w:rPr>
        <w:t xml:space="preserve"> Public opinion had changed.</w:t>
      </w:r>
      <w:r w:rsidRPr="00A82267">
        <w:rPr>
          <w:rStyle w:val="FootnoteReference"/>
          <w:rFonts w:ascii="Perpetua" w:hAnsi="Perpetua"/>
        </w:rPr>
        <w:footnoteReference w:id="89"/>
      </w:r>
      <w:r w:rsidRPr="00A82267">
        <w:rPr>
          <w:rFonts w:ascii="Perpetua" w:hAnsi="Perpetua"/>
        </w:rPr>
        <w:t xml:space="preserve"> Principally, there was reconcilement because ‘in practice, the two causes converge’.</w:t>
      </w:r>
      <w:r w:rsidRPr="00A82267">
        <w:rPr>
          <w:rStyle w:val="FootnoteReference"/>
          <w:rFonts w:ascii="Perpetua" w:hAnsi="Perpetua"/>
        </w:rPr>
        <w:footnoteReference w:id="90"/>
      </w:r>
      <w:r w:rsidRPr="00A82267">
        <w:rPr>
          <w:rFonts w:ascii="Perpetua" w:hAnsi="Perpetua"/>
        </w:rPr>
        <w:t xml:space="preserve"> Although referred to as ‘practical’, what is described is conceptual: the realisation that animals and plants ‘always need each other’.</w:t>
      </w:r>
      <w:r w:rsidRPr="00A82267">
        <w:rPr>
          <w:rStyle w:val="FootnoteReference"/>
          <w:rFonts w:ascii="Perpetua" w:hAnsi="Perpetua"/>
        </w:rPr>
        <w:footnoteReference w:id="91"/>
      </w:r>
      <w:r w:rsidRPr="00A82267">
        <w:rPr>
          <w:rFonts w:ascii="Perpetua" w:hAnsi="Perpetua"/>
        </w:rPr>
        <w:t xml:space="preserve">  Removing what is needed leads to bad effects. Animals form an ‘essential part of every ecosystem’.</w:t>
      </w:r>
      <w:r w:rsidRPr="00A82267">
        <w:rPr>
          <w:rStyle w:val="FootnoteReference"/>
          <w:rFonts w:ascii="Perpetua" w:hAnsi="Perpetua"/>
        </w:rPr>
        <w:footnoteReference w:id="92"/>
      </w:r>
      <w:r w:rsidRPr="00A82267">
        <w:rPr>
          <w:rFonts w:ascii="Perpetua" w:hAnsi="Perpetua"/>
        </w:rPr>
        <w:t xml:space="preserve">  </w:t>
      </w:r>
      <w:r w:rsidR="0014363C">
        <w:rPr>
          <w:rFonts w:ascii="Perpetua" w:hAnsi="Perpetua"/>
        </w:rPr>
        <w:t>Like philosophy itself, t</w:t>
      </w:r>
      <w:r w:rsidRPr="00A82267">
        <w:rPr>
          <w:rFonts w:ascii="Perpetua" w:hAnsi="Perpetua"/>
        </w:rPr>
        <w:t xml:space="preserve">he whole cannot be ‘served except through its parts’. </w:t>
      </w:r>
      <w:r w:rsidRPr="00A82267">
        <w:rPr>
          <w:rStyle w:val="FootnoteReference"/>
          <w:rFonts w:ascii="Perpetua" w:hAnsi="Perpetua"/>
        </w:rPr>
        <w:footnoteReference w:id="93"/>
      </w:r>
    </w:p>
    <w:p w14:paraId="622C9F99" w14:textId="77777777" w:rsidR="009C34C2" w:rsidRDefault="009C34C2" w:rsidP="009C34C2">
      <w:pPr>
        <w:pStyle w:val="NoSpacing"/>
        <w:spacing w:line="480" w:lineRule="auto"/>
        <w:jc w:val="both"/>
      </w:pPr>
    </w:p>
    <w:p w14:paraId="64F38A7E" w14:textId="37E38571" w:rsidR="009C34C2" w:rsidRPr="00F63454" w:rsidRDefault="009C34C2" w:rsidP="009C34C2">
      <w:pPr>
        <w:pStyle w:val="NoSpacing"/>
        <w:spacing w:line="480" w:lineRule="auto"/>
        <w:jc w:val="both"/>
        <w:rPr>
          <w:rFonts w:ascii="Perpetua" w:hAnsi="Perpetua"/>
        </w:rPr>
      </w:pPr>
      <w:r w:rsidRPr="00F03ADB">
        <w:rPr>
          <w:rFonts w:ascii="Perpetua" w:hAnsi="Perpetua"/>
        </w:rPr>
        <w:t>Plainly, Midgley s</w:t>
      </w:r>
      <w:r w:rsidR="0014363C">
        <w:rPr>
          <w:rFonts w:ascii="Perpetua" w:hAnsi="Perpetua"/>
        </w:rPr>
        <w:t>aw</w:t>
      </w:r>
      <w:r w:rsidRPr="00F03ADB">
        <w:rPr>
          <w:rFonts w:ascii="Perpetua" w:hAnsi="Perpetua"/>
        </w:rPr>
        <w:t xml:space="preserve"> no difficulty in slipping between categories of individual/species/ ecosystem. She refers to trees/plants in the singular although not as ‘individuals’ but part of an ecosystem. </w:t>
      </w:r>
      <w:r w:rsidR="0014363C" w:rsidRPr="00F03ADB">
        <w:rPr>
          <w:rFonts w:ascii="Perpetua" w:hAnsi="Perpetua"/>
        </w:rPr>
        <w:t>The mutual dependence is described as between ‘animals’ and ‘plants’ but also figured as animal/system.</w:t>
      </w:r>
      <w:r w:rsidR="0014363C">
        <w:rPr>
          <w:rStyle w:val="FootnoteReference"/>
          <w:rFonts w:ascii="Perpetua" w:hAnsi="Perpetua"/>
        </w:rPr>
        <w:footnoteReference w:id="94"/>
      </w:r>
      <w:r w:rsidR="0014363C" w:rsidRPr="00F03ADB">
        <w:rPr>
          <w:rFonts w:ascii="Perpetua" w:hAnsi="Perpetua"/>
        </w:rPr>
        <w:t xml:space="preserve"> </w:t>
      </w:r>
      <w:r>
        <w:rPr>
          <w:rFonts w:ascii="Perpetua" w:hAnsi="Perpetua"/>
        </w:rPr>
        <w:t xml:space="preserve">Note how </w:t>
      </w:r>
      <w:r>
        <w:rPr>
          <w:rFonts w:ascii="Perpetua" w:hAnsi="Perpetua"/>
        </w:rPr>
        <w:lastRenderedPageBreak/>
        <w:t xml:space="preserve">individuality is </w:t>
      </w:r>
      <w:r>
        <w:rPr>
          <w:rFonts w:ascii="Perpetua" w:hAnsi="Perpetua"/>
          <w:i/>
          <w:iCs/>
        </w:rPr>
        <w:t xml:space="preserve">more </w:t>
      </w:r>
      <w:r>
        <w:rPr>
          <w:rFonts w:ascii="Perpetua" w:hAnsi="Perpetua"/>
        </w:rPr>
        <w:t>important in the lives of social and intelligent beings.</w:t>
      </w:r>
      <w:r>
        <w:rPr>
          <w:rStyle w:val="FootnoteReference"/>
          <w:rFonts w:ascii="Perpetua" w:hAnsi="Perpetua"/>
        </w:rPr>
        <w:footnoteReference w:id="95"/>
      </w:r>
      <w:r>
        <w:rPr>
          <w:rFonts w:ascii="Perpetua" w:hAnsi="Perpetua"/>
        </w:rPr>
        <w:t xml:space="preserve"> We know we</w:t>
      </w:r>
      <w:r w:rsidRPr="00F03ADB">
        <w:rPr>
          <w:rFonts w:ascii="Perpetua" w:hAnsi="Perpetua"/>
        </w:rPr>
        <w:t xml:space="preserve"> can have an obligation to ‘a Redwood</w:t>
      </w:r>
      <w:r w:rsidR="0014363C">
        <w:rPr>
          <w:rFonts w:ascii="Perpetua" w:hAnsi="Perpetua"/>
        </w:rPr>
        <w:t>.</w:t>
      </w:r>
      <w:r w:rsidRPr="00F03ADB">
        <w:rPr>
          <w:rFonts w:ascii="Perpetua" w:hAnsi="Perpetua"/>
        </w:rPr>
        <w:t>’</w:t>
      </w:r>
      <w:r w:rsidRPr="00F03ADB">
        <w:rPr>
          <w:rStyle w:val="FootnoteReference"/>
          <w:rFonts w:ascii="Perpetua" w:hAnsi="Perpetua"/>
        </w:rPr>
        <w:footnoteReference w:id="96"/>
      </w:r>
      <w:r w:rsidRPr="00F03ADB">
        <w:rPr>
          <w:rFonts w:ascii="Perpetua" w:hAnsi="Perpetua"/>
        </w:rPr>
        <w:t xml:space="preserve"> Do</w:t>
      </w:r>
      <w:r>
        <w:rPr>
          <w:rFonts w:ascii="Perpetua" w:hAnsi="Perpetua"/>
        </w:rPr>
        <w:t>es it matter whether a tree is an individual</w:t>
      </w:r>
      <w:r w:rsidRPr="00F03ADB">
        <w:rPr>
          <w:rFonts w:ascii="Perpetua" w:hAnsi="Perpetua"/>
        </w:rPr>
        <w:t xml:space="preserve">? A </w:t>
      </w:r>
      <w:proofErr w:type="spellStart"/>
      <w:r w:rsidRPr="00F03ADB">
        <w:rPr>
          <w:rFonts w:ascii="Perpetua" w:hAnsi="Perpetua"/>
        </w:rPr>
        <w:t>biocentrist</w:t>
      </w:r>
      <w:proofErr w:type="spellEnd"/>
      <w:r w:rsidRPr="00F03ADB">
        <w:rPr>
          <w:rFonts w:ascii="Perpetua" w:hAnsi="Perpetua"/>
        </w:rPr>
        <w:t xml:space="preserve"> might think so. But can all these categories (these </w:t>
      </w:r>
      <w:r w:rsidRPr="00F03ADB">
        <w:rPr>
          <w:rFonts w:ascii="Perpetua" w:hAnsi="Perpetua"/>
          <w:i/>
          <w:iCs/>
        </w:rPr>
        <w:t>careers</w:t>
      </w:r>
      <w:r w:rsidRPr="00F03ADB">
        <w:rPr>
          <w:rFonts w:ascii="Perpetua" w:hAnsi="Perpetua"/>
        </w:rPr>
        <w:t xml:space="preserve">) be stepped over with such ease?  Yes. Midgley is not </w:t>
      </w:r>
      <w:r w:rsidR="0014363C">
        <w:rPr>
          <w:rFonts w:ascii="Perpetua" w:hAnsi="Perpetua"/>
        </w:rPr>
        <w:t xml:space="preserve">simply </w:t>
      </w:r>
      <w:r w:rsidRPr="00F03ADB">
        <w:rPr>
          <w:rFonts w:ascii="Perpetua" w:hAnsi="Perpetua"/>
        </w:rPr>
        <w:t xml:space="preserve">refusing to play the game. She is not denying the categories many clearly think important. She is advancing a positive case. </w:t>
      </w:r>
      <w:r>
        <w:rPr>
          <w:rFonts w:ascii="Perpetua" w:hAnsi="Perpetua"/>
        </w:rPr>
        <w:t>The c</w:t>
      </w:r>
      <w:r w:rsidRPr="00F03ADB">
        <w:rPr>
          <w:rFonts w:ascii="Perpetua" w:hAnsi="Perpetua"/>
        </w:rPr>
        <w:t xml:space="preserve">ategories can be ignored because that is what a committed pluralism can do. </w:t>
      </w:r>
      <w:r>
        <w:rPr>
          <w:rFonts w:ascii="Perpetua" w:hAnsi="Perpetua"/>
        </w:rPr>
        <w:t xml:space="preserve">Why does it matter when we can value an individual tree </w:t>
      </w:r>
      <w:proofErr w:type="gramStart"/>
      <w:r>
        <w:rPr>
          <w:rFonts w:ascii="Perpetua" w:hAnsi="Perpetua"/>
        </w:rPr>
        <w:t>and also</w:t>
      </w:r>
      <w:proofErr w:type="gramEnd"/>
      <w:r>
        <w:rPr>
          <w:rFonts w:ascii="Perpetua" w:hAnsi="Perpetua"/>
        </w:rPr>
        <w:t xml:space="preserve"> value the ecosystem it is inseparable from?</w:t>
      </w:r>
    </w:p>
    <w:p w14:paraId="6E1502C6" w14:textId="77777777" w:rsidR="009C34C2" w:rsidRDefault="009C34C2" w:rsidP="009C34C2">
      <w:pPr>
        <w:spacing w:line="480" w:lineRule="auto"/>
        <w:jc w:val="both"/>
        <w:rPr>
          <w:rFonts w:ascii="Perpetua" w:hAnsi="Perpetua"/>
        </w:rPr>
      </w:pPr>
    </w:p>
    <w:p w14:paraId="5DB625D1" w14:textId="77777777" w:rsidR="00711B9E" w:rsidRDefault="009C34C2" w:rsidP="00711B9E">
      <w:pPr>
        <w:spacing w:line="480" w:lineRule="auto"/>
        <w:jc w:val="both"/>
        <w:rPr>
          <w:rFonts w:ascii="Perpetua" w:hAnsi="Perpetua"/>
        </w:rPr>
      </w:pPr>
      <w:r w:rsidRPr="00F63454">
        <w:rPr>
          <w:rFonts w:ascii="Perpetua" w:hAnsi="Perpetua"/>
        </w:rPr>
        <w:t>Th</w:t>
      </w:r>
      <w:r>
        <w:rPr>
          <w:rFonts w:ascii="Perpetua" w:hAnsi="Perpetua"/>
        </w:rPr>
        <w:t>e</w:t>
      </w:r>
      <w:r w:rsidRPr="00F63454">
        <w:rPr>
          <w:rFonts w:ascii="Perpetua" w:hAnsi="Perpetua"/>
        </w:rPr>
        <w:t xml:space="preserve"> commitment </w:t>
      </w:r>
      <w:r>
        <w:rPr>
          <w:rFonts w:ascii="Perpetua" w:hAnsi="Perpetua"/>
        </w:rPr>
        <w:t xml:space="preserve">to pluralism </w:t>
      </w:r>
      <w:r w:rsidRPr="00F63454">
        <w:rPr>
          <w:rFonts w:ascii="Perpetua" w:hAnsi="Perpetua"/>
        </w:rPr>
        <w:t xml:space="preserve">is reflected in the method and </w:t>
      </w:r>
      <w:proofErr w:type="spellStart"/>
      <w:r w:rsidRPr="00F63454">
        <w:rPr>
          <w:rFonts w:ascii="Perpetua" w:hAnsi="Perpetua"/>
        </w:rPr>
        <w:t>Wittgensteinian</w:t>
      </w:r>
      <w:proofErr w:type="spellEnd"/>
      <w:r w:rsidRPr="00F63454">
        <w:rPr>
          <w:rFonts w:ascii="Perpetua" w:hAnsi="Perpetua"/>
        </w:rPr>
        <w:t xml:space="preserve"> conception of the philosopher’s task. The philosopher is one cartographer of a particular terrain, providing conceptual tools, relating part to broader whole.</w:t>
      </w:r>
      <w:r w:rsidRPr="00F63454">
        <w:rPr>
          <w:rStyle w:val="FootnoteReference"/>
          <w:rFonts w:ascii="Perpetua" w:hAnsi="Perpetua"/>
        </w:rPr>
        <w:footnoteReference w:id="97"/>
      </w:r>
      <w:r w:rsidRPr="00F63454">
        <w:rPr>
          <w:rFonts w:ascii="Perpetua" w:hAnsi="Perpetua"/>
        </w:rPr>
        <w:t xml:space="preserve"> When Midgley suggests that exposition and ‘clearer expression’ will be required, we </w:t>
      </w:r>
      <w:r>
        <w:rPr>
          <w:rFonts w:ascii="Perpetua" w:hAnsi="Perpetua"/>
        </w:rPr>
        <w:t>know</w:t>
      </w:r>
      <w:r w:rsidRPr="00F63454">
        <w:rPr>
          <w:rFonts w:ascii="Perpetua" w:hAnsi="Perpetua"/>
        </w:rPr>
        <w:t xml:space="preserve"> that </w:t>
      </w:r>
      <w:r>
        <w:rPr>
          <w:rFonts w:ascii="Perpetua" w:hAnsi="Perpetua"/>
        </w:rPr>
        <w:t>no</w:t>
      </w:r>
      <w:r w:rsidRPr="00F63454">
        <w:rPr>
          <w:rFonts w:ascii="Perpetua" w:hAnsi="Perpetua"/>
        </w:rPr>
        <w:t xml:space="preserve"> elaborate axiology/algorithm</w:t>
      </w:r>
      <w:r>
        <w:rPr>
          <w:rFonts w:ascii="Perpetua" w:hAnsi="Perpetua"/>
        </w:rPr>
        <w:t xml:space="preserve"> will amount to Midgley’s idea of clear expression.</w:t>
      </w:r>
      <w:r>
        <w:rPr>
          <w:rStyle w:val="FootnoteReference"/>
          <w:rFonts w:ascii="Perpetua" w:hAnsi="Perpetua"/>
        </w:rPr>
        <w:footnoteReference w:id="98"/>
      </w:r>
      <w:r w:rsidRPr="00F63454">
        <w:rPr>
          <w:rFonts w:ascii="Perpetua" w:hAnsi="Perpetua"/>
        </w:rPr>
        <w:t xml:space="preserve"> </w:t>
      </w:r>
    </w:p>
    <w:p w14:paraId="3230AE43" w14:textId="77777777" w:rsidR="00711B9E" w:rsidRDefault="00711B9E" w:rsidP="00711B9E">
      <w:pPr>
        <w:spacing w:line="480" w:lineRule="auto"/>
        <w:jc w:val="both"/>
        <w:rPr>
          <w:rFonts w:ascii="Perpetua" w:hAnsi="Perpetua"/>
        </w:rPr>
      </w:pPr>
    </w:p>
    <w:p w14:paraId="31FA9C3D" w14:textId="2FD5A53C" w:rsidR="009C34C2" w:rsidRPr="00A079B3" w:rsidRDefault="009C34C2" w:rsidP="00711B9E">
      <w:pPr>
        <w:spacing w:line="480" w:lineRule="auto"/>
        <w:jc w:val="both"/>
        <w:rPr>
          <w:rFonts w:ascii="Perpetua" w:hAnsi="Perpetua"/>
        </w:rPr>
      </w:pPr>
      <w:r w:rsidRPr="00A079B3">
        <w:rPr>
          <w:rFonts w:ascii="Perpetua" w:hAnsi="Perpetua"/>
        </w:rPr>
        <w:t xml:space="preserve">For Midgley, ethics was foremost practical. Naturally sympathetic, she </w:t>
      </w:r>
      <w:r>
        <w:rPr>
          <w:rFonts w:ascii="Perpetua" w:hAnsi="Perpetua"/>
        </w:rPr>
        <w:t xml:space="preserve">understands how </w:t>
      </w:r>
      <w:r w:rsidRPr="00A079B3">
        <w:rPr>
          <w:rFonts w:ascii="Perpetua" w:hAnsi="Perpetua"/>
        </w:rPr>
        <w:t>assumed affinities giving way to supposedly irreconcilable differences</w:t>
      </w:r>
      <w:r>
        <w:rPr>
          <w:rFonts w:ascii="Perpetua" w:hAnsi="Perpetua"/>
        </w:rPr>
        <w:t xml:space="preserve"> felt.</w:t>
      </w:r>
      <w:r w:rsidRPr="00A079B3">
        <w:rPr>
          <w:rFonts w:ascii="Perpetua" w:hAnsi="Perpetua"/>
        </w:rPr>
        <w:t xml:space="preserve"> </w:t>
      </w:r>
      <w:r>
        <w:rPr>
          <w:rFonts w:ascii="Perpetua" w:hAnsi="Perpetua"/>
        </w:rPr>
        <w:t>She understands</w:t>
      </w:r>
      <w:r w:rsidRPr="00A079B3">
        <w:rPr>
          <w:rFonts w:ascii="Perpetua" w:hAnsi="Perpetua"/>
        </w:rPr>
        <w:t xml:space="preserve"> </w:t>
      </w:r>
      <w:r>
        <w:rPr>
          <w:rFonts w:ascii="Perpetua" w:hAnsi="Perpetua"/>
        </w:rPr>
        <w:t>the</w:t>
      </w:r>
      <w:r w:rsidRPr="00A079B3">
        <w:rPr>
          <w:rFonts w:ascii="Perpetua" w:hAnsi="Perpetua"/>
        </w:rPr>
        <w:t xml:space="preserve"> </w:t>
      </w:r>
      <w:r>
        <w:rPr>
          <w:rFonts w:ascii="Perpetua" w:hAnsi="Perpetua"/>
        </w:rPr>
        <w:t xml:space="preserve">temptation of </w:t>
      </w:r>
      <w:r w:rsidRPr="00A079B3">
        <w:rPr>
          <w:rFonts w:ascii="Perpetua" w:hAnsi="Perpetua"/>
        </w:rPr>
        <w:t>fanaticism.</w:t>
      </w:r>
      <w:r w:rsidRPr="00A079B3">
        <w:rPr>
          <w:rStyle w:val="FootnoteReference"/>
          <w:rFonts w:ascii="Perpetua" w:hAnsi="Perpetua"/>
        </w:rPr>
        <w:footnoteReference w:id="99"/>
      </w:r>
      <w:r w:rsidRPr="00A079B3">
        <w:rPr>
          <w:rFonts w:ascii="Perpetua" w:hAnsi="Perpetua"/>
        </w:rPr>
        <w:t xml:space="preserve"> </w:t>
      </w:r>
      <w:r>
        <w:rPr>
          <w:rFonts w:ascii="Perpetua" w:hAnsi="Perpetua"/>
        </w:rPr>
        <w:t>Her</w:t>
      </w:r>
      <w:r w:rsidRPr="00A079B3">
        <w:rPr>
          <w:rFonts w:ascii="Perpetua" w:hAnsi="Perpetua"/>
        </w:rPr>
        <w:t xml:space="preserve"> grace does not extend to continuing damage to campaign</w:t>
      </w:r>
      <w:r>
        <w:rPr>
          <w:rFonts w:ascii="Perpetua" w:hAnsi="Perpetua"/>
        </w:rPr>
        <w:t>s</w:t>
      </w:r>
      <w:r w:rsidRPr="00A079B3">
        <w:rPr>
          <w:rFonts w:ascii="Perpetua" w:hAnsi="Perpetua"/>
        </w:rPr>
        <w:t>. This emphasis on practice</w:t>
      </w:r>
      <w:r>
        <w:rPr>
          <w:rFonts w:ascii="Perpetua" w:hAnsi="Perpetua"/>
        </w:rPr>
        <w:t xml:space="preserve"> and </w:t>
      </w:r>
      <w:r w:rsidRPr="00A079B3">
        <w:rPr>
          <w:rFonts w:ascii="Perpetua" w:hAnsi="Perpetua"/>
        </w:rPr>
        <w:t xml:space="preserve">pluralism is no unbridled pragmatism. Midgley’s ethics </w:t>
      </w:r>
      <w:r>
        <w:rPr>
          <w:rFonts w:ascii="Perpetua" w:hAnsi="Perpetua"/>
        </w:rPr>
        <w:t>wa</w:t>
      </w:r>
      <w:r w:rsidRPr="00A079B3">
        <w:rPr>
          <w:rFonts w:ascii="Perpetua" w:hAnsi="Perpetua"/>
        </w:rPr>
        <w:t>s always deeply philosophical. It had to be</w:t>
      </w:r>
      <w:r>
        <w:rPr>
          <w:rFonts w:ascii="Perpetua" w:hAnsi="Perpetua"/>
        </w:rPr>
        <w:t>.</w:t>
      </w:r>
      <w:r w:rsidRPr="00A079B3">
        <w:rPr>
          <w:rFonts w:ascii="Perpetua" w:hAnsi="Perpetua"/>
        </w:rPr>
        <w:t xml:space="preserve"> </w:t>
      </w:r>
      <w:r>
        <w:rPr>
          <w:rFonts w:ascii="Perpetua" w:hAnsi="Perpetua"/>
        </w:rPr>
        <w:t>Philosophical</w:t>
      </w:r>
      <w:r w:rsidRPr="00A079B3">
        <w:rPr>
          <w:rFonts w:ascii="Perpetua" w:hAnsi="Perpetua"/>
        </w:rPr>
        <w:t xml:space="preserve"> clarity </w:t>
      </w:r>
      <w:r>
        <w:rPr>
          <w:rFonts w:ascii="Perpetua" w:hAnsi="Perpetua"/>
        </w:rPr>
        <w:t>being</w:t>
      </w:r>
      <w:r w:rsidRPr="00A079B3">
        <w:rPr>
          <w:rFonts w:ascii="Perpetua" w:hAnsi="Perpetua"/>
        </w:rPr>
        <w:t xml:space="preserve"> a prerequisite for effective action. ‘We need to think out the </w:t>
      </w:r>
      <w:proofErr w:type="spellStart"/>
      <w:r w:rsidRPr="00A079B3">
        <w:rPr>
          <w:rFonts w:ascii="Perpetua" w:hAnsi="Perpetua"/>
        </w:rPr>
        <w:t>principles</w:t>
      </w:r>
      <w:proofErr w:type="spellEnd"/>
      <w:r w:rsidRPr="00A079B3">
        <w:rPr>
          <w:rFonts w:ascii="Perpetua" w:hAnsi="Perpetua"/>
        </w:rPr>
        <w:t xml:space="preserve"> involved’</w:t>
      </w:r>
      <w:r>
        <w:rPr>
          <w:rFonts w:ascii="Perpetua" w:hAnsi="Perpetua"/>
        </w:rPr>
        <w:t xml:space="preserve">, </w:t>
      </w:r>
      <w:r w:rsidRPr="00A079B3">
        <w:rPr>
          <w:rFonts w:ascii="Perpetua" w:hAnsi="Perpetua"/>
        </w:rPr>
        <w:t>‘clear our minds about what kind of unity we need and can expect’.</w:t>
      </w:r>
      <w:r w:rsidRPr="00A079B3">
        <w:rPr>
          <w:rStyle w:val="FootnoteReference"/>
          <w:rFonts w:ascii="Perpetua" w:hAnsi="Perpetua"/>
        </w:rPr>
        <w:footnoteReference w:id="100"/>
      </w:r>
      <w:r w:rsidRPr="00A079B3">
        <w:rPr>
          <w:rFonts w:ascii="Perpetua" w:hAnsi="Perpetua"/>
        </w:rPr>
        <w:t xml:space="preserve"> </w:t>
      </w:r>
      <w:r w:rsidR="00AB10BF">
        <w:rPr>
          <w:rFonts w:ascii="Perpetua" w:hAnsi="Perpetua"/>
        </w:rPr>
        <w:t>It is t</w:t>
      </w:r>
      <w:r>
        <w:rPr>
          <w:rFonts w:ascii="Perpetua" w:hAnsi="Perpetua"/>
        </w:rPr>
        <w:t xml:space="preserve">he </w:t>
      </w:r>
      <w:r w:rsidRPr="00A079B3">
        <w:rPr>
          <w:rFonts w:ascii="Perpetua" w:hAnsi="Perpetua"/>
        </w:rPr>
        <w:t xml:space="preserve">philosopher </w:t>
      </w:r>
      <w:r w:rsidR="00AB10BF">
        <w:rPr>
          <w:rFonts w:ascii="Perpetua" w:hAnsi="Perpetua"/>
        </w:rPr>
        <w:t xml:space="preserve">who </w:t>
      </w:r>
      <w:r>
        <w:rPr>
          <w:rFonts w:ascii="Perpetua" w:hAnsi="Perpetua"/>
        </w:rPr>
        <w:t xml:space="preserve">will </w:t>
      </w:r>
      <w:r w:rsidRPr="00A079B3">
        <w:rPr>
          <w:rFonts w:ascii="Perpetua" w:hAnsi="Perpetua"/>
        </w:rPr>
        <w:t>help us ‘clear our own thoughts’.</w:t>
      </w:r>
      <w:r w:rsidRPr="00A079B3">
        <w:rPr>
          <w:rStyle w:val="FootnoteReference"/>
          <w:rFonts w:ascii="Perpetua" w:hAnsi="Perpetua"/>
        </w:rPr>
        <w:footnoteReference w:id="101"/>
      </w:r>
    </w:p>
    <w:p w14:paraId="7648ADE4" w14:textId="77777777" w:rsidR="009C34C2" w:rsidRDefault="009C34C2" w:rsidP="009C34C2"/>
    <w:p w14:paraId="2D902F0E" w14:textId="45D83668" w:rsidR="00711B9E" w:rsidRDefault="00711B9E" w:rsidP="009C34C2">
      <w:pPr>
        <w:spacing w:line="480" w:lineRule="auto"/>
        <w:jc w:val="both"/>
        <w:rPr>
          <w:rFonts w:ascii="Perpetua" w:hAnsi="Perpetua"/>
        </w:rPr>
      </w:pPr>
      <w:r>
        <w:rPr>
          <w:rFonts w:ascii="Perpetua" w:hAnsi="Perpetua"/>
        </w:rPr>
        <w:t>Even with r</w:t>
      </w:r>
      <w:r w:rsidR="009C34C2" w:rsidRPr="00F93DF2">
        <w:rPr>
          <w:rFonts w:ascii="Perpetua" w:hAnsi="Perpetua"/>
        </w:rPr>
        <w:t>approchement at a level of generality</w:t>
      </w:r>
      <w:r>
        <w:rPr>
          <w:rFonts w:ascii="Perpetua" w:hAnsi="Perpetua"/>
        </w:rPr>
        <w:t xml:space="preserve">, </w:t>
      </w:r>
      <w:r w:rsidR="009C34C2" w:rsidRPr="00F93DF2">
        <w:rPr>
          <w:rFonts w:ascii="Perpetua" w:hAnsi="Perpetua"/>
        </w:rPr>
        <w:t>there will be unavoidable specific clashes</w:t>
      </w:r>
      <w:r w:rsidR="009C34C2">
        <w:rPr>
          <w:rFonts w:ascii="Perpetua" w:hAnsi="Perpetua"/>
        </w:rPr>
        <w:t xml:space="preserve"> (e.g. culling/overgrazing). </w:t>
      </w:r>
      <w:r w:rsidR="009C34C2" w:rsidRPr="00F93DF2">
        <w:rPr>
          <w:rFonts w:ascii="Perpetua" w:hAnsi="Perpetua"/>
        </w:rPr>
        <w:t>These involve hard work</w:t>
      </w:r>
      <w:r w:rsidR="009C34C2">
        <w:rPr>
          <w:rFonts w:ascii="Perpetua" w:hAnsi="Perpetua"/>
        </w:rPr>
        <w:t xml:space="preserve">. </w:t>
      </w:r>
      <w:r w:rsidR="009C34C2" w:rsidRPr="00F93DF2">
        <w:rPr>
          <w:rFonts w:ascii="Perpetua" w:hAnsi="Perpetua"/>
        </w:rPr>
        <w:t>For Midgley, there are circumstances where culling is permissible. A steadfast refusal to countenance killing amounts to ‘fanatical over-simplification’.</w:t>
      </w:r>
      <w:r w:rsidR="009C34C2" w:rsidRPr="00F93DF2">
        <w:rPr>
          <w:rStyle w:val="FootnoteReference"/>
          <w:rFonts w:ascii="Perpetua" w:hAnsi="Perpetua"/>
        </w:rPr>
        <w:footnoteReference w:id="102"/>
      </w:r>
      <w:r w:rsidR="009C34C2" w:rsidRPr="00F93DF2">
        <w:rPr>
          <w:rFonts w:ascii="Perpetua" w:hAnsi="Perpetua"/>
        </w:rPr>
        <w:t xml:space="preserve"> </w:t>
      </w:r>
      <w:r w:rsidR="009C34C2">
        <w:rPr>
          <w:rFonts w:ascii="Perpetua" w:hAnsi="Perpetua"/>
        </w:rPr>
        <w:t>This is</w:t>
      </w:r>
      <w:r w:rsidR="009C34C2" w:rsidRPr="00F93DF2">
        <w:rPr>
          <w:rFonts w:ascii="Perpetua" w:hAnsi="Perpetua"/>
        </w:rPr>
        <w:t xml:space="preserve"> a </w:t>
      </w:r>
      <w:r>
        <w:rPr>
          <w:rFonts w:ascii="Perpetua" w:hAnsi="Perpetua"/>
        </w:rPr>
        <w:t>lack of realism. A failure to</w:t>
      </w:r>
      <w:r w:rsidR="009C34C2" w:rsidRPr="00F93DF2">
        <w:rPr>
          <w:rFonts w:ascii="Perpetua" w:hAnsi="Perpetua"/>
        </w:rPr>
        <w:t xml:space="preserve"> understand how bad the alternatives are. </w:t>
      </w:r>
    </w:p>
    <w:p w14:paraId="6D5BD5D7" w14:textId="77777777" w:rsidR="00711B9E" w:rsidRDefault="00711B9E" w:rsidP="009C34C2">
      <w:pPr>
        <w:spacing w:line="480" w:lineRule="auto"/>
        <w:jc w:val="both"/>
        <w:rPr>
          <w:rFonts w:ascii="Perpetua" w:hAnsi="Perpetua"/>
        </w:rPr>
      </w:pPr>
    </w:p>
    <w:p w14:paraId="46B69784" w14:textId="77777777" w:rsidR="00711B9E" w:rsidRDefault="009C34C2" w:rsidP="009C34C2">
      <w:pPr>
        <w:spacing w:line="480" w:lineRule="auto"/>
        <w:jc w:val="both"/>
        <w:rPr>
          <w:rFonts w:ascii="Perpetua" w:hAnsi="Perpetua"/>
        </w:rPr>
      </w:pPr>
      <w:r w:rsidRPr="00F93DF2">
        <w:rPr>
          <w:rFonts w:ascii="Perpetua" w:hAnsi="Perpetua"/>
        </w:rPr>
        <w:t>The morality of any specific culling will depend, in part, on the ‘scale of life’.</w:t>
      </w:r>
      <w:r w:rsidRPr="00F93DF2">
        <w:rPr>
          <w:rStyle w:val="FootnoteReference"/>
          <w:rFonts w:ascii="Perpetua" w:hAnsi="Perpetua"/>
        </w:rPr>
        <w:footnoteReference w:id="103"/>
      </w:r>
      <w:r w:rsidRPr="00F93DF2">
        <w:rPr>
          <w:rFonts w:ascii="Perpetua" w:hAnsi="Perpetua"/>
        </w:rPr>
        <w:t xml:space="preserve"> But no decision on culling is an arbitrary dilemma between unrelated principles.</w:t>
      </w:r>
      <w:r w:rsidRPr="00F93DF2">
        <w:rPr>
          <w:rStyle w:val="FootnoteReference"/>
          <w:rFonts w:ascii="Perpetua" w:hAnsi="Perpetua"/>
        </w:rPr>
        <w:footnoteReference w:id="104"/>
      </w:r>
      <w:r w:rsidRPr="00F93DF2">
        <w:rPr>
          <w:rFonts w:ascii="Perpetua" w:hAnsi="Perpetua"/>
        </w:rPr>
        <w:t xml:space="preserve"> Justice must be done to the complexity of the problem.  Hard cases demand realism. The question is, ‘In each particular case, what actually – </w:t>
      </w:r>
      <w:r w:rsidRPr="00F93DF2">
        <w:rPr>
          <w:rFonts w:ascii="Perpetua" w:hAnsi="Perpetua"/>
          <w:b/>
          <w:bCs/>
          <w:u w:val="single"/>
        </w:rPr>
        <w:t>here</w:t>
      </w:r>
      <w:r w:rsidRPr="00F93DF2">
        <w:rPr>
          <w:rFonts w:ascii="Perpetua" w:hAnsi="Perpetua"/>
        </w:rPr>
        <w:t>- is the lesser evil?’.</w:t>
      </w:r>
      <w:r w:rsidRPr="00F93DF2">
        <w:rPr>
          <w:rStyle w:val="FootnoteReference"/>
          <w:rFonts w:ascii="Perpetua" w:hAnsi="Perpetua"/>
        </w:rPr>
        <w:footnoteReference w:id="105"/>
      </w:r>
      <w:r w:rsidRPr="00F93DF2">
        <w:rPr>
          <w:rFonts w:ascii="Perpetua" w:hAnsi="Perpetua"/>
        </w:rPr>
        <w:t xml:space="preserve"> </w:t>
      </w:r>
      <w:proofErr w:type="gramStart"/>
      <w:r w:rsidRPr="00F93DF2">
        <w:rPr>
          <w:rFonts w:ascii="Perpetua" w:hAnsi="Perpetua"/>
        </w:rPr>
        <w:t>This needs</w:t>
      </w:r>
      <w:proofErr w:type="gramEnd"/>
      <w:r w:rsidRPr="00F93DF2">
        <w:rPr>
          <w:rFonts w:ascii="Perpetua" w:hAnsi="Perpetua"/>
        </w:rPr>
        <w:t xml:space="preserve"> ‘careful study of the local factors’ and not ‘sweeping fiat from general principles’.</w:t>
      </w:r>
      <w:r w:rsidRPr="00F93DF2">
        <w:rPr>
          <w:rStyle w:val="FootnoteReference"/>
          <w:rFonts w:ascii="Perpetua" w:hAnsi="Perpetua"/>
        </w:rPr>
        <w:footnoteReference w:id="106"/>
      </w:r>
    </w:p>
    <w:p w14:paraId="4A61624E" w14:textId="77777777" w:rsidR="00711B9E" w:rsidRDefault="00711B9E" w:rsidP="009C34C2">
      <w:pPr>
        <w:spacing w:line="480" w:lineRule="auto"/>
        <w:jc w:val="both"/>
        <w:rPr>
          <w:rFonts w:ascii="Perpetua" w:hAnsi="Perpetua"/>
        </w:rPr>
      </w:pPr>
    </w:p>
    <w:p w14:paraId="33E8D825" w14:textId="37D9F0CC" w:rsidR="009C34C2" w:rsidRPr="00F93DF2" w:rsidRDefault="009C34C2" w:rsidP="009C34C2">
      <w:pPr>
        <w:spacing w:line="480" w:lineRule="auto"/>
        <w:jc w:val="both"/>
        <w:rPr>
          <w:rFonts w:ascii="Perpetua" w:hAnsi="Perpetua"/>
        </w:rPr>
      </w:pPr>
      <w:r w:rsidRPr="00F93DF2">
        <w:rPr>
          <w:rFonts w:ascii="Perpetua" w:hAnsi="Perpetua"/>
        </w:rPr>
        <w:t>If there is a ‘benign bypass’, more’s the better. Inventive thought is welcome. Fantastical delusions which cannot be put into workable practice are not.</w:t>
      </w:r>
      <w:r w:rsidRPr="00F93DF2">
        <w:rPr>
          <w:rStyle w:val="FootnoteReference"/>
          <w:rFonts w:ascii="Perpetua" w:hAnsi="Perpetua"/>
        </w:rPr>
        <w:footnoteReference w:id="107"/>
      </w:r>
      <w:r w:rsidRPr="00F93DF2">
        <w:rPr>
          <w:rFonts w:ascii="Perpetua" w:hAnsi="Perpetua"/>
        </w:rPr>
        <w:t xml:space="preserve"> Thus, Midgley is prepared to take contraception seriously whilst recognising </w:t>
      </w:r>
      <w:r w:rsidR="00711B9E">
        <w:rPr>
          <w:rFonts w:ascii="Perpetua" w:hAnsi="Perpetua"/>
        </w:rPr>
        <w:t>the</w:t>
      </w:r>
      <w:r w:rsidRPr="00F93DF2">
        <w:rPr>
          <w:rFonts w:ascii="Perpetua" w:hAnsi="Perpetua"/>
        </w:rPr>
        <w:t xml:space="preserve"> obvious limitations.</w:t>
      </w:r>
      <w:r w:rsidRPr="00F93DF2">
        <w:rPr>
          <w:rStyle w:val="FootnoteReference"/>
          <w:rFonts w:ascii="Perpetua" w:hAnsi="Perpetua"/>
        </w:rPr>
        <w:footnoteReference w:id="108"/>
      </w:r>
      <w:r w:rsidRPr="00F93DF2">
        <w:rPr>
          <w:rFonts w:ascii="Perpetua" w:hAnsi="Perpetua"/>
        </w:rPr>
        <w:t xml:space="preserve"> Contraception is not, by Midgley’s pen, inherently absurd.</w:t>
      </w:r>
      <w:r w:rsidRPr="00F93DF2">
        <w:rPr>
          <w:rStyle w:val="FootnoteReference"/>
          <w:rFonts w:ascii="Perpetua" w:hAnsi="Perpetua"/>
        </w:rPr>
        <w:footnoteReference w:id="109"/>
      </w:r>
      <w:r w:rsidRPr="00F93DF2">
        <w:rPr>
          <w:rFonts w:ascii="Perpetua" w:hAnsi="Perpetua"/>
        </w:rPr>
        <w:t xml:space="preserve">  </w:t>
      </w:r>
    </w:p>
    <w:p w14:paraId="06B8D7E4" w14:textId="77777777" w:rsidR="009C34C2" w:rsidRDefault="009C34C2" w:rsidP="009C34C2">
      <w:pPr>
        <w:spacing w:line="480" w:lineRule="auto"/>
        <w:jc w:val="both"/>
        <w:rPr>
          <w:rFonts w:ascii="Perpetua" w:hAnsi="Perpetua"/>
        </w:rPr>
      </w:pPr>
    </w:p>
    <w:p w14:paraId="5B855095" w14:textId="77777777" w:rsidR="00711B9E" w:rsidRDefault="009C34C2" w:rsidP="009C34C2">
      <w:pPr>
        <w:spacing w:line="480" w:lineRule="auto"/>
        <w:jc w:val="both"/>
        <w:rPr>
          <w:rFonts w:ascii="Perpetua" w:hAnsi="Perpetua"/>
        </w:rPr>
      </w:pPr>
      <w:r w:rsidRPr="00F93DF2">
        <w:rPr>
          <w:rFonts w:ascii="Perpetua" w:hAnsi="Perpetua"/>
        </w:rPr>
        <w:t xml:space="preserve">Midgley’s conclusion is stark. Any solution to human overpopulation and environmental preservation will require an objectionable course (changes to freedoms, acts of destruction) and, therefore, an objectionable choice. We will need to be honest about which changes are necessary. We are already </w:t>
      </w:r>
      <w:r w:rsidRPr="00F93DF2">
        <w:rPr>
          <w:rFonts w:ascii="Perpetua" w:hAnsi="Perpetua"/>
        </w:rPr>
        <w:lastRenderedPageBreak/>
        <w:t>bound to do harm</w:t>
      </w:r>
      <w:r w:rsidR="00711B9E">
        <w:rPr>
          <w:rFonts w:ascii="Perpetua" w:hAnsi="Perpetua"/>
        </w:rPr>
        <w:t>. I</w:t>
      </w:r>
      <w:r w:rsidRPr="00F93DF2">
        <w:rPr>
          <w:rFonts w:ascii="Perpetua" w:hAnsi="Perpetua"/>
        </w:rPr>
        <w:t>t’s a question of which deaths when</w:t>
      </w:r>
      <w:r w:rsidR="00711B9E">
        <w:rPr>
          <w:rFonts w:ascii="Perpetua" w:hAnsi="Perpetua"/>
        </w:rPr>
        <w:t>.</w:t>
      </w:r>
      <w:r w:rsidRPr="00F93DF2">
        <w:rPr>
          <w:rFonts w:ascii="Perpetua" w:hAnsi="Perpetua"/>
        </w:rPr>
        <w:t xml:space="preserve"> </w:t>
      </w:r>
      <w:r w:rsidR="00711B9E">
        <w:rPr>
          <w:rFonts w:ascii="Perpetua" w:hAnsi="Perpetua"/>
        </w:rPr>
        <w:t>However</w:t>
      </w:r>
      <w:r w:rsidRPr="00F93DF2">
        <w:rPr>
          <w:rFonts w:ascii="Perpetua" w:hAnsi="Perpetua"/>
        </w:rPr>
        <w:t>, by proceeding responsibly, good may be done.</w:t>
      </w:r>
      <w:r w:rsidRPr="00F93DF2">
        <w:rPr>
          <w:rStyle w:val="FootnoteReference"/>
          <w:rFonts w:ascii="Perpetua" w:hAnsi="Perpetua"/>
        </w:rPr>
        <w:footnoteReference w:id="110"/>
      </w:r>
      <w:r w:rsidRPr="00F93DF2">
        <w:rPr>
          <w:rFonts w:ascii="Perpetua" w:hAnsi="Perpetua"/>
        </w:rPr>
        <w:t xml:space="preserve">  </w:t>
      </w:r>
    </w:p>
    <w:p w14:paraId="26AB2D0B" w14:textId="77777777" w:rsidR="00711B9E" w:rsidRDefault="00711B9E" w:rsidP="009C34C2">
      <w:pPr>
        <w:spacing w:line="480" w:lineRule="auto"/>
        <w:jc w:val="both"/>
        <w:rPr>
          <w:rFonts w:ascii="Perpetua" w:hAnsi="Perpetua"/>
        </w:rPr>
      </w:pPr>
    </w:p>
    <w:p w14:paraId="1542AA48" w14:textId="455869DE" w:rsidR="009C34C2" w:rsidRPr="00F93DF2" w:rsidRDefault="009C34C2" w:rsidP="009C34C2">
      <w:pPr>
        <w:spacing w:line="480" w:lineRule="auto"/>
        <w:jc w:val="both"/>
        <w:rPr>
          <w:rFonts w:ascii="Perpetua" w:hAnsi="Perpetua"/>
        </w:rPr>
      </w:pPr>
      <w:r w:rsidRPr="00F93DF2">
        <w:rPr>
          <w:rFonts w:ascii="Perpetua" w:hAnsi="Perpetua"/>
        </w:rPr>
        <w:t>Today, animal ethics can sensibly be categorised as an environmental ethic.</w:t>
      </w:r>
      <w:r w:rsidRPr="00F93DF2">
        <w:rPr>
          <w:rStyle w:val="FootnoteReference"/>
          <w:rFonts w:ascii="Perpetua" w:hAnsi="Perpetua"/>
        </w:rPr>
        <w:footnoteReference w:id="111"/>
      </w:r>
      <w:r w:rsidRPr="00F93DF2">
        <w:rPr>
          <w:rFonts w:ascii="Perpetua" w:hAnsi="Perpetua"/>
        </w:rPr>
        <w:t xml:space="preserve">  The idea that environmentalism entails a commitment to holism is simply wrong. We should best note that Midgley was not a lone voice. Marti </w:t>
      </w:r>
      <w:proofErr w:type="spellStart"/>
      <w:r w:rsidRPr="00F93DF2">
        <w:rPr>
          <w:rFonts w:ascii="Perpetua" w:hAnsi="Perpetua"/>
        </w:rPr>
        <w:t>Kheel</w:t>
      </w:r>
      <w:proofErr w:type="spellEnd"/>
      <w:r w:rsidRPr="00F93DF2">
        <w:rPr>
          <w:rFonts w:ascii="Perpetua" w:hAnsi="Perpetua"/>
        </w:rPr>
        <w:t xml:space="preserve"> saw the supposed conflict in similar terms from an ecofeminist perspective.</w:t>
      </w:r>
      <w:r w:rsidRPr="00F93DF2">
        <w:rPr>
          <w:rStyle w:val="FootnoteReference"/>
          <w:rFonts w:ascii="Perpetua" w:hAnsi="Perpetua"/>
        </w:rPr>
        <w:footnoteReference w:id="112"/>
      </w:r>
      <w:r w:rsidRPr="00F93DF2">
        <w:rPr>
          <w:rFonts w:ascii="Perpetua" w:hAnsi="Perpetua"/>
        </w:rPr>
        <w:t xml:space="preserve"> </w:t>
      </w:r>
      <w:r w:rsidR="00DE4144">
        <w:rPr>
          <w:rFonts w:ascii="Perpetua" w:hAnsi="Perpetua"/>
        </w:rPr>
        <w:t xml:space="preserve">By 1992, </w:t>
      </w:r>
      <w:r w:rsidRPr="00F93DF2">
        <w:rPr>
          <w:rFonts w:ascii="Perpetua" w:hAnsi="Perpetua"/>
        </w:rPr>
        <w:t>Callicott had already recanted.</w:t>
      </w:r>
      <w:r w:rsidRPr="00F93DF2">
        <w:rPr>
          <w:rStyle w:val="FootnoteReference"/>
          <w:rFonts w:ascii="Perpetua" w:hAnsi="Perpetua"/>
        </w:rPr>
        <w:footnoteReference w:id="113"/>
      </w:r>
      <w:r w:rsidRPr="00F93DF2">
        <w:rPr>
          <w:rFonts w:ascii="Perpetua" w:hAnsi="Perpetua"/>
        </w:rPr>
        <w:t xml:space="preserve"> AAWTM’s mixed communities were integral to his revision. Some is (almost) Midgley-</w:t>
      </w:r>
      <w:proofErr w:type="spellStart"/>
      <w:r w:rsidRPr="00F93DF2">
        <w:rPr>
          <w:rFonts w:ascii="Perpetua" w:hAnsi="Perpetua"/>
        </w:rPr>
        <w:t>esque</w:t>
      </w:r>
      <w:proofErr w:type="spellEnd"/>
      <w:r w:rsidRPr="00F93DF2">
        <w:rPr>
          <w:rFonts w:ascii="Perpetua" w:hAnsi="Perpetua"/>
        </w:rPr>
        <w:t>.</w:t>
      </w:r>
      <w:r w:rsidRPr="00F93DF2">
        <w:rPr>
          <w:rStyle w:val="FootnoteReference"/>
          <w:rFonts w:ascii="Perpetua" w:hAnsi="Perpetua"/>
        </w:rPr>
        <w:footnoteReference w:id="114"/>
      </w:r>
      <w:r w:rsidRPr="00F93DF2">
        <w:rPr>
          <w:rFonts w:ascii="Perpetua" w:hAnsi="Perpetua"/>
        </w:rPr>
        <w:t xml:space="preserve">  We can smile wryly that it was Midgley he drew upon when needing to temper his view.</w:t>
      </w:r>
      <w:r w:rsidRPr="00F93DF2">
        <w:rPr>
          <w:rStyle w:val="FootnoteReference"/>
          <w:rFonts w:ascii="Perpetua" w:hAnsi="Perpetua"/>
        </w:rPr>
        <w:footnoteReference w:id="115"/>
      </w:r>
      <w:r w:rsidRPr="00F93DF2">
        <w:rPr>
          <w:rFonts w:ascii="Perpetua" w:hAnsi="Perpetua"/>
        </w:rPr>
        <w:t xml:space="preserve"> </w:t>
      </w:r>
    </w:p>
    <w:p w14:paraId="398B3F7C" w14:textId="77777777" w:rsidR="009C34C2" w:rsidRPr="00F93DF2" w:rsidRDefault="009C34C2" w:rsidP="009C34C2">
      <w:pPr>
        <w:spacing w:line="480" w:lineRule="auto"/>
        <w:jc w:val="both"/>
        <w:rPr>
          <w:rFonts w:ascii="Perpetua" w:hAnsi="Perpetua"/>
        </w:rPr>
      </w:pPr>
    </w:p>
    <w:p w14:paraId="2E0F3BC9" w14:textId="5F7B0427" w:rsidR="009C34C2" w:rsidRDefault="009C34C2" w:rsidP="009C34C2">
      <w:pPr>
        <w:spacing w:line="480" w:lineRule="auto"/>
        <w:jc w:val="both"/>
      </w:pPr>
      <w:r w:rsidRPr="00F93DF2">
        <w:rPr>
          <w:rFonts w:ascii="Perpetua" w:hAnsi="Perpetua"/>
        </w:rPr>
        <w:t>Word Count: 1,</w:t>
      </w:r>
      <w:r>
        <w:rPr>
          <w:rFonts w:ascii="Perpetua" w:hAnsi="Perpetua"/>
        </w:rPr>
        <w:t>16</w:t>
      </w:r>
      <w:r w:rsidR="00DE4144">
        <w:rPr>
          <w:rFonts w:ascii="Perpetua" w:hAnsi="Perpetua"/>
        </w:rPr>
        <w:t>6</w:t>
      </w:r>
      <w:r>
        <w:rPr>
          <w:rFonts w:ascii="Perpetua" w:hAnsi="Perpetua"/>
        </w:rPr>
        <w:t>.</w:t>
      </w:r>
    </w:p>
    <w:p w14:paraId="712113BA" w14:textId="5F724D98" w:rsidR="009C34C2" w:rsidRDefault="009C34C2">
      <w:r>
        <w:br w:type="page"/>
      </w:r>
    </w:p>
    <w:p w14:paraId="1902C72C" w14:textId="77777777" w:rsidR="009C34C2" w:rsidRPr="002869AB" w:rsidRDefault="009C34C2" w:rsidP="009C34C2">
      <w:pPr>
        <w:rPr>
          <w:rFonts w:ascii="Perpetua" w:hAnsi="Perpetua"/>
          <w:b/>
          <w:bCs/>
        </w:rPr>
      </w:pPr>
      <w:r w:rsidRPr="002869AB">
        <w:rPr>
          <w:rFonts w:ascii="Perpetua" w:hAnsi="Perpetua"/>
          <w:b/>
          <w:bCs/>
        </w:rPr>
        <w:lastRenderedPageBreak/>
        <w:t xml:space="preserve">4. </w:t>
      </w:r>
    </w:p>
    <w:p w14:paraId="7687481B" w14:textId="16CEBD13" w:rsidR="009C34C2" w:rsidRPr="00A93CB7" w:rsidRDefault="009C34C2" w:rsidP="009C34C2">
      <w:pPr>
        <w:spacing w:line="240" w:lineRule="auto"/>
        <w:jc w:val="both"/>
        <w:rPr>
          <w:rFonts w:ascii="Perpetua" w:hAnsi="Perpetua"/>
          <w:b/>
          <w:bCs/>
        </w:rPr>
      </w:pPr>
      <w:r w:rsidRPr="00A93CB7">
        <w:rPr>
          <w:rFonts w:ascii="Perpetua" w:hAnsi="Perpetua"/>
          <w:b/>
          <w:bCs/>
        </w:rPr>
        <w:t>Katie McShane</w:t>
      </w:r>
      <w:r w:rsidR="00F22CFD">
        <w:rPr>
          <w:rFonts w:ascii="Perpetua" w:hAnsi="Perpetua"/>
          <w:b/>
          <w:bCs/>
        </w:rPr>
        <w:t>, ‘</w:t>
      </w:r>
      <w:r w:rsidRPr="00A93CB7">
        <w:rPr>
          <w:rFonts w:ascii="Perpetua" w:hAnsi="Perpetua"/>
          <w:b/>
          <w:bCs/>
        </w:rPr>
        <w:t>Why Environmental Ethic Shouldn’t Give Up on Intrinsic Value</w:t>
      </w:r>
      <w:r w:rsidR="00F22CFD">
        <w:rPr>
          <w:rFonts w:ascii="Perpetua" w:hAnsi="Perpetua"/>
          <w:b/>
          <w:bCs/>
        </w:rPr>
        <w:t>’,</w:t>
      </w:r>
    </w:p>
    <w:p w14:paraId="3EE6319D" w14:textId="77777777" w:rsidR="009C34C2" w:rsidRPr="00A93CB7" w:rsidRDefault="009C34C2" w:rsidP="009C34C2">
      <w:pPr>
        <w:spacing w:line="240" w:lineRule="auto"/>
        <w:jc w:val="both"/>
        <w:rPr>
          <w:rFonts w:ascii="Perpetua" w:hAnsi="Perpetua"/>
          <w:b/>
          <w:bCs/>
        </w:rPr>
      </w:pPr>
      <w:r w:rsidRPr="00A93CB7">
        <w:rPr>
          <w:rFonts w:ascii="Perpetua" w:hAnsi="Perpetua"/>
          <w:b/>
          <w:bCs/>
          <w:i/>
          <w:iCs/>
        </w:rPr>
        <w:t>Environmental Ethics</w:t>
      </w:r>
      <w:r w:rsidRPr="00A93CB7">
        <w:rPr>
          <w:rFonts w:ascii="Perpetua" w:hAnsi="Perpetua"/>
          <w:b/>
          <w:bCs/>
        </w:rPr>
        <w:t>, Vol. 29(1) (Spring 2007), pp. 43 – 61.</w:t>
      </w:r>
    </w:p>
    <w:p w14:paraId="200A2CFA" w14:textId="77777777" w:rsidR="009C34C2" w:rsidRPr="001C6225" w:rsidRDefault="009C34C2" w:rsidP="009C34C2">
      <w:pPr>
        <w:spacing w:line="480" w:lineRule="auto"/>
        <w:jc w:val="both"/>
        <w:rPr>
          <w:rFonts w:ascii="Perpetua" w:hAnsi="Perpetua"/>
        </w:rPr>
      </w:pPr>
    </w:p>
    <w:p w14:paraId="416C3D99" w14:textId="77777777" w:rsidR="009C34C2" w:rsidRDefault="009C34C2" w:rsidP="009C34C2">
      <w:pPr>
        <w:spacing w:line="480" w:lineRule="auto"/>
        <w:jc w:val="both"/>
        <w:rPr>
          <w:rFonts w:ascii="Perpetua" w:hAnsi="Perpetua"/>
          <w:iCs/>
        </w:rPr>
      </w:pPr>
      <w:r w:rsidRPr="001C6225">
        <w:rPr>
          <w:rFonts w:ascii="Perpetua" w:hAnsi="Perpetua"/>
        </w:rPr>
        <w:t>In ‘</w:t>
      </w:r>
      <w:r w:rsidRPr="001C6225">
        <w:rPr>
          <w:rFonts w:ascii="Perpetua" w:hAnsi="Perpetua"/>
          <w:i/>
        </w:rPr>
        <w:t xml:space="preserve">Anthropocentrism vs. </w:t>
      </w:r>
      <w:proofErr w:type="spellStart"/>
      <w:r w:rsidRPr="001C6225">
        <w:rPr>
          <w:rFonts w:ascii="Perpetua" w:hAnsi="Perpetua"/>
          <w:i/>
        </w:rPr>
        <w:t>Nonanthropocentrism</w:t>
      </w:r>
      <w:proofErr w:type="spellEnd"/>
      <w:r w:rsidRPr="001C6225">
        <w:rPr>
          <w:rFonts w:ascii="Perpetua" w:hAnsi="Perpetua"/>
          <w:i/>
        </w:rPr>
        <w:t>: Why Should We Care?’</w:t>
      </w:r>
      <w:r w:rsidRPr="001C6225">
        <w:rPr>
          <w:rFonts w:ascii="Perpetua" w:hAnsi="Perpetua"/>
          <w:iCs/>
        </w:rPr>
        <w:t>, Katie McShane set</w:t>
      </w:r>
      <w:r>
        <w:rPr>
          <w:rFonts w:ascii="Perpetua" w:hAnsi="Perpetua"/>
          <w:iCs/>
        </w:rPr>
        <w:t>s</w:t>
      </w:r>
      <w:r w:rsidRPr="001C6225">
        <w:rPr>
          <w:rFonts w:ascii="Perpetua" w:hAnsi="Perpetua"/>
          <w:iCs/>
        </w:rPr>
        <w:t xml:space="preserve"> out a case for </w:t>
      </w:r>
      <w:proofErr w:type="spellStart"/>
      <w:r w:rsidRPr="001C6225">
        <w:rPr>
          <w:rFonts w:ascii="Perpetua" w:hAnsi="Perpetua"/>
          <w:iCs/>
        </w:rPr>
        <w:t>nonanthropocentrism</w:t>
      </w:r>
      <w:proofErr w:type="spellEnd"/>
      <w:r w:rsidRPr="001C6225">
        <w:rPr>
          <w:rFonts w:ascii="Perpetua" w:hAnsi="Perpetua"/>
          <w:iCs/>
        </w:rPr>
        <w:t xml:space="preserve"> </w:t>
      </w:r>
      <w:r>
        <w:rPr>
          <w:rFonts w:ascii="Perpetua" w:hAnsi="Perpetua"/>
          <w:iCs/>
        </w:rPr>
        <w:t>after granting</w:t>
      </w:r>
      <w:r w:rsidRPr="001C6225">
        <w:rPr>
          <w:rFonts w:ascii="Perpetua" w:hAnsi="Perpetua"/>
          <w:iCs/>
        </w:rPr>
        <w:t xml:space="preserve"> the </w:t>
      </w:r>
      <w:r>
        <w:rPr>
          <w:rFonts w:ascii="Perpetua" w:hAnsi="Perpetua"/>
          <w:iCs/>
        </w:rPr>
        <w:t>‘</w:t>
      </w:r>
      <w:r w:rsidRPr="001C6225">
        <w:rPr>
          <w:rFonts w:ascii="Perpetua" w:hAnsi="Perpetua"/>
          <w:iCs/>
        </w:rPr>
        <w:t>convergence hypothesis</w:t>
      </w:r>
      <w:r>
        <w:rPr>
          <w:rFonts w:ascii="Perpetua" w:hAnsi="Perpetua"/>
          <w:iCs/>
        </w:rPr>
        <w:t>’</w:t>
      </w:r>
      <w:r w:rsidRPr="001C6225">
        <w:rPr>
          <w:rFonts w:ascii="Perpetua" w:hAnsi="Perpetua"/>
          <w:iCs/>
        </w:rPr>
        <w:t xml:space="preserve"> true.</w:t>
      </w:r>
      <w:r>
        <w:rPr>
          <w:rStyle w:val="FootnoteReference"/>
          <w:rFonts w:ascii="Perpetua" w:hAnsi="Perpetua"/>
          <w:iCs/>
        </w:rPr>
        <w:footnoteReference w:id="116"/>
      </w:r>
      <w:r w:rsidRPr="001C6225">
        <w:rPr>
          <w:rFonts w:ascii="Perpetua" w:hAnsi="Perpetua"/>
          <w:iCs/>
        </w:rPr>
        <w:t xml:space="preserve"> Anthropocentrism/</w:t>
      </w:r>
      <w:proofErr w:type="spellStart"/>
      <w:r w:rsidRPr="001C6225">
        <w:rPr>
          <w:rFonts w:ascii="Perpetua" w:hAnsi="Perpetua"/>
          <w:iCs/>
        </w:rPr>
        <w:t>Nonanthropocentrism</w:t>
      </w:r>
      <w:proofErr w:type="spellEnd"/>
      <w:r w:rsidRPr="001C6225">
        <w:rPr>
          <w:rFonts w:ascii="Perpetua" w:hAnsi="Perpetua"/>
          <w:iCs/>
        </w:rPr>
        <w:t xml:space="preserve"> still mattered, she argued, because anthropocentrism undermines our appropriate attitudes and constrains ‘the ways we think it makes sense to care about the natural world’.</w:t>
      </w:r>
      <w:r w:rsidRPr="001C6225">
        <w:rPr>
          <w:rStyle w:val="FootnoteReference"/>
          <w:rFonts w:ascii="Perpetua" w:hAnsi="Perpetua"/>
          <w:iCs/>
        </w:rPr>
        <w:footnoteReference w:id="117"/>
      </w:r>
      <w:r w:rsidRPr="001C6225">
        <w:rPr>
          <w:rFonts w:ascii="Perpetua" w:hAnsi="Perpetua"/>
          <w:iCs/>
        </w:rPr>
        <w:t xml:space="preserve"> Here, McShane employs a similar conceit.</w:t>
      </w:r>
      <w:r w:rsidRPr="001C6225">
        <w:rPr>
          <w:rStyle w:val="FootnoteReference"/>
          <w:rFonts w:ascii="Perpetua" w:hAnsi="Perpetua"/>
          <w:iCs/>
        </w:rPr>
        <w:footnoteReference w:id="118"/>
      </w:r>
      <w:r w:rsidRPr="001C6225">
        <w:rPr>
          <w:rFonts w:ascii="Perpetua" w:hAnsi="Perpetua"/>
          <w:iCs/>
        </w:rPr>
        <w:t xml:space="preserve"> She takes a ‘problem’ </w:t>
      </w:r>
      <w:r>
        <w:rPr>
          <w:rFonts w:ascii="Perpetua" w:hAnsi="Perpetua"/>
          <w:iCs/>
        </w:rPr>
        <w:t xml:space="preserve">(here, ‘Intrinsic Value “IV”) </w:t>
      </w:r>
      <w:r w:rsidRPr="001C6225">
        <w:rPr>
          <w:rFonts w:ascii="Perpetua" w:hAnsi="Perpetua"/>
          <w:iCs/>
        </w:rPr>
        <w:t>of fundamental (and originally existential) significance within EE, recognises the cogency of the pragmatist response but resists the temptation to discard what was once thought essential.</w:t>
      </w:r>
      <w:r w:rsidRPr="001C6225">
        <w:rPr>
          <w:rStyle w:val="FootnoteReference"/>
          <w:rFonts w:ascii="Perpetua" w:hAnsi="Perpetua"/>
          <w:iCs/>
        </w:rPr>
        <w:footnoteReference w:id="119"/>
      </w:r>
      <w:r w:rsidRPr="001C6225">
        <w:rPr>
          <w:rFonts w:ascii="Perpetua" w:hAnsi="Perpetua"/>
          <w:iCs/>
        </w:rPr>
        <w:t xml:space="preserve"> Instead, her (unnamed) (neo)sentimentalism (or, </w:t>
      </w:r>
      <w:r>
        <w:rPr>
          <w:rFonts w:ascii="Perpetua" w:hAnsi="Perpetua"/>
          <w:iCs/>
        </w:rPr>
        <w:t>rather</w:t>
      </w:r>
      <w:r w:rsidRPr="001C6225">
        <w:rPr>
          <w:rFonts w:ascii="Perpetua" w:hAnsi="Perpetua"/>
          <w:iCs/>
        </w:rPr>
        <w:t xml:space="preserve">, </w:t>
      </w:r>
      <w:proofErr w:type="spellStart"/>
      <w:r w:rsidRPr="001C6225">
        <w:rPr>
          <w:rFonts w:ascii="Perpetua" w:hAnsi="Perpetua"/>
          <w:iCs/>
        </w:rPr>
        <w:t>neosentimentalism’s</w:t>
      </w:r>
      <w:proofErr w:type="spellEnd"/>
      <w:r w:rsidRPr="001C6225">
        <w:rPr>
          <w:rFonts w:ascii="Perpetua" w:hAnsi="Perpetua"/>
          <w:iCs/>
        </w:rPr>
        <w:t xml:space="preserve"> </w:t>
      </w:r>
      <w:r>
        <w:rPr>
          <w:rFonts w:ascii="Perpetua" w:hAnsi="Perpetua"/>
          <w:iCs/>
        </w:rPr>
        <w:t>understanding</w:t>
      </w:r>
      <w:r w:rsidRPr="001C6225">
        <w:rPr>
          <w:rFonts w:ascii="Perpetua" w:hAnsi="Perpetua"/>
          <w:iCs/>
        </w:rPr>
        <w:t xml:space="preserve"> of value) allows for an idiosyncratic </w:t>
      </w:r>
      <w:r>
        <w:rPr>
          <w:rFonts w:ascii="Perpetua" w:hAnsi="Perpetua"/>
          <w:iCs/>
        </w:rPr>
        <w:t>yet</w:t>
      </w:r>
      <w:r w:rsidRPr="001C6225">
        <w:rPr>
          <w:rFonts w:ascii="Perpetua" w:hAnsi="Perpetua"/>
          <w:iCs/>
        </w:rPr>
        <w:t xml:space="preserve"> measured assessment.</w:t>
      </w:r>
      <w:r w:rsidRPr="001C6225">
        <w:rPr>
          <w:rStyle w:val="FootnoteReference"/>
          <w:rFonts w:ascii="Perpetua" w:hAnsi="Perpetua"/>
          <w:iCs/>
        </w:rPr>
        <w:footnoteReference w:id="120"/>
      </w:r>
      <w:r w:rsidRPr="001C6225">
        <w:rPr>
          <w:rFonts w:ascii="Perpetua" w:hAnsi="Perpetua"/>
          <w:iCs/>
        </w:rPr>
        <w:t xml:space="preserve">  The troublesome concept </w:t>
      </w:r>
      <w:r>
        <w:rPr>
          <w:rFonts w:ascii="Perpetua" w:hAnsi="Perpetua"/>
          <w:iCs/>
        </w:rPr>
        <w:t xml:space="preserve">(“IV”) </w:t>
      </w:r>
      <w:r w:rsidRPr="001C6225">
        <w:rPr>
          <w:rFonts w:ascii="Perpetua" w:hAnsi="Perpetua"/>
          <w:iCs/>
        </w:rPr>
        <w:t>salvaged because it can help us make sense of our attitudes to nature.</w:t>
      </w:r>
    </w:p>
    <w:p w14:paraId="7083FB0F" w14:textId="77777777" w:rsidR="009C34C2" w:rsidRDefault="009C34C2" w:rsidP="009C34C2">
      <w:pPr>
        <w:spacing w:line="480" w:lineRule="auto"/>
        <w:jc w:val="both"/>
        <w:rPr>
          <w:rFonts w:ascii="Perpetua" w:hAnsi="Perpetua"/>
          <w:iCs/>
        </w:rPr>
      </w:pPr>
      <w:r>
        <w:rPr>
          <w:rFonts w:ascii="Perpetua" w:hAnsi="Perpetua"/>
          <w:iCs/>
        </w:rPr>
        <w:lastRenderedPageBreak/>
        <w:t xml:space="preserve">McShane begins by noting how, in the </w:t>
      </w:r>
      <w:r w:rsidRPr="001C6225">
        <w:rPr>
          <w:rFonts w:ascii="Perpetua" w:hAnsi="Perpetua"/>
          <w:iCs/>
        </w:rPr>
        <w:t>wake of pragmatist criticism</w:t>
      </w:r>
      <w:r>
        <w:rPr>
          <w:rFonts w:ascii="Perpetua" w:hAnsi="Perpetua"/>
          <w:iCs/>
        </w:rPr>
        <w:t>,</w:t>
      </w:r>
      <w:r w:rsidRPr="001C6225">
        <w:rPr>
          <w:rFonts w:ascii="Perpetua" w:hAnsi="Perpetua"/>
          <w:iCs/>
        </w:rPr>
        <w:t xml:space="preserve"> </w:t>
      </w:r>
      <w:r>
        <w:rPr>
          <w:rFonts w:ascii="Perpetua" w:hAnsi="Perpetua"/>
          <w:iCs/>
        </w:rPr>
        <w:t>a</w:t>
      </w:r>
      <w:r w:rsidRPr="001C6225">
        <w:rPr>
          <w:rFonts w:ascii="Perpetua" w:hAnsi="Perpetua"/>
          <w:iCs/>
        </w:rPr>
        <w:t xml:space="preserve"> ‘growing consensus’ th</w:t>
      </w:r>
      <w:r>
        <w:rPr>
          <w:rFonts w:ascii="Perpetua" w:hAnsi="Perpetua"/>
          <w:iCs/>
        </w:rPr>
        <w:t>ought</w:t>
      </w:r>
      <w:r w:rsidRPr="001C6225">
        <w:rPr>
          <w:rFonts w:ascii="Perpetua" w:hAnsi="Perpetua"/>
          <w:iCs/>
        </w:rPr>
        <w:t xml:space="preserve"> the concept, once the ‘theoretical holy grail’ (a prerequisite for a new EE), spent.</w:t>
      </w:r>
      <w:r w:rsidRPr="001C6225">
        <w:rPr>
          <w:rStyle w:val="FootnoteReference"/>
          <w:rFonts w:ascii="Perpetua" w:hAnsi="Perpetua"/>
          <w:iCs/>
        </w:rPr>
        <w:footnoteReference w:id="121"/>
      </w:r>
      <w:r w:rsidRPr="001C6225">
        <w:rPr>
          <w:rFonts w:ascii="Perpetua" w:hAnsi="Perpetua"/>
          <w:iCs/>
        </w:rPr>
        <w:t xml:space="preserve">  </w:t>
      </w:r>
      <w:r>
        <w:rPr>
          <w:rFonts w:ascii="Perpetua" w:hAnsi="Perpetua"/>
          <w:iCs/>
        </w:rPr>
        <w:t>Although apparently persuasive, a</w:t>
      </w:r>
      <w:r w:rsidRPr="001C6225">
        <w:rPr>
          <w:rFonts w:ascii="Perpetua" w:hAnsi="Perpetua"/>
          <w:iCs/>
        </w:rPr>
        <w:t xml:space="preserve">ssessing </w:t>
      </w:r>
      <w:r>
        <w:rPr>
          <w:rFonts w:ascii="Perpetua" w:hAnsi="Perpetua"/>
          <w:iCs/>
        </w:rPr>
        <w:t>that</w:t>
      </w:r>
      <w:r w:rsidRPr="001C6225">
        <w:rPr>
          <w:rFonts w:ascii="Perpetua" w:hAnsi="Perpetua"/>
          <w:iCs/>
        </w:rPr>
        <w:t xml:space="preserve"> criticism </w:t>
      </w:r>
      <w:r>
        <w:rPr>
          <w:rFonts w:ascii="Perpetua" w:hAnsi="Perpetua"/>
          <w:iCs/>
        </w:rPr>
        <w:t>was not always</w:t>
      </w:r>
      <w:r w:rsidRPr="001C6225">
        <w:rPr>
          <w:rFonts w:ascii="Perpetua" w:hAnsi="Perpetua"/>
          <w:iCs/>
        </w:rPr>
        <w:t xml:space="preserve"> easy</w:t>
      </w:r>
      <w:r>
        <w:rPr>
          <w:rFonts w:ascii="Perpetua" w:hAnsi="Perpetua"/>
          <w:iCs/>
        </w:rPr>
        <w:t xml:space="preserve"> when ‘</w:t>
      </w:r>
      <w:r w:rsidRPr="001C6225">
        <w:rPr>
          <w:rFonts w:ascii="Perpetua" w:hAnsi="Perpetua"/>
          <w:iCs/>
        </w:rPr>
        <w:t>IV</w:t>
      </w:r>
      <w:r>
        <w:rPr>
          <w:rFonts w:ascii="Perpetua" w:hAnsi="Perpetua"/>
          <w:iCs/>
        </w:rPr>
        <w:t>’ was u</w:t>
      </w:r>
      <w:r w:rsidRPr="001C6225">
        <w:rPr>
          <w:rFonts w:ascii="Perpetua" w:hAnsi="Perpetua"/>
          <w:iCs/>
        </w:rPr>
        <w:t>sed variably ‘to refer to a number of very different ethical concepts’.</w:t>
      </w:r>
      <w:r>
        <w:rPr>
          <w:rStyle w:val="FootnoteReference"/>
          <w:rFonts w:ascii="Perpetua" w:hAnsi="Perpetua"/>
          <w:iCs/>
        </w:rPr>
        <w:footnoteReference w:id="122"/>
      </w:r>
      <w:r w:rsidRPr="001C6225">
        <w:rPr>
          <w:rFonts w:ascii="Perpetua" w:hAnsi="Perpetua"/>
          <w:iCs/>
        </w:rPr>
        <w:t xml:space="preserve"> As a welcome corrective, McShane groups them in four categories</w:t>
      </w:r>
      <w:r>
        <w:rPr>
          <w:rFonts w:ascii="Perpetua" w:hAnsi="Perpetua"/>
          <w:iCs/>
        </w:rPr>
        <w:t>.</w:t>
      </w:r>
    </w:p>
    <w:p w14:paraId="12435E8C" w14:textId="77777777" w:rsidR="009C34C2" w:rsidRDefault="009C34C2" w:rsidP="009C34C2">
      <w:pPr>
        <w:spacing w:line="480" w:lineRule="auto"/>
        <w:jc w:val="both"/>
        <w:rPr>
          <w:rFonts w:ascii="Perpetua" w:hAnsi="Perpetua"/>
          <w:iCs/>
        </w:rPr>
      </w:pPr>
    </w:p>
    <w:p w14:paraId="3D8ECA25" w14:textId="77777777" w:rsidR="009C34C2" w:rsidRPr="001C6225" w:rsidRDefault="009C34C2" w:rsidP="009C34C2">
      <w:pPr>
        <w:spacing w:line="480" w:lineRule="auto"/>
        <w:jc w:val="both"/>
        <w:rPr>
          <w:rFonts w:ascii="Perpetua" w:hAnsi="Perpetua"/>
          <w:iCs/>
        </w:rPr>
      </w:pPr>
      <w:r>
        <w:rPr>
          <w:rFonts w:ascii="Perpetua" w:hAnsi="Perpetua"/>
          <w:iCs/>
        </w:rPr>
        <w:t>Namely, ‘V</w:t>
      </w:r>
      <w:r w:rsidRPr="001C6225">
        <w:rPr>
          <w:rFonts w:ascii="Perpetua" w:hAnsi="Perpetua"/>
          <w:iCs/>
        </w:rPr>
        <w:t xml:space="preserve">iews according to which claims about the </w:t>
      </w:r>
      <w:r>
        <w:rPr>
          <w:rFonts w:ascii="Perpetua" w:hAnsi="Perpetua"/>
          <w:iCs/>
        </w:rPr>
        <w:t>IV</w:t>
      </w:r>
      <w:r w:rsidRPr="001C6225">
        <w:rPr>
          <w:rFonts w:ascii="Perpetua" w:hAnsi="Perpetua"/>
          <w:iCs/>
        </w:rPr>
        <w:t xml:space="preserve"> of X are claims about: (</w:t>
      </w:r>
      <w:proofErr w:type="spellStart"/>
      <w:r w:rsidRPr="001C6225">
        <w:rPr>
          <w:rFonts w:ascii="Perpetua" w:hAnsi="Perpetua"/>
          <w:iCs/>
        </w:rPr>
        <w:t>i</w:t>
      </w:r>
      <w:proofErr w:type="spellEnd"/>
      <w:r w:rsidRPr="001C6225">
        <w:rPr>
          <w:rFonts w:ascii="Perpetua" w:hAnsi="Perpetua"/>
          <w:iCs/>
        </w:rPr>
        <w:t xml:space="preserve">) the distinctive role X should play in moral decision making, (ii) the distinctive way it makes sense to care about X, (iii) which properties of </w:t>
      </w:r>
      <w:r>
        <w:rPr>
          <w:rFonts w:ascii="Perpetua" w:hAnsi="Perpetua"/>
          <w:iCs/>
        </w:rPr>
        <w:t>X</w:t>
      </w:r>
      <w:r w:rsidRPr="001C6225">
        <w:rPr>
          <w:rFonts w:ascii="Perpetua" w:hAnsi="Perpetua"/>
          <w:iCs/>
        </w:rPr>
        <w:t xml:space="preserve"> make it valuable (e.g. </w:t>
      </w:r>
      <w:r>
        <w:rPr>
          <w:rFonts w:ascii="Perpetua" w:hAnsi="Perpetua"/>
          <w:iCs/>
        </w:rPr>
        <w:t>its</w:t>
      </w:r>
      <w:r w:rsidRPr="001C6225">
        <w:rPr>
          <w:rFonts w:ascii="Perpetua" w:hAnsi="Perpetua"/>
          <w:iCs/>
        </w:rPr>
        <w:t xml:space="preserve"> intrinsic properties), and (iv) the metaphysical status of X’s value properties</w:t>
      </w:r>
      <w:r>
        <w:rPr>
          <w:rFonts w:ascii="Perpetua" w:hAnsi="Perpetua"/>
          <w:iCs/>
        </w:rPr>
        <w:t>’</w:t>
      </w:r>
      <w:r w:rsidRPr="001C6225">
        <w:rPr>
          <w:rFonts w:ascii="Perpetua" w:hAnsi="Perpetua"/>
          <w:iCs/>
        </w:rPr>
        <w:t>.</w:t>
      </w:r>
      <w:r w:rsidRPr="001C6225">
        <w:rPr>
          <w:rStyle w:val="FootnoteReference"/>
          <w:rFonts w:ascii="Perpetua" w:hAnsi="Perpetua"/>
          <w:iCs/>
        </w:rPr>
        <w:footnoteReference w:id="123"/>
      </w:r>
      <w:r w:rsidRPr="001C6225">
        <w:rPr>
          <w:rFonts w:ascii="Perpetua" w:hAnsi="Perpetua"/>
          <w:iCs/>
        </w:rPr>
        <w:t xml:space="preserve"> </w:t>
      </w:r>
    </w:p>
    <w:p w14:paraId="29EDCA81" w14:textId="77777777" w:rsidR="009C34C2" w:rsidRDefault="009C34C2" w:rsidP="009C34C2">
      <w:pPr>
        <w:spacing w:line="480" w:lineRule="auto"/>
        <w:jc w:val="both"/>
        <w:rPr>
          <w:rFonts w:ascii="Perpetua" w:hAnsi="Perpetua"/>
          <w:iCs/>
        </w:rPr>
      </w:pPr>
    </w:p>
    <w:p w14:paraId="227E8145" w14:textId="77777777" w:rsidR="009C34C2" w:rsidRDefault="009C34C2" w:rsidP="009C34C2">
      <w:pPr>
        <w:spacing w:line="480" w:lineRule="auto"/>
        <w:jc w:val="both"/>
        <w:rPr>
          <w:rFonts w:ascii="Perpetua" w:hAnsi="Perpetua"/>
          <w:iCs/>
        </w:rPr>
      </w:pPr>
      <w:r w:rsidRPr="001C6225">
        <w:rPr>
          <w:rFonts w:ascii="Perpetua" w:hAnsi="Perpetua"/>
          <w:iCs/>
        </w:rPr>
        <w:t>Group (</w:t>
      </w:r>
      <w:proofErr w:type="spellStart"/>
      <w:r w:rsidRPr="001C6225">
        <w:rPr>
          <w:rFonts w:ascii="Perpetua" w:hAnsi="Perpetua"/>
          <w:iCs/>
        </w:rPr>
        <w:t>i</w:t>
      </w:r>
      <w:proofErr w:type="spellEnd"/>
      <w:r w:rsidRPr="001C6225">
        <w:rPr>
          <w:rFonts w:ascii="Perpetua" w:hAnsi="Perpetua"/>
          <w:iCs/>
        </w:rPr>
        <w:t>) includes those who view intrinsically valuable things are those that have moral standing.</w:t>
      </w:r>
      <w:r w:rsidRPr="001C6225">
        <w:rPr>
          <w:rStyle w:val="FootnoteReference"/>
          <w:rFonts w:ascii="Perpetua" w:hAnsi="Perpetua"/>
          <w:iCs/>
        </w:rPr>
        <w:footnoteReference w:id="124"/>
      </w:r>
      <w:r w:rsidRPr="001C6225">
        <w:rPr>
          <w:rFonts w:ascii="Perpetua" w:hAnsi="Perpetua"/>
          <w:iCs/>
        </w:rPr>
        <w:t xml:space="preserve"> In (iv), the long shadow of G.E. Moore and claims that intrinsic value inheres in the thing which would still be valuable even if there were no valuers.</w:t>
      </w:r>
      <w:r>
        <w:rPr>
          <w:rStyle w:val="FootnoteReference"/>
          <w:rFonts w:ascii="Perpetua" w:hAnsi="Perpetua"/>
          <w:iCs/>
        </w:rPr>
        <w:footnoteReference w:id="125"/>
      </w:r>
      <w:r w:rsidRPr="001C6225">
        <w:rPr>
          <w:rFonts w:ascii="Perpetua" w:hAnsi="Perpetua"/>
          <w:iCs/>
        </w:rPr>
        <w:t xml:space="preserve"> </w:t>
      </w:r>
    </w:p>
    <w:p w14:paraId="6A31F5B4" w14:textId="77777777" w:rsidR="009C34C2" w:rsidRDefault="009C34C2" w:rsidP="009C34C2">
      <w:pPr>
        <w:spacing w:line="480" w:lineRule="auto"/>
        <w:jc w:val="both"/>
        <w:rPr>
          <w:rFonts w:ascii="Perpetua" w:hAnsi="Perpetua"/>
          <w:iCs/>
        </w:rPr>
      </w:pPr>
    </w:p>
    <w:p w14:paraId="19ABD8BA" w14:textId="77777777" w:rsidR="009C34C2" w:rsidRPr="001C6225" w:rsidRDefault="009C34C2" w:rsidP="009C34C2">
      <w:pPr>
        <w:spacing w:line="480" w:lineRule="auto"/>
        <w:jc w:val="both"/>
        <w:rPr>
          <w:rFonts w:ascii="Perpetua" w:hAnsi="Perpetua"/>
          <w:iCs/>
        </w:rPr>
      </w:pPr>
      <w:r w:rsidRPr="001C6225">
        <w:rPr>
          <w:rFonts w:ascii="Perpetua" w:hAnsi="Perpetua"/>
          <w:iCs/>
        </w:rPr>
        <w:t>It is (ii) that interests McShane. She claims it is (ii) which is ‘really at the core of EE’s interest’. She claims: (1) there is good reason to have (ii) in the conceptual repertoire and (2) it makes sense to attribute IV so defined to at least some parts of the natural world.</w:t>
      </w:r>
      <w:r w:rsidRPr="001C6225">
        <w:rPr>
          <w:rStyle w:val="FootnoteReference"/>
          <w:rFonts w:ascii="Perpetua" w:hAnsi="Perpetua"/>
          <w:iCs/>
        </w:rPr>
        <w:footnoteReference w:id="126"/>
      </w:r>
      <w:r w:rsidRPr="001C6225">
        <w:rPr>
          <w:rFonts w:ascii="Perpetua" w:hAnsi="Perpetua"/>
          <w:iCs/>
        </w:rPr>
        <w:t xml:space="preserve"> </w:t>
      </w:r>
    </w:p>
    <w:p w14:paraId="70A62558" w14:textId="77777777" w:rsidR="009C34C2" w:rsidRDefault="009C34C2" w:rsidP="009C34C2">
      <w:pPr>
        <w:spacing w:line="480" w:lineRule="auto"/>
        <w:jc w:val="both"/>
        <w:rPr>
          <w:rFonts w:ascii="Perpetua" w:hAnsi="Perpetua"/>
          <w:iCs/>
        </w:rPr>
      </w:pPr>
      <w:r w:rsidRPr="001C6225">
        <w:rPr>
          <w:rFonts w:ascii="Perpetua" w:hAnsi="Perpetua"/>
          <w:iCs/>
        </w:rPr>
        <w:lastRenderedPageBreak/>
        <w:t>McShane writes, ‘When we say that X is valuable…we are saying that X merits or deserves to be valued by valuers</w:t>
      </w:r>
      <w:r>
        <w:rPr>
          <w:rFonts w:ascii="Perpetua" w:hAnsi="Perpetua"/>
          <w:iCs/>
        </w:rPr>
        <w:t>.</w:t>
      </w:r>
      <w:r w:rsidRPr="001C6225">
        <w:rPr>
          <w:rFonts w:ascii="Perpetua" w:hAnsi="Perpetua"/>
          <w:iCs/>
        </w:rPr>
        <w:t>’</w:t>
      </w:r>
      <w:r w:rsidRPr="001C6225">
        <w:rPr>
          <w:rStyle w:val="FootnoteReference"/>
          <w:rFonts w:ascii="Perpetua" w:hAnsi="Perpetua"/>
          <w:iCs/>
        </w:rPr>
        <w:footnoteReference w:id="127"/>
      </w:r>
      <w:r w:rsidRPr="001C6225">
        <w:rPr>
          <w:rFonts w:ascii="Perpetua" w:hAnsi="Perpetua"/>
          <w:iCs/>
        </w:rPr>
        <w:t xml:space="preserve"> Although not named, this is </w:t>
      </w:r>
      <w:proofErr w:type="spellStart"/>
      <w:r w:rsidRPr="001C6225">
        <w:rPr>
          <w:rFonts w:ascii="Perpetua" w:hAnsi="Perpetua"/>
          <w:iCs/>
        </w:rPr>
        <w:t>neosentimentalism</w:t>
      </w:r>
      <w:proofErr w:type="spellEnd"/>
      <w:r w:rsidRPr="001C6225">
        <w:rPr>
          <w:rFonts w:ascii="Perpetua" w:hAnsi="Perpetua"/>
          <w:iCs/>
        </w:rPr>
        <w:t>.</w:t>
      </w:r>
      <w:r>
        <w:rPr>
          <w:rStyle w:val="FootnoteReference"/>
          <w:rFonts w:ascii="Perpetua" w:hAnsi="Perpetua"/>
          <w:iCs/>
        </w:rPr>
        <w:footnoteReference w:id="128"/>
      </w:r>
      <w:r w:rsidRPr="001C6225">
        <w:rPr>
          <w:rFonts w:ascii="Perpetua" w:hAnsi="Perpetua"/>
          <w:iCs/>
        </w:rPr>
        <w:t xml:space="preserve"> Our moral claims explained by appeal to warranted sentiments.</w:t>
      </w:r>
      <w:r w:rsidRPr="001C6225">
        <w:rPr>
          <w:rStyle w:val="FootnoteReference"/>
          <w:rFonts w:ascii="Perpetua" w:hAnsi="Perpetua"/>
          <w:iCs/>
        </w:rPr>
        <w:footnoteReference w:id="129"/>
      </w:r>
      <w:r w:rsidRPr="001C6225">
        <w:rPr>
          <w:rFonts w:ascii="Perpetua" w:hAnsi="Perpetua"/>
          <w:iCs/>
        </w:rPr>
        <w:t xml:space="preserve">  </w:t>
      </w:r>
    </w:p>
    <w:p w14:paraId="30F38FA4" w14:textId="77777777" w:rsidR="009C34C2" w:rsidRPr="001C6225" w:rsidRDefault="009C34C2" w:rsidP="009C34C2">
      <w:pPr>
        <w:spacing w:line="480" w:lineRule="auto"/>
        <w:jc w:val="both"/>
        <w:rPr>
          <w:rFonts w:ascii="Perpetua" w:hAnsi="Perpetua"/>
          <w:iCs/>
        </w:rPr>
      </w:pPr>
    </w:p>
    <w:p w14:paraId="0ADA44FF" w14:textId="77777777" w:rsidR="009C34C2" w:rsidRPr="001C6225" w:rsidRDefault="009C34C2" w:rsidP="009C34C2">
      <w:pPr>
        <w:spacing w:line="480" w:lineRule="auto"/>
        <w:jc w:val="both"/>
        <w:rPr>
          <w:rFonts w:ascii="Perpetua" w:hAnsi="Perpetua"/>
          <w:iCs/>
        </w:rPr>
      </w:pPr>
      <w:r>
        <w:rPr>
          <w:rFonts w:ascii="Perpetua" w:hAnsi="Perpetua"/>
          <w:iCs/>
        </w:rPr>
        <w:t>Our</w:t>
      </w:r>
      <w:r w:rsidRPr="001C6225">
        <w:rPr>
          <w:rFonts w:ascii="Perpetua" w:hAnsi="Perpetua"/>
          <w:iCs/>
        </w:rPr>
        <w:t xml:space="preserve"> attitudes, by some structural resemblance, divide into what McShane terms ‘intrinsic valuing attitudes’ and ‘extrinsic valuing attitudes’.</w:t>
      </w:r>
      <w:r w:rsidRPr="001C6225">
        <w:rPr>
          <w:rStyle w:val="FootnoteReference"/>
          <w:rFonts w:ascii="Perpetua" w:hAnsi="Perpetua"/>
          <w:iCs/>
        </w:rPr>
        <w:footnoteReference w:id="130"/>
      </w:r>
      <w:r w:rsidRPr="001C6225">
        <w:rPr>
          <w:rFonts w:ascii="Perpetua" w:hAnsi="Perpetua"/>
          <w:iCs/>
        </w:rPr>
        <w:t xml:space="preserve"> Love, with a ‘structure that looks an awful lot like intrinsic valuation’, is the paradigmatic intrinsically valuing attitude.</w:t>
      </w:r>
      <w:r w:rsidRPr="001C6225">
        <w:rPr>
          <w:rStyle w:val="FootnoteReference"/>
          <w:rFonts w:ascii="Perpetua" w:hAnsi="Perpetua"/>
          <w:iCs/>
        </w:rPr>
        <w:footnoteReference w:id="131"/>
      </w:r>
      <w:r w:rsidRPr="001C6225">
        <w:rPr>
          <w:rFonts w:ascii="Perpetua" w:hAnsi="Perpetua"/>
          <w:iCs/>
        </w:rPr>
        <w:t xml:space="preserve"> There is, therefore, </w:t>
      </w:r>
      <w:r>
        <w:rPr>
          <w:rFonts w:ascii="Perpetua" w:hAnsi="Perpetua"/>
          <w:iCs/>
        </w:rPr>
        <w:t xml:space="preserve">a </w:t>
      </w:r>
      <w:r w:rsidRPr="001C6225">
        <w:rPr>
          <w:rFonts w:ascii="Perpetua" w:hAnsi="Perpetua"/>
          <w:iCs/>
        </w:rPr>
        <w:t xml:space="preserve">good pragmatic reason to retain the concept. </w:t>
      </w:r>
      <w:r>
        <w:rPr>
          <w:rFonts w:ascii="Perpetua" w:hAnsi="Perpetua"/>
          <w:iCs/>
        </w:rPr>
        <w:t>It’s u</w:t>
      </w:r>
      <w:r w:rsidRPr="001C6225">
        <w:rPr>
          <w:rFonts w:ascii="Perpetua" w:hAnsi="Perpetua"/>
          <w:iCs/>
        </w:rPr>
        <w:t xml:space="preserve">seful to have when we have a lot of it. </w:t>
      </w:r>
      <w:r>
        <w:rPr>
          <w:rFonts w:ascii="Perpetua" w:hAnsi="Perpetua"/>
          <w:iCs/>
        </w:rPr>
        <w:t xml:space="preserve">Although such abundance and </w:t>
      </w:r>
      <w:r w:rsidRPr="001C6225">
        <w:rPr>
          <w:rFonts w:ascii="Perpetua" w:hAnsi="Perpetua"/>
          <w:iCs/>
        </w:rPr>
        <w:t xml:space="preserve">resemblance </w:t>
      </w:r>
      <w:proofErr w:type="gramStart"/>
      <w:r>
        <w:rPr>
          <w:rFonts w:ascii="Perpetua" w:hAnsi="Perpetua"/>
          <w:iCs/>
        </w:rPr>
        <w:t>does</w:t>
      </w:r>
      <w:proofErr w:type="gramEnd"/>
      <w:r>
        <w:rPr>
          <w:rFonts w:ascii="Perpetua" w:hAnsi="Perpetua"/>
          <w:iCs/>
        </w:rPr>
        <w:t xml:space="preserve"> seem </w:t>
      </w:r>
      <w:r w:rsidRPr="001C6225">
        <w:rPr>
          <w:rFonts w:ascii="Perpetua" w:hAnsi="Perpetua"/>
          <w:iCs/>
        </w:rPr>
        <w:t xml:space="preserve">inevitable </w:t>
      </w:r>
      <w:r>
        <w:rPr>
          <w:rFonts w:ascii="Perpetua" w:hAnsi="Perpetua"/>
          <w:iCs/>
        </w:rPr>
        <w:t>when</w:t>
      </w:r>
      <w:r w:rsidRPr="001C6225">
        <w:rPr>
          <w:rFonts w:ascii="Perpetua" w:hAnsi="Perpetua"/>
          <w:iCs/>
        </w:rPr>
        <w:t xml:space="preserve"> love </w:t>
      </w:r>
      <w:r>
        <w:rPr>
          <w:rFonts w:ascii="Perpetua" w:hAnsi="Perpetua"/>
          <w:iCs/>
        </w:rPr>
        <w:t>is described in its terms.  I doubt that many</w:t>
      </w:r>
      <w:r w:rsidRPr="001C6225">
        <w:rPr>
          <w:rFonts w:ascii="Perpetua" w:hAnsi="Perpetua"/>
          <w:iCs/>
        </w:rPr>
        <w:t xml:space="preserve">, even within the faculty, </w:t>
      </w:r>
      <w:r>
        <w:rPr>
          <w:rFonts w:ascii="Perpetua" w:hAnsi="Perpetua"/>
          <w:iCs/>
        </w:rPr>
        <w:t>ever think</w:t>
      </w:r>
      <w:r w:rsidRPr="001C6225">
        <w:rPr>
          <w:rFonts w:ascii="Perpetua" w:hAnsi="Perpetua"/>
          <w:iCs/>
        </w:rPr>
        <w:t xml:space="preserve"> about their love </w:t>
      </w:r>
      <w:r>
        <w:rPr>
          <w:rFonts w:ascii="Perpetua" w:hAnsi="Perpetua"/>
          <w:iCs/>
        </w:rPr>
        <w:t>of X as</w:t>
      </w:r>
      <w:r w:rsidRPr="001C6225">
        <w:rPr>
          <w:rFonts w:ascii="Perpetua" w:hAnsi="Perpetua"/>
          <w:iCs/>
        </w:rPr>
        <w:t xml:space="preserve"> valuing X as </w:t>
      </w:r>
      <w:r>
        <w:rPr>
          <w:rFonts w:ascii="Perpetua" w:hAnsi="Perpetua"/>
          <w:iCs/>
        </w:rPr>
        <w:t xml:space="preserve">a </w:t>
      </w:r>
      <w:proofErr w:type="gramStart"/>
      <w:r w:rsidRPr="001C6225">
        <w:rPr>
          <w:rFonts w:ascii="Perpetua" w:hAnsi="Perpetua"/>
          <w:iCs/>
        </w:rPr>
        <w:t>good in itself</w:t>
      </w:r>
      <w:proofErr w:type="gramEnd"/>
      <w:r w:rsidRPr="001C6225">
        <w:rPr>
          <w:rFonts w:ascii="Perpetua" w:hAnsi="Perpetua"/>
          <w:iCs/>
        </w:rPr>
        <w:t xml:space="preserve">. </w:t>
      </w:r>
      <w:r>
        <w:rPr>
          <w:rFonts w:ascii="Perpetua" w:hAnsi="Perpetua"/>
          <w:iCs/>
        </w:rPr>
        <w:t xml:space="preserve">Perhaps no such thoughts are </w:t>
      </w:r>
      <w:proofErr w:type="gramStart"/>
      <w:r>
        <w:rPr>
          <w:rFonts w:ascii="Perpetua" w:hAnsi="Perpetua"/>
          <w:iCs/>
        </w:rPr>
        <w:t>actually required</w:t>
      </w:r>
      <w:proofErr w:type="gramEnd"/>
      <w:r>
        <w:rPr>
          <w:rFonts w:ascii="Perpetua" w:hAnsi="Perpetua"/>
          <w:iCs/>
        </w:rPr>
        <w:t>. If not, we might have reason to pause when love does not just involve ‘seeing’ but ‘thinking of it’ (i.e. the object) as intrinsically valuable and IV is being retained because of its supposed conceptual utility.</w:t>
      </w:r>
      <w:r>
        <w:rPr>
          <w:rStyle w:val="FootnoteReference"/>
          <w:rFonts w:ascii="Perpetua" w:hAnsi="Perpetua"/>
          <w:iCs/>
        </w:rPr>
        <w:footnoteReference w:id="132"/>
      </w:r>
      <w:r>
        <w:rPr>
          <w:rFonts w:ascii="Perpetua" w:hAnsi="Perpetua"/>
          <w:iCs/>
        </w:rPr>
        <w:t xml:space="preserve"> Nonetheless, w</w:t>
      </w:r>
      <w:r w:rsidRPr="001C6225">
        <w:rPr>
          <w:rFonts w:ascii="Perpetua" w:hAnsi="Perpetua"/>
          <w:iCs/>
        </w:rPr>
        <w:t>e can grant the idea. No banality intended, it is probably right that when I don’t “love you for you” that something has gone wrong in the loving.</w:t>
      </w:r>
      <w:r w:rsidRPr="001C6225">
        <w:rPr>
          <w:rStyle w:val="FootnoteReference"/>
          <w:rFonts w:ascii="Perpetua" w:hAnsi="Perpetua"/>
          <w:iCs/>
        </w:rPr>
        <w:footnoteReference w:id="133"/>
      </w:r>
      <w:r w:rsidRPr="001C6225">
        <w:rPr>
          <w:rFonts w:ascii="Perpetua" w:hAnsi="Perpetua"/>
          <w:iCs/>
        </w:rPr>
        <w:t xml:space="preserve"> </w:t>
      </w:r>
    </w:p>
    <w:p w14:paraId="7295A9E0" w14:textId="77777777" w:rsidR="009C34C2" w:rsidRDefault="009C34C2" w:rsidP="009C34C2">
      <w:pPr>
        <w:spacing w:line="480" w:lineRule="auto"/>
        <w:jc w:val="both"/>
        <w:rPr>
          <w:rFonts w:ascii="Perpetua" w:hAnsi="Perpetua"/>
          <w:iCs/>
        </w:rPr>
      </w:pPr>
    </w:p>
    <w:p w14:paraId="72A2DBE6" w14:textId="3DC8EC63" w:rsidR="009C34C2" w:rsidRDefault="009C34C2" w:rsidP="009C34C2">
      <w:pPr>
        <w:spacing w:line="480" w:lineRule="auto"/>
        <w:jc w:val="both"/>
        <w:rPr>
          <w:rFonts w:ascii="Perpetua" w:hAnsi="Perpetua"/>
          <w:iCs/>
        </w:rPr>
      </w:pPr>
      <w:r w:rsidRPr="001C6225">
        <w:rPr>
          <w:rFonts w:ascii="Perpetua" w:hAnsi="Perpetua"/>
          <w:iCs/>
        </w:rPr>
        <w:t>What would we lose if we gave up the ‘idea’? McShane thinks rather a lot. Plausibly, ‘not very much’. Presumably, if we gave up IV we could still have love, value, language</w:t>
      </w:r>
      <w:r>
        <w:rPr>
          <w:rFonts w:ascii="Perpetua" w:hAnsi="Perpetua"/>
          <w:iCs/>
        </w:rPr>
        <w:t>…</w:t>
      </w:r>
      <w:r w:rsidRPr="001C6225">
        <w:rPr>
          <w:rFonts w:ascii="Perpetua" w:hAnsi="Perpetua"/>
          <w:iCs/>
        </w:rPr>
        <w:t xml:space="preserve">everything </w:t>
      </w:r>
      <w:r>
        <w:rPr>
          <w:rFonts w:ascii="Perpetua" w:hAnsi="Perpetua"/>
          <w:iCs/>
        </w:rPr>
        <w:t>else but IV</w:t>
      </w:r>
      <w:r w:rsidRPr="001C6225">
        <w:rPr>
          <w:rFonts w:ascii="Perpetua" w:hAnsi="Perpetua"/>
          <w:iCs/>
        </w:rPr>
        <w:t>.</w:t>
      </w:r>
      <w:r w:rsidRPr="001C6225">
        <w:rPr>
          <w:rStyle w:val="FootnoteReference"/>
          <w:rFonts w:ascii="Perpetua" w:hAnsi="Perpetua"/>
          <w:iCs/>
        </w:rPr>
        <w:footnoteReference w:id="134"/>
      </w:r>
      <w:r w:rsidRPr="001C6225">
        <w:rPr>
          <w:rFonts w:ascii="Perpetua" w:hAnsi="Perpetua"/>
          <w:iCs/>
        </w:rPr>
        <w:t xml:space="preserve"> The </w:t>
      </w:r>
      <w:r w:rsidRPr="001C6225">
        <w:rPr>
          <w:rFonts w:ascii="Perpetua" w:hAnsi="Perpetua"/>
          <w:iCs/>
        </w:rPr>
        <w:lastRenderedPageBreak/>
        <w:t xml:space="preserve">argument that follows is not easy to </w:t>
      </w:r>
      <w:r>
        <w:rPr>
          <w:rFonts w:ascii="Perpetua" w:hAnsi="Perpetua"/>
          <w:iCs/>
        </w:rPr>
        <w:t>grasp.</w:t>
      </w:r>
      <w:r w:rsidRPr="007E0944">
        <w:rPr>
          <w:rStyle w:val="FootnoteReference"/>
          <w:rFonts w:ascii="Perpetua" w:hAnsi="Perpetua"/>
          <w:iCs/>
        </w:rPr>
        <w:t xml:space="preserve"> </w:t>
      </w:r>
      <w:r w:rsidRPr="001C6225">
        <w:rPr>
          <w:rStyle w:val="FootnoteReference"/>
          <w:rFonts w:ascii="Perpetua" w:hAnsi="Perpetua"/>
          <w:iCs/>
        </w:rPr>
        <w:footnoteReference w:id="135"/>
      </w:r>
      <w:r w:rsidRPr="001C6225">
        <w:rPr>
          <w:rFonts w:ascii="Perpetua" w:hAnsi="Perpetua"/>
          <w:iCs/>
        </w:rPr>
        <w:t xml:space="preserve"> </w:t>
      </w:r>
      <w:r>
        <w:rPr>
          <w:rFonts w:ascii="Perpetua" w:hAnsi="Perpetua"/>
          <w:iCs/>
        </w:rPr>
        <w:t xml:space="preserve"> </w:t>
      </w:r>
      <w:r w:rsidRPr="001C6225">
        <w:rPr>
          <w:rFonts w:ascii="Perpetua" w:hAnsi="Perpetua"/>
          <w:iCs/>
        </w:rPr>
        <w:t xml:space="preserve">IV </w:t>
      </w:r>
      <w:r>
        <w:rPr>
          <w:rFonts w:ascii="Perpetua" w:hAnsi="Perpetua"/>
          <w:iCs/>
        </w:rPr>
        <w:t>(as ‘idea’) is</w:t>
      </w:r>
      <w:r w:rsidRPr="001C6225">
        <w:rPr>
          <w:rFonts w:ascii="Perpetua" w:hAnsi="Perpetua"/>
          <w:iCs/>
        </w:rPr>
        <w:t xml:space="preserve"> retained because, without it, loving X (which involves the thought that X has IV) </w:t>
      </w:r>
      <w:r w:rsidR="00F22CFD">
        <w:rPr>
          <w:rFonts w:ascii="Perpetua" w:hAnsi="Perpetua"/>
          <w:i/>
        </w:rPr>
        <w:t>if/</w:t>
      </w:r>
      <w:r>
        <w:rPr>
          <w:rFonts w:ascii="Perpetua" w:hAnsi="Perpetua"/>
          <w:i/>
        </w:rPr>
        <w:t>when nothing has</w:t>
      </w:r>
      <w:r w:rsidRPr="00CB4644">
        <w:rPr>
          <w:rFonts w:ascii="Perpetua" w:hAnsi="Perpetua"/>
          <w:i/>
        </w:rPr>
        <w:t xml:space="preserve"> IV</w:t>
      </w:r>
      <w:r>
        <w:rPr>
          <w:rFonts w:ascii="Perpetua" w:hAnsi="Perpetua"/>
          <w:iCs/>
        </w:rPr>
        <w:t>,</w:t>
      </w:r>
      <w:r w:rsidRPr="001C6225">
        <w:rPr>
          <w:rFonts w:ascii="Perpetua" w:hAnsi="Perpetua"/>
          <w:iCs/>
        </w:rPr>
        <w:t xml:space="preserve"> amounts to a kind of epistemic failure.</w:t>
      </w:r>
      <w:r>
        <w:rPr>
          <w:rFonts w:ascii="Perpetua" w:hAnsi="Perpetua"/>
          <w:iCs/>
        </w:rPr>
        <w:t xml:space="preserve"> W</w:t>
      </w:r>
      <w:r w:rsidRPr="001C6225">
        <w:rPr>
          <w:rFonts w:ascii="Perpetua" w:hAnsi="Perpetua"/>
          <w:iCs/>
        </w:rPr>
        <w:t>e might think ‘IV’ causes the confusion</w:t>
      </w:r>
      <w:r>
        <w:rPr>
          <w:rFonts w:ascii="Perpetua" w:hAnsi="Perpetua"/>
          <w:iCs/>
        </w:rPr>
        <w:t xml:space="preserve">. </w:t>
      </w:r>
      <w:proofErr w:type="gramStart"/>
      <w:r>
        <w:rPr>
          <w:rFonts w:ascii="Perpetua" w:hAnsi="Perpetua"/>
          <w:iCs/>
        </w:rPr>
        <w:t>Or,</w:t>
      </w:r>
      <w:proofErr w:type="gramEnd"/>
      <w:r>
        <w:rPr>
          <w:rFonts w:ascii="Perpetua" w:hAnsi="Perpetua"/>
          <w:iCs/>
        </w:rPr>
        <w:t xml:space="preserve"> think believing what we know to be false is not a mistake but an impossibility.</w:t>
      </w:r>
      <w:r w:rsidRPr="001C6225">
        <w:rPr>
          <w:rFonts w:ascii="Perpetua" w:hAnsi="Perpetua"/>
          <w:iCs/>
        </w:rPr>
        <w:t xml:space="preserve"> </w:t>
      </w:r>
    </w:p>
    <w:p w14:paraId="6CDB0B8D" w14:textId="77777777" w:rsidR="009C34C2" w:rsidRDefault="009C34C2" w:rsidP="009C34C2">
      <w:pPr>
        <w:spacing w:line="480" w:lineRule="auto"/>
        <w:jc w:val="both"/>
        <w:rPr>
          <w:rFonts w:ascii="Perpetua" w:hAnsi="Perpetua"/>
          <w:iCs/>
        </w:rPr>
      </w:pPr>
    </w:p>
    <w:p w14:paraId="2A5709F3" w14:textId="2964D5DC" w:rsidR="009C34C2" w:rsidRPr="001C6225" w:rsidRDefault="009C34C2" w:rsidP="009C34C2">
      <w:pPr>
        <w:spacing w:line="480" w:lineRule="auto"/>
        <w:jc w:val="both"/>
        <w:rPr>
          <w:rFonts w:ascii="Perpetua" w:hAnsi="Perpetua"/>
          <w:iCs/>
        </w:rPr>
      </w:pPr>
      <w:r w:rsidRPr="001C6225">
        <w:rPr>
          <w:rFonts w:ascii="Perpetua" w:hAnsi="Perpetua"/>
          <w:iCs/>
        </w:rPr>
        <w:t>McShane is expert at policing the boundaries of metaphysics</w:t>
      </w:r>
      <w:r>
        <w:rPr>
          <w:rFonts w:ascii="Perpetua" w:hAnsi="Perpetua"/>
          <w:iCs/>
        </w:rPr>
        <w:t>. Her thesis demarcates a space for it.</w:t>
      </w:r>
      <w:r w:rsidRPr="001C6225">
        <w:rPr>
          <w:rFonts w:ascii="Perpetua" w:hAnsi="Perpetua"/>
          <w:iCs/>
        </w:rPr>
        <w:t xml:space="preserve"> </w:t>
      </w:r>
      <w:r>
        <w:rPr>
          <w:rFonts w:ascii="Perpetua" w:hAnsi="Perpetua"/>
          <w:iCs/>
        </w:rPr>
        <w:t xml:space="preserve">Nonetheless, </w:t>
      </w:r>
      <w:r w:rsidRPr="001C6225">
        <w:rPr>
          <w:rFonts w:ascii="Perpetua" w:hAnsi="Perpetua"/>
          <w:iCs/>
        </w:rPr>
        <w:t>we do seem at the edge of metaphysical/epistemological spillover.</w:t>
      </w:r>
      <w:r>
        <w:rPr>
          <w:rFonts w:ascii="Perpetua" w:hAnsi="Perpetua"/>
          <w:iCs/>
        </w:rPr>
        <w:t xml:space="preserve"> </w:t>
      </w:r>
      <w:r w:rsidRPr="001C6225">
        <w:rPr>
          <w:rFonts w:ascii="Perpetua" w:hAnsi="Perpetua"/>
          <w:iCs/>
        </w:rPr>
        <w:t xml:space="preserve">McShane </w:t>
      </w:r>
      <w:r>
        <w:rPr>
          <w:rFonts w:ascii="Perpetua" w:hAnsi="Perpetua"/>
          <w:iCs/>
        </w:rPr>
        <w:t xml:space="preserve">is not immune from such criticism. Bryan Norton’s suggestion that McShane </w:t>
      </w:r>
      <w:r w:rsidRPr="001C6225">
        <w:rPr>
          <w:rFonts w:ascii="Perpetua" w:hAnsi="Perpetua"/>
          <w:iCs/>
        </w:rPr>
        <w:t xml:space="preserve">assumes </w:t>
      </w:r>
      <w:r>
        <w:rPr>
          <w:rFonts w:ascii="Perpetua" w:hAnsi="Perpetua"/>
          <w:iCs/>
        </w:rPr>
        <w:t>a tendentious distinction (</w:t>
      </w:r>
      <w:r w:rsidRPr="001C6225">
        <w:rPr>
          <w:rFonts w:ascii="Perpetua" w:hAnsi="Perpetua"/>
          <w:iCs/>
        </w:rPr>
        <w:t>intrinsic/instrumental</w:t>
      </w:r>
      <w:r>
        <w:rPr>
          <w:rFonts w:ascii="Perpetua" w:hAnsi="Perpetua"/>
          <w:iCs/>
        </w:rPr>
        <w:t>)</w:t>
      </w:r>
      <w:r w:rsidRPr="001C6225">
        <w:rPr>
          <w:rFonts w:ascii="Perpetua" w:hAnsi="Perpetua"/>
          <w:iCs/>
        </w:rPr>
        <w:t xml:space="preserve"> </w:t>
      </w:r>
      <w:r>
        <w:rPr>
          <w:rFonts w:ascii="Perpetua" w:hAnsi="Perpetua"/>
          <w:iCs/>
        </w:rPr>
        <w:t xml:space="preserve">which </w:t>
      </w:r>
      <w:r w:rsidRPr="001C6225">
        <w:rPr>
          <w:rFonts w:ascii="Perpetua" w:hAnsi="Perpetua"/>
          <w:iCs/>
        </w:rPr>
        <w:t>presupposes dualism</w:t>
      </w:r>
      <w:r>
        <w:rPr>
          <w:rFonts w:ascii="Perpetua" w:hAnsi="Perpetua"/>
          <w:iCs/>
        </w:rPr>
        <w:t xml:space="preserve"> has bite.</w:t>
      </w:r>
      <w:r>
        <w:rPr>
          <w:rStyle w:val="FootnoteReference"/>
          <w:rFonts w:ascii="Perpetua" w:hAnsi="Perpetua"/>
          <w:iCs/>
        </w:rPr>
        <w:footnoteReference w:id="136"/>
      </w:r>
      <w:r>
        <w:rPr>
          <w:rFonts w:ascii="Perpetua" w:hAnsi="Perpetua"/>
          <w:iCs/>
        </w:rPr>
        <w:t xml:space="preserve"> In any event, </w:t>
      </w:r>
      <w:proofErr w:type="spellStart"/>
      <w:r>
        <w:rPr>
          <w:rFonts w:ascii="Perpetua" w:hAnsi="Perpetua"/>
          <w:iCs/>
        </w:rPr>
        <w:t>neosentimentalism</w:t>
      </w:r>
      <w:proofErr w:type="spellEnd"/>
      <w:r>
        <w:rPr>
          <w:rFonts w:ascii="Perpetua" w:hAnsi="Perpetua"/>
          <w:iCs/>
        </w:rPr>
        <w:t xml:space="preserve"> will always still</w:t>
      </w:r>
      <w:r w:rsidRPr="001C6225">
        <w:rPr>
          <w:rFonts w:ascii="Perpetua" w:hAnsi="Perpetua"/>
          <w:iCs/>
        </w:rPr>
        <w:t xml:space="preserve"> need a way of evaluating/determining an attitude as merited by an object.</w:t>
      </w:r>
      <w:r w:rsidRPr="001C6225">
        <w:rPr>
          <w:rStyle w:val="FootnoteReference"/>
          <w:rFonts w:ascii="Perpetua" w:hAnsi="Perpetua"/>
          <w:iCs/>
        </w:rPr>
        <w:footnoteReference w:id="137"/>
      </w:r>
      <w:r w:rsidRPr="001C6225">
        <w:rPr>
          <w:rFonts w:ascii="Perpetua" w:hAnsi="Perpetua"/>
          <w:iCs/>
        </w:rPr>
        <w:t xml:space="preserve"> </w:t>
      </w:r>
    </w:p>
    <w:p w14:paraId="68256E24" w14:textId="77777777" w:rsidR="009C34C2" w:rsidRDefault="009C34C2" w:rsidP="009C34C2">
      <w:pPr>
        <w:spacing w:line="480" w:lineRule="auto"/>
        <w:jc w:val="both"/>
        <w:rPr>
          <w:rFonts w:ascii="Perpetua" w:hAnsi="Perpetua"/>
          <w:iCs/>
        </w:rPr>
      </w:pPr>
    </w:p>
    <w:p w14:paraId="7EFF4420" w14:textId="77777777" w:rsidR="009C34C2" w:rsidRDefault="009C34C2" w:rsidP="009C34C2">
      <w:pPr>
        <w:spacing w:line="480" w:lineRule="auto"/>
        <w:jc w:val="both"/>
        <w:rPr>
          <w:rFonts w:ascii="Perpetua" w:hAnsi="Perpetua"/>
          <w:iCs/>
        </w:rPr>
      </w:pPr>
      <w:r>
        <w:rPr>
          <w:rFonts w:ascii="Perpetua" w:hAnsi="Perpetua"/>
          <w:iCs/>
        </w:rPr>
        <w:t>The</w:t>
      </w:r>
      <w:r w:rsidRPr="001C6225">
        <w:rPr>
          <w:rFonts w:ascii="Perpetua" w:hAnsi="Perpetua"/>
          <w:iCs/>
        </w:rPr>
        <w:t xml:space="preserve"> pragmatist</w:t>
      </w:r>
      <w:r>
        <w:rPr>
          <w:rFonts w:ascii="Perpetua" w:hAnsi="Perpetua"/>
          <w:iCs/>
        </w:rPr>
        <w:t>’s</w:t>
      </w:r>
      <w:r w:rsidRPr="001C6225">
        <w:rPr>
          <w:rFonts w:ascii="Perpetua" w:hAnsi="Perpetua"/>
          <w:iCs/>
        </w:rPr>
        <w:t xml:space="preserve"> suggestion that we ought to value nature intrinsically </w:t>
      </w:r>
      <w:r>
        <w:rPr>
          <w:rFonts w:ascii="Perpetua" w:hAnsi="Perpetua"/>
          <w:iCs/>
        </w:rPr>
        <w:t>is rebuked for encouraging</w:t>
      </w:r>
      <w:r w:rsidRPr="001C6225">
        <w:rPr>
          <w:rFonts w:ascii="Perpetua" w:hAnsi="Perpetua"/>
          <w:iCs/>
        </w:rPr>
        <w:t xml:space="preserve"> self-deceit and hypocrisy.</w:t>
      </w:r>
      <w:r>
        <w:rPr>
          <w:rStyle w:val="FootnoteReference"/>
          <w:rFonts w:ascii="Perpetua" w:hAnsi="Perpetua"/>
          <w:iCs/>
        </w:rPr>
        <w:footnoteReference w:id="138"/>
      </w:r>
      <w:r w:rsidRPr="001C6225">
        <w:rPr>
          <w:rFonts w:ascii="Perpetua" w:hAnsi="Perpetua"/>
          <w:iCs/>
        </w:rPr>
        <w:t xml:space="preserve"> </w:t>
      </w:r>
      <w:r>
        <w:rPr>
          <w:rFonts w:ascii="Perpetua" w:hAnsi="Perpetua"/>
          <w:iCs/>
        </w:rPr>
        <w:t xml:space="preserve">Now, we might think there </w:t>
      </w:r>
      <w:r w:rsidRPr="001C6225">
        <w:rPr>
          <w:rFonts w:ascii="Perpetua" w:hAnsi="Perpetua"/>
          <w:iCs/>
        </w:rPr>
        <w:t>are plenty of philosophical positions that involve self-deception/hypocrisy.</w:t>
      </w:r>
      <w:r>
        <w:rPr>
          <w:rStyle w:val="FootnoteReference"/>
          <w:rFonts w:ascii="Perpetua" w:hAnsi="Perpetua"/>
          <w:iCs/>
        </w:rPr>
        <w:footnoteReference w:id="139"/>
      </w:r>
      <w:r>
        <w:rPr>
          <w:rFonts w:ascii="Perpetua" w:hAnsi="Perpetua"/>
          <w:iCs/>
        </w:rPr>
        <w:t xml:space="preserve"> Moreover, if we are not in error but </w:t>
      </w:r>
      <w:r>
        <w:rPr>
          <w:rFonts w:ascii="Perpetua" w:hAnsi="Perpetua"/>
          <w:i/>
        </w:rPr>
        <w:t xml:space="preserve">know </w:t>
      </w:r>
      <w:r>
        <w:rPr>
          <w:rFonts w:ascii="Perpetua" w:hAnsi="Perpetua"/>
          <w:iCs/>
        </w:rPr>
        <w:t xml:space="preserve">there is no IV and we are simply acting/thinking ‘as if…’ then there is neither. </w:t>
      </w:r>
      <w:r w:rsidRPr="001C6225">
        <w:rPr>
          <w:rFonts w:ascii="Perpetua" w:hAnsi="Perpetua"/>
          <w:iCs/>
        </w:rPr>
        <w:t>There is nothing inherently deceitful</w:t>
      </w:r>
      <w:r>
        <w:rPr>
          <w:rFonts w:ascii="Perpetua" w:hAnsi="Perpetua"/>
          <w:iCs/>
        </w:rPr>
        <w:t>/</w:t>
      </w:r>
      <w:r w:rsidRPr="001C6225">
        <w:rPr>
          <w:rFonts w:ascii="Perpetua" w:hAnsi="Perpetua"/>
          <w:iCs/>
        </w:rPr>
        <w:t xml:space="preserve">hypocritical about behaving ‘as if…’. or </w:t>
      </w:r>
      <w:proofErr w:type="gramStart"/>
      <w:r w:rsidRPr="001C6225">
        <w:rPr>
          <w:rFonts w:ascii="Perpetua" w:hAnsi="Perpetua"/>
          <w:iCs/>
        </w:rPr>
        <w:t>saying,  ‘</w:t>
      </w:r>
      <w:proofErr w:type="gramEnd"/>
      <w:r w:rsidRPr="001C6225">
        <w:rPr>
          <w:rFonts w:ascii="Perpetua" w:hAnsi="Perpetua"/>
          <w:iCs/>
        </w:rPr>
        <w:t>X ought to X as if…’</w:t>
      </w:r>
      <w:r>
        <w:rPr>
          <w:rFonts w:ascii="Perpetua" w:hAnsi="Perpetua"/>
          <w:iCs/>
        </w:rPr>
        <w:t xml:space="preserve">. </w:t>
      </w:r>
      <w:r w:rsidRPr="001C6225">
        <w:rPr>
          <w:rFonts w:ascii="Perpetua" w:hAnsi="Perpetua"/>
          <w:iCs/>
        </w:rPr>
        <w:t xml:space="preserve">There seems nothing wrong with, ‘you ought to love this orphan as if they were your own child’. </w:t>
      </w:r>
      <w:r>
        <w:rPr>
          <w:rFonts w:ascii="Perpetua" w:hAnsi="Perpetua"/>
          <w:iCs/>
        </w:rPr>
        <w:t>The conceptual (</w:t>
      </w:r>
      <w:proofErr w:type="spellStart"/>
      <w:r>
        <w:rPr>
          <w:rFonts w:ascii="Perpetua" w:hAnsi="Perpetua"/>
          <w:iCs/>
        </w:rPr>
        <w:t>im</w:t>
      </w:r>
      <w:proofErr w:type="spellEnd"/>
      <w:r>
        <w:rPr>
          <w:rFonts w:ascii="Perpetua" w:hAnsi="Perpetua"/>
          <w:iCs/>
        </w:rPr>
        <w:t xml:space="preserve">)possibility of valuing what we do not value may be the real issue here. </w:t>
      </w:r>
    </w:p>
    <w:p w14:paraId="21E572CB" w14:textId="77777777" w:rsidR="009C34C2" w:rsidRDefault="009C34C2" w:rsidP="009C34C2">
      <w:pPr>
        <w:spacing w:line="480" w:lineRule="auto"/>
        <w:jc w:val="both"/>
        <w:rPr>
          <w:rFonts w:ascii="Perpetua" w:hAnsi="Perpetua"/>
          <w:iCs/>
        </w:rPr>
      </w:pPr>
    </w:p>
    <w:p w14:paraId="7A719043" w14:textId="77777777" w:rsidR="009C34C2" w:rsidRDefault="009C34C2" w:rsidP="009C34C2">
      <w:pPr>
        <w:spacing w:line="480" w:lineRule="auto"/>
        <w:jc w:val="both"/>
        <w:rPr>
          <w:rFonts w:ascii="Perpetua" w:hAnsi="Perpetua"/>
          <w:iCs/>
        </w:rPr>
      </w:pPr>
      <w:r>
        <w:rPr>
          <w:rFonts w:ascii="Perpetua" w:hAnsi="Perpetua"/>
          <w:iCs/>
        </w:rPr>
        <w:t xml:space="preserve">Is it implicit that advice based on genuine false belief is preferable </w:t>
      </w:r>
      <w:r w:rsidRPr="001C6225">
        <w:rPr>
          <w:rFonts w:ascii="Perpetua" w:hAnsi="Perpetua"/>
          <w:iCs/>
        </w:rPr>
        <w:t>to the pragmatist</w:t>
      </w:r>
      <w:r>
        <w:rPr>
          <w:rFonts w:ascii="Perpetua" w:hAnsi="Perpetua"/>
          <w:iCs/>
        </w:rPr>
        <w:t>’s advice? This does not seem right. An emphasis on intention would accord with an agent-based sentimentalism. The familiar objections would apply.</w:t>
      </w:r>
      <w:r>
        <w:rPr>
          <w:rStyle w:val="FootnoteReference"/>
          <w:rFonts w:ascii="Perpetua" w:hAnsi="Perpetua"/>
          <w:iCs/>
        </w:rPr>
        <w:footnoteReference w:id="140"/>
      </w:r>
      <w:r>
        <w:rPr>
          <w:rFonts w:ascii="Perpetua" w:hAnsi="Perpetua"/>
          <w:iCs/>
        </w:rPr>
        <w:t xml:space="preserve"> If not preferable, s</w:t>
      </w:r>
      <w:r w:rsidRPr="001C6225">
        <w:rPr>
          <w:rFonts w:ascii="Perpetua" w:hAnsi="Perpetua"/>
          <w:iCs/>
        </w:rPr>
        <w:t>tate of mind seems not to matter.</w:t>
      </w:r>
      <w:r>
        <w:rPr>
          <w:rFonts w:ascii="Perpetua" w:hAnsi="Perpetua"/>
          <w:iCs/>
        </w:rPr>
        <w:t xml:space="preserve"> How would well-meaning advice compare with a </w:t>
      </w:r>
      <w:proofErr w:type="spellStart"/>
      <w:r>
        <w:rPr>
          <w:rFonts w:ascii="Perpetua" w:hAnsi="Perpetua"/>
          <w:iCs/>
        </w:rPr>
        <w:t>neosentimentalism</w:t>
      </w:r>
      <w:proofErr w:type="spellEnd"/>
      <w:r>
        <w:rPr>
          <w:rFonts w:ascii="Perpetua" w:hAnsi="Perpetua"/>
          <w:iCs/>
        </w:rPr>
        <w:t xml:space="preserve"> which retains IV because it is useful? </w:t>
      </w:r>
    </w:p>
    <w:p w14:paraId="71B85538" w14:textId="77777777" w:rsidR="009C34C2" w:rsidRPr="001C6225" w:rsidRDefault="009C34C2" w:rsidP="009C34C2">
      <w:pPr>
        <w:spacing w:line="480" w:lineRule="auto"/>
        <w:jc w:val="both"/>
        <w:rPr>
          <w:rFonts w:ascii="Perpetua" w:hAnsi="Perpetua"/>
          <w:iCs/>
        </w:rPr>
      </w:pPr>
    </w:p>
    <w:p w14:paraId="47AA415A" w14:textId="77777777" w:rsidR="009C34C2" w:rsidRDefault="009C34C2" w:rsidP="009C34C2">
      <w:pPr>
        <w:spacing w:line="480" w:lineRule="auto"/>
        <w:jc w:val="both"/>
        <w:rPr>
          <w:rFonts w:ascii="Perpetua" w:hAnsi="Perpetua"/>
          <w:iCs/>
        </w:rPr>
      </w:pPr>
      <w:r w:rsidRPr="001C6225">
        <w:rPr>
          <w:rFonts w:ascii="Perpetua" w:hAnsi="Perpetua"/>
          <w:iCs/>
        </w:rPr>
        <w:t xml:space="preserve">McShane’s survey of the pragmatist criticism is astute and balanced. Neither </w:t>
      </w:r>
      <w:proofErr w:type="spellStart"/>
      <w:r w:rsidRPr="001C6225">
        <w:rPr>
          <w:rFonts w:ascii="Perpetua" w:hAnsi="Perpetua"/>
          <w:iCs/>
        </w:rPr>
        <w:t>hyperatomisation</w:t>
      </w:r>
      <w:proofErr w:type="spellEnd"/>
      <w:r w:rsidRPr="001C6225">
        <w:rPr>
          <w:rFonts w:ascii="Perpetua" w:hAnsi="Perpetua"/>
          <w:iCs/>
        </w:rPr>
        <w:t xml:space="preserve"> nor denial of the individual can be sensible positions.</w:t>
      </w:r>
      <w:r>
        <w:rPr>
          <w:rStyle w:val="FootnoteReference"/>
          <w:rFonts w:ascii="Perpetua" w:hAnsi="Perpetua"/>
          <w:iCs/>
        </w:rPr>
        <w:footnoteReference w:id="141"/>
      </w:r>
      <w:r w:rsidRPr="001C6225">
        <w:rPr>
          <w:rFonts w:ascii="Perpetua" w:hAnsi="Perpetua"/>
          <w:iCs/>
        </w:rPr>
        <w:t xml:space="preserve"> Relations need relata. It’s a question of emphasis.</w:t>
      </w:r>
      <w:r>
        <w:rPr>
          <w:rStyle w:val="FootnoteReference"/>
          <w:rFonts w:ascii="Perpetua" w:hAnsi="Perpetua"/>
          <w:iCs/>
        </w:rPr>
        <w:footnoteReference w:id="142"/>
      </w:r>
      <w:r w:rsidRPr="001C6225">
        <w:rPr>
          <w:rFonts w:ascii="Perpetua" w:hAnsi="Perpetua"/>
          <w:iCs/>
        </w:rPr>
        <w:t xml:space="preserve"> </w:t>
      </w:r>
      <w:proofErr w:type="spellStart"/>
      <w:r>
        <w:rPr>
          <w:rFonts w:ascii="Perpetua" w:hAnsi="Perpetua"/>
          <w:iCs/>
        </w:rPr>
        <w:t>Neosentimentalism’s</w:t>
      </w:r>
      <w:proofErr w:type="spellEnd"/>
      <w:r>
        <w:rPr>
          <w:rFonts w:ascii="Perpetua" w:hAnsi="Perpetua"/>
          <w:iCs/>
        </w:rPr>
        <w:t xml:space="preserve"> metaethical independence avoids the troubling metaphysics.</w:t>
      </w:r>
      <w:r>
        <w:rPr>
          <w:rStyle w:val="FootnoteReference"/>
          <w:rFonts w:ascii="Perpetua" w:hAnsi="Perpetua"/>
          <w:iCs/>
        </w:rPr>
        <w:footnoteReference w:id="143"/>
      </w:r>
      <w:r>
        <w:rPr>
          <w:rFonts w:ascii="Perpetua" w:hAnsi="Perpetua"/>
          <w:iCs/>
        </w:rPr>
        <w:t xml:space="preserve"> </w:t>
      </w:r>
      <w:r w:rsidRPr="001C6225">
        <w:rPr>
          <w:rFonts w:ascii="Perpetua" w:hAnsi="Perpetua"/>
          <w:iCs/>
        </w:rPr>
        <w:t>The idea that two approaches might produce the same policies but there be a difference in attitudes/feelings is familiar and sound</w:t>
      </w:r>
      <w:r>
        <w:rPr>
          <w:rFonts w:ascii="Perpetua" w:hAnsi="Perpetua"/>
          <w:iCs/>
        </w:rPr>
        <w:t>. But</w:t>
      </w:r>
      <w:r w:rsidRPr="001C6225">
        <w:rPr>
          <w:rFonts w:ascii="Perpetua" w:hAnsi="Perpetua"/>
          <w:iCs/>
        </w:rPr>
        <w:t xml:space="preserve"> McShane</w:t>
      </w:r>
      <w:r>
        <w:rPr>
          <w:rFonts w:ascii="Perpetua" w:hAnsi="Perpetua"/>
          <w:iCs/>
        </w:rPr>
        <w:t>’s</w:t>
      </w:r>
      <w:r w:rsidRPr="001C6225">
        <w:rPr>
          <w:rFonts w:ascii="Perpetua" w:hAnsi="Perpetua"/>
          <w:iCs/>
        </w:rPr>
        <w:t xml:space="preserve"> claim</w:t>
      </w:r>
      <w:r>
        <w:rPr>
          <w:rFonts w:ascii="Perpetua" w:hAnsi="Perpetua"/>
          <w:iCs/>
        </w:rPr>
        <w:t xml:space="preserve"> is stronger.</w:t>
      </w:r>
      <w:r>
        <w:rPr>
          <w:rStyle w:val="FootnoteReference"/>
          <w:rFonts w:ascii="Perpetua" w:hAnsi="Perpetua"/>
          <w:iCs/>
        </w:rPr>
        <w:footnoteReference w:id="144"/>
      </w:r>
      <w:r>
        <w:rPr>
          <w:rFonts w:ascii="Perpetua" w:hAnsi="Perpetua"/>
          <w:iCs/>
        </w:rPr>
        <w:t xml:space="preserve"> Surely,</w:t>
      </w:r>
      <w:r w:rsidRPr="001C6225">
        <w:rPr>
          <w:rFonts w:ascii="Perpetua" w:hAnsi="Perpetua"/>
          <w:iCs/>
        </w:rPr>
        <w:t xml:space="preserve"> </w:t>
      </w:r>
      <w:r>
        <w:rPr>
          <w:rFonts w:ascii="Perpetua" w:hAnsi="Perpetua"/>
          <w:iCs/>
        </w:rPr>
        <w:t xml:space="preserve">WA can refer to </w:t>
      </w:r>
      <w:r>
        <w:rPr>
          <w:rFonts w:ascii="Perpetua" w:hAnsi="Perpetua"/>
          <w:i/>
        </w:rPr>
        <w:t>considered</w:t>
      </w:r>
      <w:r w:rsidRPr="001C6225">
        <w:rPr>
          <w:rFonts w:ascii="Perpetua" w:hAnsi="Perpetua"/>
          <w:iCs/>
        </w:rPr>
        <w:t xml:space="preserve"> </w:t>
      </w:r>
      <w:r>
        <w:rPr>
          <w:rFonts w:ascii="Perpetua" w:hAnsi="Perpetua"/>
          <w:iCs/>
        </w:rPr>
        <w:t xml:space="preserve">interests and </w:t>
      </w:r>
      <w:r w:rsidRPr="001C6225">
        <w:rPr>
          <w:rFonts w:ascii="Perpetua" w:hAnsi="Perpetua"/>
          <w:iCs/>
          <w:u w:val="single"/>
        </w:rPr>
        <w:t>not</w:t>
      </w:r>
      <w:r w:rsidRPr="00D11B2B">
        <w:rPr>
          <w:rFonts w:ascii="Perpetua" w:hAnsi="Perpetua"/>
          <w:iCs/>
        </w:rPr>
        <w:t xml:space="preserve"> </w:t>
      </w:r>
      <w:r>
        <w:rPr>
          <w:rFonts w:ascii="Perpetua" w:hAnsi="Perpetua"/>
          <w:iCs/>
        </w:rPr>
        <w:t>perpetuate a mistake</w:t>
      </w:r>
      <w:r w:rsidRPr="001C6225">
        <w:rPr>
          <w:rFonts w:ascii="Perpetua" w:hAnsi="Perpetua"/>
          <w:iCs/>
        </w:rPr>
        <w:t xml:space="preserve">. </w:t>
      </w:r>
      <w:r>
        <w:rPr>
          <w:rFonts w:ascii="Perpetua" w:hAnsi="Perpetua"/>
          <w:iCs/>
        </w:rPr>
        <w:t xml:space="preserve">Can the weak </w:t>
      </w:r>
      <w:proofErr w:type="spellStart"/>
      <w:r>
        <w:rPr>
          <w:rFonts w:ascii="Perpetua" w:hAnsi="Perpetua"/>
          <w:iCs/>
        </w:rPr>
        <w:t>anthropocentrist</w:t>
      </w:r>
      <w:proofErr w:type="spellEnd"/>
      <w:r>
        <w:rPr>
          <w:rFonts w:ascii="Perpetua" w:hAnsi="Perpetua"/>
          <w:iCs/>
        </w:rPr>
        <w:t xml:space="preserve"> not feel love?</w:t>
      </w:r>
      <w:r>
        <w:rPr>
          <w:rStyle w:val="FootnoteReference"/>
          <w:rFonts w:ascii="Perpetua" w:hAnsi="Perpetua"/>
          <w:iCs/>
        </w:rPr>
        <w:footnoteReference w:id="145"/>
      </w:r>
      <w:r>
        <w:rPr>
          <w:rFonts w:ascii="Perpetua" w:hAnsi="Perpetua"/>
          <w:iCs/>
        </w:rPr>
        <w:t xml:space="preserve"> </w:t>
      </w:r>
    </w:p>
    <w:p w14:paraId="6999E4D9" w14:textId="77777777" w:rsidR="009C34C2" w:rsidRPr="001C6225" w:rsidRDefault="009C34C2" w:rsidP="009C34C2">
      <w:pPr>
        <w:spacing w:line="480" w:lineRule="auto"/>
        <w:jc w:val="both"/>
        <w:rPr>
          <w:rFonts w:ascii="Perpetua" w:hAnsi="Perpetua"/>
          <w:iCs/>
        </w:rPr>
      </w:pPr>
    </w:p>
    <w:p w14:paraId="4FED39CA" w14:textId="77777777" w:rsidR="009C34C2" w:rsidRPr="00837609" w:rsidRDefault="009C34C2" w:rsidP="009C34C2">
      <w:pPr>
        <w:spacing w:line="480" w:lineRule="auto"/>
        <w:jc w:val="both"/>
        <w:rPr>
          <w:rFonts w:ascii="Perpetua" w:hAnsi="Perpetua"/>
          <w:iCs/>
        </w:rPr>
      </w:pPr>
      <w:r w:rsidRPr="001C6225">
        <w:rPr>
          <w:rFonts w:ascii="Perpetua" w:hAnsi="Perpetua"/>
          <w:iCs/>
        </w:rPr>
        <w:t>McShane</w:t>
      </w:r>
      <w:r>
        <w:rPr>
          <w:rFonts w:ascii="Perpetua" w:hAnsi="Perpetua"/>
          <w:iCs/>
        </w:rPr>
        <w:t xml:space="preserve"> concludes</w:t>
      </w:r>
      <w:r w:rsidRPr="001C6225">
        <w:rPr>
          <w:rFonts w:ascii="Perpetua" w:hAnsi="Perpetua"/>
          <w:iCs/>
        </w:rPr>
        <w:t xml:space="preserve"> that IV </w:t>
      </w:r>
      <w:r>
        <w:rPr>
          <w:rFonts w:ascii="Perpetua" w:hAnsi="Perpetua"/>
          <w:iCs/>
        </w:rPr>
        <w:t>plays</w:t>
      </w:r>
      <w:r w:rsidRPr="001C6225">
        <w:rPr>
          <w:rFonts w:ascii="Perpetua" w:hAnsi="Perpetua"/>
          <w:iCs/>
        </w:rPr>
        <w:t xml:space="preserve"> a ‘critical</w:t>
      </w:r>
      <w:r>
        <w:rPr>
          <w:rFonts w:ascii="Perpetua" w:hAnsi="Perpetua"/>
          <w:iCs/>
        </w:rPr>
        <w:t>’ explanatory</w:t>
      </w:r>
      <w:r w:rsidRPr="001C6225">
        <w:rPr>
          <w:rFonts w:ascii="Perpetua" w:hAnsi="Perpetua"/>
          <w:iCs/>
        </w:rPr>
        <w:t xml:space="preserve"> role </w:t>
      </w:r>
      <w:r>
        <w:rPr>
          <w:rFonts w:ascii="Perpetua" w:hAnsi="Perpetua"/>
          <w:iCs/>
        </w:rPr>
        <w:t xml:space="preserve">and ‘useful’ normative role and this seems </w:t>
      </w:r>
      <w:r w:rsidRPr="00837609">
        <w:rPr>
          <w:rFonts w:ascii="Perpetua" w:hAnsi="Perpetua"/>
          <w:iCs/>
        </w:rPr>
        <w:t xml:space="preserve">correct. Whether IV is </w:t>
      </w:r>
      <w:r w:rsidRPr="00837609">
        <w:rPr>
          <w:rFonts w:ascii="Perpetua" w:hAnsi="Perpetua"/>
          <w:i/>
        </w:rPr>
        <w:t>necessary</w:t>
      </w:r>
      <w:r w:rsidRPr="00837609">
        <w:rPr>
          <w:rFonts w:ascii="Perpetua" w:hAnsi="Perpetua"/>
          <w:iCs/>
        </w:rPr>
        <w:t>, however, is left unresolved and it was IV’s lack of necessity that motivated much of the pragmatist critique.</w:t>
      </w:r>
      <w:r w:rsidRPr="00837609">
        <w:rPr>
          <w:rStyle w:val="FootnoteReference"/>
          <w:rFonts w:ascii="Perpetua" w:hAnsi="Perpetua"/>
          <w:iCs/>
        </w:rPr>
        <w:footnoteReference w:id="146"/>
      </w:r>
      <w:r w:rsidRPr="00837609">
        <w:rPr>
          <w:rFonts w:ascii="Perpetua" w:hAnsi="Perpetua"/>
          <w:iCs/>
        </w:rPr>
        <w:t xml:space="preserve">  </w:t>
      </w:r>
    </w:p>
    <w:p w14:paraId="5ACED5DE" w14:textId="77777777" w:rsidR="009C34C2" w:rsidRPr="00837609" w:rsidRDefault="009C34C2" w:rsidP="009C34C2">
      <w:pPr>
        <w:jc w:val="both"/>
        <w:rPr>
          <w:rFonts w:ascii="Perpetua" w:hAnsi="Perpetua"/>
          <w:iCs/>
        </w:rPr>
      </w:pPr>
    </w:p>
    <w:p w14:paraId="4BEF9D89" w14:textId="77777777" w:rsidR="009C34C2" w:rsidRDefault="009C34C2" w:rsidP="009C34C2">
      <w:pPr>
        <w:jc w:val="both"/>
        <w:rPr>
          <w:rFonts w:ascii="Perpetua" w:hAnsi="Perpetua"/>
          <w:iCs/>
        </w:rPr>
      </w:pPr>
      <w:r w:rsidRPr="00837609">
        <w:rPr>
          <w:rFonts w:ascii="Perpetua" w:hAnsi="Perpetua"/>
          <w:iCs/>
        </w:rPr>
        <w:t>Word Count (excluding title and footnotes): 992.</w:t>
      </w:r>
    </w:p>
    <w:p w14:paraId="210839A1" w14:textId="577CA778" w:rsidR="00F22CFD" w:rsidRPr="00837609" w:rsidRDefault="00F22CFD" w:rsidP="009C34C2">
      <w:pPr>
        <w:jc w:val="both"/>
        <w:rPr>
          <w:rFonts w:ascii="Perpetua" w:hAnsi="Perpetua"/>
          <w:iCs/>
        </w:rPr>
      </w:pPr>
    </w:p>
    <w:p w14:paraId="3F179A5C" w14:textId="2AA6898D" w:rsidR="0046390E" w:rsidRDefault="0046390E">
      <w:r>
        <w:br w:type="page"/>
      </w:r>
    </w:p>
    <w:p w14:paraId="5A0366C7" w14:textId="77777777" w:rsidR="0046390E" w:rsidRPr="00FC677E" w:rsidRDefault="0046390E" w:rsidP="0046390E">
      <w:pPr>
        <w:pStyle w:val="FootnoteText"/>
        <w:rPr>
          <w:rFonts w:ascii="Perpetua" w:hAnsi="Perpetua"/>
          <w:sz w:val="24"/>
          <w:szCs w:val="24"/>
        </w:rPr>
      </w:pPr>
    </w:p>
    <w:p w14:paraId="4F8AD4A8" w14:textId="77777777" w:rsidR="0046390E" w:rsidRPr="00595AC7" w:rsidRDefault="0046390E" w:rsidP="0046390E">
      <w:pPr>
        <w:jc w:val="both"/>
        <w:rPr>
          <w:rFonts w:ascii="Perpetua" w:hAnsi="Perpetua"/>
          <w:b/>
          <w:bCs/>
          <w:u w:val="single"/>
        </w:rPr>
      </w:pPr>
      <w:r w:rsidRPr="00595AC7">
        <w:rPr>
          <w:rFonts w:ascii="Perpetua" w:hAnsi="Perpetua"/>
          <w:b/>
          <w:bCs/>
          <w:u w:val="single"/>
        </w:rPr>
        <w:t>Referenced Works</w:t>
      </w:r>
    </w:p>
    <w:p w14:paraId="1C0D0E3F" w14:textId="77777777" w:rsidR="0046390E" w:rsidRPr="00FC677E" w:rsidRDefault="0046390E" w:rsidP="0046390E">
      <w:pPr>
        <w:jc w:val="both"/>
        <w:rPr>
          <w:rFonts w:ascii="Perpetua" w:hAnsi="Perpetua"/>
        </w:rPr>
      </w:pPr>
    </w:p>
    <w:p w14:paraId="3BE838DD" w14:textId="77777777" w:rsidR="0046390E" w:rsidRPr="00595AC7" w:rsidRDefault="0046390E" w:rsidP="0046390E">
      <w:pPr>
        <w:pStyle w:val="FootnoteText"/>
        <w:jc w:val="both"/>
        <w:rPr>
          <w:rFonts w:ascii="Perpetua" w:hAnsi="Perpetua"/>
          <w:color w:val="1A1A1A"/>
          <w:sz w:val="24"/>
          <w:szCs w:val="24"/>
          <w:shd w:val="clear" w:color="auto" w:fill="FFFFFF"/>
        </w:rPr>
      </w:pPr>
      <w:r w:rsidRPr="00FC677E">
        <w:rPr>
          <w:rFonts w:ascii="Perpetua" w:hAnsi="Perpetua"/>
          <w:color w:val="1A1A1A"/>
          <w:sz w:val="24"/>
          <w:szCs w:val="24"/>
          <w:shd w:val="clear" w:color="auto" w:fill="FFFFFF"/>
        </w:rPr>
        <w:t xml:space="preserve">Anscombe, G.E.M. </w:t>
      </w:r>
      <w:r>
        <w:rPr>
          <w:rFonts w:ascii="Perpetua" w:hAnsi="Perpetua"/>
          <w:color w:val="1A1A1A"/>
          <w:sz w:val="24"/>
          <w:szCs w:val="24"/>
          <w:shd w:val="clear" w:color="auto" w:fill="FFFFFF"/>
        </w:rPr>
        <w:tab/>
      </w:r>
      <w:r>
        <w:rPr>
          <w:rFonts w:ascii="Perpetua" w:hAnsi="Perpetua"/>
          <w:color w:val="1A1A1A"/>
          <w:sz w:val="24"/>
          <w:szCs w:val="24"/>
          <w:shd w:val="clear" w:color="auto" w:fill="FFFFFF"/>
        </w:rPr>
        <w:tab/>
        <w:t>‘</w:t>
      </w:r>
      <w:r w:rsidRPr="00FC677E">
        <w:rPr>
          <w:rFonts w:ascii="Perpetua" w:hAnsi="Perpetua"/>
          <w:color w:val="1A1A1A"/>
          <w:sz w:val="24"/>
          <w:szCs w:val="24"/>
          <w:shd w:val="clear" w:color="auto" w:fill="FFFFFF"/>
        </w:rPr>
        <w:t>Modern Moral Philosophy’</w:t>
      </w:r>
      <w:r>
        <w:rPr>
          <w:rFonts w:ascii="Perpetua" w:hAnsi="Perpetua"/>
          <w:color w:val="1A1A1A"/>
          <w:sz w:val="24"/>
          <w:szCs w:val="24"/>
          <w:shd w:val="clear" w:color="auto" w:fill="FFFFFF"/>
        </w:rPr>
        <w:t xml:space="preserve">, </w:t>
      </w:r>
      <w:r w:rsidRPr="00FC677E">
        <w:rPr>
          <w:rStyle w:val="Emphasis"/>
          <w:rFonts w:ascii="Perpetua" w:hAnsi="Perpetua"/>
          <w:color w:val="1A1A1A"/>
          <w:sz w:val="24"/>
          <w:szCs w:val="24"/>
          <w:shd w:val="clear" w:color="auto" w:fill="FFFFFF"/>
        </w:rPr>
        <w:t>Philosophy</w:t>
      </w:r>
      <w:r w:rsidRPr="00FC677E">
        <w:rPr>
          <w:rFonts w:ascii="Perpetua" w:hAnsi="Perpetua"/>
          <w:color w:val="1A1A1A"/>
          <w:sz w:val="24"/>
          <w:szCs w:val="24"/>
          <w:shd w:val="clear" w:color="auto" w:fill="FFFFFF"/>
        </w:rPr>
        <w:t>, 33(124) (1958), pp. 1–19</w:t>
      </w:r>
      <w:r>
        <w:rPr>
          <w:rFonts w:ascii="Perpetua" w:hAnsi="Perpetua"/>
          <w:color w:val="1A1A1A"/>
          <w:sz w:val="24"/>
          <w:szCs w:val="24"/>
          <w:shd w:val="clear" w:color="auto" w:fill="FFFFFF"/>
        </w:rPr>
        <w:t>.</w:t>
      </w:r>
    </w:p>
    <w:p w14:paraId="56DA560B" w14:textId="77777777" w:rsidR="0046390E" w:rsidRPr="00FC677E" w:rsidRDefault="0046390E" w:rsidP="0046390E">
      <w:pPr>
        <w:pStyle w:val="ListParagraph"/>
        <w:ind w:left="2880" w:hanging="2160"/>
        <w:jc w:val="both"/>
        <w:rPr>
          <w:rFonts w:ascii="Perpetua" w:hAnsi="Perpetua"/>
        </w:rPr>
      </w:pPr>
    </w:p>
    <w:p w14:paraId="1123C315" w14:textId="77777777" w:rsidR="0046390E" w:rsidRPr="00595AC7" w:rsidRDefault="0046390E" w:rsidP="0046390E">
      <w:pPr>
        <w:ind w:left="2160" w:hanging="2160"/>
        <w:jc w:val="both"/>
        <w:rPr>
          <w:rFonts w:ascii="Perpetua" w:hAnsi="Perpetua"/>
        </w:rPr>
      </w:pPr>
      <w:r w:rsidRPr="00595AC7">
        <w:rPr>
          <w:rFonts w:ascii="Perpetua" w:hAnsi="Perpetua"/>
        </w:rPr>
        <w:t>Attfield, R.</w:t>
      </w:r>
      <w:r w:rsidRPr="00595AC7">
        <w:rPr>
          <w:rFonts w:ascii="Perpetua" w:hAnsi="Perpetua"/>
        </w:rPr>
        <w:tab/>
      </w:r>
      <w:r>
        <w:rPr>
          <w:rFonts w:ascii="Perpetua" w:hAnsi="Perpetua"/>
        </w:rPr>
        <w:tab/>
      </w:r>
      <w:r w:rsidRPr="00595AC7">
        <w:rPr>
          <w:rFonts w:ascii="Perpetua" w:hAnsi="Perpetua"/>
          <w:i/>
          <w:iCs/>
        </w:rPr>
        <w:t>Environmental Philosophy: Principles and Prospects</w:t>
      </w:r>
      <w:r w:rsidRPr="00595AC7">
        <w:rPr>
          <w:rFonts w:ascii="Perpetua" w:hAnsi="Perpetua"/>
        </w:rPr>
        <w:t xml:space="preserve"> (Aldershot: </w:t>
      </w:r>
      <w:proofErr w:type="spellStart"/>
      <w:r w:rsidRPr="00595AC7">
        <w:rPr>
          <w:rFonts w:ascii="Perpetua" w:hAnsi="Perpetua"/>
        </w:rPr>
        <w:t>Averbury</w:t>
      </w:r>
      <w:proofErr w:type="spellEnd"/>
      <w:r w:rsidRPr="00595AC7">
        <w:rPr>
          <w:rFonts w:ascii="Perpetua" w:hAnsi="Perpetua"/>
        </w:rPr>
        <w:t xml:space="preserve">, </w:t>
      </w:r>
      <w:r>
        <w:rPr>
          <w:rFonts w:ascii="Perpetua" w:hAnsi="Perpetua"/>
        </w:rPr>
        <w:tab/>
      </w:r>
      <w:r w:rsidRPr="00595AC7">
        <w:rPr>
          <w:rFonts w:ascii="Perpetua" w:hAnsi="Perpetua"/>
        </w:rPr>
        <w:t>1994)</w:t>
      </w:r>
    </w:p>
    <w:p w14:paraId="23FFC35D" w14:textId="77777777" w:rsidR="0046390E" w:rsidRPr="00595AC7" w:rsidRDefault="0046390E" w:rsidP="0046390E">
      <w:pPr>
        <w:ind w:left="2880" w:hanging="2880"/>
        <w:jc w:val="both"/>
        <w:rPr>
          <w:rStyle w:val="contributors"/>
          <w:rFonts w:ascii="Perpetua" w:hAnsi="Perpetua"/>
          <w:color w:val="2A2A2A"/>
          <w:bdr w:val="none" w:sz="0" w:space="0" w:color="auto" w:frame="1"/>
          <w:shd w:val="clear" w:color="auto" w:fill="FFFFFF"/>
        </w:rPr>
      </w:pPr>
      <w:r w:rsidRPr="00595AC7">
        <w:rPr>
          <w:rFonts w:ascii="Perpetua" w:hAnsi="Perpetua"/>
        </w:rPr>
        <w:t xml:space="preserve">Attfield, R. </w:t>
      </w:r>
      <w:r w:rsidRPr="00595AC7">
        <w:rPr>
          <w:rFonts w:ascii="Perpetua" w:hAnsi="Perpetua"/>
        </w:rPr>
        <w:tab/>
      </w:r>
      <w:r w:rsidRPr="00595AC7">
        <w:rPr>
          <w:rFonts w:ascii="Perpetua" w:hAnsi="Perpetua"/>
          <w:i/>
          <w:iCs/>
        </w:rPr>
        <w:t xml:space="preserve">Environmental Ethics </w:t>
      </w:r>
      <w:r w:rsidRPr="00595AC7">
        <w:rPr>
          <w:rFonts w:ascii="Perpetua" w:hAnsi="Perpetua"/>
        </w:rPr>
        <w:t xml:space="preserve">(Second Edition: Fully Revised </w:t>
      </w:r>
      <w:r w:rsidRPr="00595AC7">
        <w:rPr>
          <w:rFonts w:ascii="Perpetua" w:hAnsi="Perpetua"/>
        </w:rPr>
        <w:tab/>
        <w:t>and Expanded), (Cambridge: Polity,</w:t>
      </w:r>
      <w:r>
        <w:rPr>
          <w:rFonts w:ascii="Perpetua" w:hAnsi="Perpetua"/>
        </w:rPr>
        <w:t xml:space="preserve"> </w:t>
      </w:r>
      <w:r w:rsidRPr="00595AC7">
        <w:rPr>
          <w:rFonts w:ascii="Perpetua" w:hAnsi="Perpetua"/>
        </w:rPr>
        <w:t>2014).</w:t>
      </w:r>
    </w:p>
    <w:p w14:paraId="25F68C3F" w14:textId="77777777" w:rsidR="0046390E" w:rsidRPr="00FC677E" w:rsidRDefault="0046390E" w:rsidP="0046390E">
      <w:pPr>
        <w:pStyle w:val="ListParagraph"/>
        <w:ind w:left="3600" w:hanging="2880"/>
        <w:jc w:val="both"/>
        <w:rPr>
          <w:rStyle w:val="contributors"/>
          <w:rFonts w:ascii="Perpetua" w:hAnsi="Perpetua"/>
          <w:color w:val="2A2A2A"/>
          <w:bdr w:val="none" w:sz="0" w:space="0" w:color="auto" w:frame="1"/>
          <w:shd w:val="clear" w:color="auto" w:fill="FFFFFF"/>
        </w:rPr>
      </w:pPr>
    </w:p>
    <w:p w14:paraId="7E6F0EF8" w14:textId="77777777" w:rsidR="0046390E" w:rsidRPr="00595AC7" w:rsidRDefault="0046390E" w:rsidP="0046390E">
      <w:pPr>
        <w:ind w:left="2880" w:hanging="2880"/>
        <w:jc w:val="both"/>
        <w:rPr>
          <w:rStyle w:val="contributors"/>
          <w:rFonts w:ascii="Perpetua" w:hAnsi="Perpetua"/>
          <w:color w:val="2A2A2A"/>
          <w:bdr w:val="none" w:sz="0" w:space="0" w:color="auto" w:frame="1"/>
          <w:shd w:val="clear" w:color="auto" w:fill="FFFFFF"/>
        </w:rPr>
      </w:pPr>
      <w:r w:rsidRPr="00595AC7">
        <w:rPr>
          <w:rFonts w:ascii="Perpetua" w:hAnsi="Perpetua"/>
          <w:color w:val="000000" w:themeColor="text1"/>
        </w:rPr>
        <w:t>Attfield, R</w:t>
      </w:r>
      <w:r>
        <w:rPr>
          <w:rFonts w:ascii="Perpetua" w:hAnsi="Perpetua"/>
          <w:color w:val="000000" w:themeColor="text1"/>
        </w:rPr>
        <w:t xml:space="preserve">.                      </w:t>
      </w:r>
      <w:r>
        <w:rPr>
          <w:rFonts w:ascii="Perpetua" w:hAnsi="Perpetua"/>
          <w:color w:val="000000" w:themeColor="text1"/>
        </w:rPr>
        <w:tab/>
      </w:r>
      <w:r w:rsidRPr="00595AC7">
        <w:rPr>
          <w:rFonts w:ascii="Perpetua" w:hAnsi="Perpetua"/>
          <w:color w:val="000000" w:themeColor="text1"/>
        </w:rPr>
        <w:t xml:space="preserve">‘Beyond Anthropocentrism’, </w:t>
      </w:r>
      <w:r w:rsidRPr="00595AC7">
        <w:rPr>
          <w:rFonts w:ascii="Perpetua" w:hAnsi="Perpetua"/>
          <w:i/>
          <w:iCs/>
          <w:color w:val="000000" w:themeColor="text1"/>
        </w:rPr>
        <w:t xml:space="preserve">Royal Institute of </w:t>
      </w:r>
      <w:proofErr w:type="spellStart"/>
      <w:r w:rsidRPr="00595AC7">
        <w:rPr>
          <w:rFonts w:ascii="Perpetua" w:hAnsi="Perpetua"/>
          <w:i/>
          <w:iCs/>
          <w:color w:val="000000" w:themeColor="text1"/>
        </w:rPr>
        <w:t>PhilosophySupplement</w:t>
      </w:r>
      <w:proofErr w:type="spellEnd"/>
      <w:r w:rsidRPr="00595AC7">
        <w:rPr>
          <w:rFonts w:ascii="Perpetua" w:hAnsi="Perpetua"/>
          <w:i/>
          <w:iCs/>
          <w:color w:val="000000" w:themeColor="text1"/>
        </w:rPr>
        <w:t xml:space="preserve"> </w:t>
      </w:r>
      <w:r w:rsidRPr="00595AC7">
        <w:rPr>
          <w:rFonts w:ascii="Perpetua" w:hAnsi="Perpetua"/>
          <w:color w:val="000000" w:themeColor="text1"/>
        </w:rPr>
        <w:t>69 (2011), pp. 29 - 46.</w:t>
      </w:r>
    </w:p>
    <w:p w14:paraId="059E483E" w14:textId="77777777" w:rsidR="0046390E" w:rsidRDefault="0046390E" w:rsidP="0046390E">
      <w:pPr>
        <w:jc w:val="both"/>
        <w:rPr>
          <w:rFonts w:ascii="Perpetua" w:hAnsi="Perpetua"/>
          <w:color w:val="1A1A1A"/>
          <w:shd w:val="clear" w:color="auto" w:fill="FFFFFF"/>
        </w:rPr>
      </w:pPr>
    </w:p>
    <w:p w14:paraId="244627A6" w14:textId="77777777" w:rsidR="0046390E" w:rsidRPr="00595AC7" w:rsidRDefault="0046390E" w:rsidP="0046390E">
      <w:pPr>
        <w:jc w:val="both"/>
        <w:rPr>
          <w:rStyle w:val="contributors"/>
          <w:rFonts w:ascii="Perpetua" w:hAnsi="Perpetua"/>
          <w:color w:val="2A2A2A"/>
          <w:bdr w:val="none" w:sz="0" w:space="0" w:color="auto" w:frame="1"/>
          <w:shd w:val="clear" w:color="auto" w:fill="FFFFFF"/>
        </w:rPr>
      </w:pPr>
      <w:proofErr w:type="spellStart"/>
      <w:r w:rsidRPr="00595AC7">
        <w:rPr>
          <w:rFonts w:ascii="Perpetua" w:hAnsi="Perpetua"/>
          <w:color w:val="1A1A1A"/>
          <w:shd w:val="clear" w:color="auto" w:fill="FFFFFF"/>
        </w:rPr>
        <w:t>Basl</w:t>
      </w:r>
      <w:proofErr w:type="spellEnd"/>
      <w:r w:rsidRPr="00595AC7">
        <w:rPr>
          <w:rFonts w:ascii="Perpetua" w:hAnsi="Perpetua"/>
          <w:color w:val="1A1A1A"/>
          <w:shd w:val="clear" w:color="auto" w:fill="FFFFFF"/>
        </w:rPr>
        <w:t xml:space="preserve">, J. </w:t>
      </w:r>
      <w:r w:rsidRPr="00595AC7">
        <w:rPr>
          <w:rFonts w:ascii="Perpetua" w:hAnsi="Perpetua"/>
          <w:color w:val="1A1A1A"/>
          <w:shd w:val="clear" w:color="auto" w:fill="FFFFFF"/>
        </w:rPr>
        <w:tab/>
      </w:r>
      <w:r>
        <w:rPr>
          <w:rFonts w:ascii="Perpetua" w:hAnsi="Perpetua"/>
          <w:color w:val="1A1A1A"/>
          <w:shd w:val="clear" w:color="auto" w:fill="FFFFFF"/>
        </w:rPr>
        <w:tab/>
      </w:r>
      <w:r>
        <w:rPr>
          <w:rFonts w:ascii="Perpetua" w:hAnsi="Perpetua"/>
          <w:color w:val="1A1A1A"/>
          <w:shd w:val="clear" w:color="auto" w:fill="FFFFFF"/>
        </w:rPr>
        <w:tab/>
      </w:r>
      <w:r>
        <w:rPr>
          <w:rFonts w:ascii="Perpetua" w:hAnsi="Perpetua"/>
          <w:color w:val="1A1A1A"/>
          <w:shd w:val="clear" w:color="auto" w:fill="FFFFFF"/>
        </w:rPr>
        <w:tab/>
      </w:r>
      <w:r w:rsidRPr="00595AC7">
        <w:rPr>
          <w:rFonts w:ascii="Perpetua" w:hAnsi="Perpetua"/>
          <w:i/>
          <w:iCs/>
          <w:color w:val="1A1A1A"/>
          <w:shd w:val="clear" w:color="auto" w:fill="FFFFFF"/>
        </w:rPr>
        <w:t xml:space="preserve">The Death of the Ethic of Life </w:t>
      </w:r>
      <w:r w:rsidRPr="00595AC7">
        <w:rPr>
          <w:rFonts w:ascii="Perpetua" w:hAnsi="Perpetua"/>
          <w:color w:val="1A1A1A"/>
          <w:shd w:val="clear" w:color="auto" w:fill="FFFFFF"/>
        </w:rPr>
        <w:t>(Oxford: OUP, 2019)</w:t>
      </w:r>
    </w:p>
    <w:p w14:paraId="326BDCD4" w14:textId="77777777" w:rsidR="0046390E" w:rsidRDefault="0046390E" w:rsidP="0046390E">
      <w:pPr>
        <w:jc w:val="both"/>
        <w:rPr>
          <w:rFonts w:ascii="Perpetua" w:hAnsi="Perpetua"/>
        </w:rPr>
      </w:pPr>
    </w:p>
    <w:p w14:paraId="6F037C77" w14:textId="77777777" w:rsidR="0046390E" w:rsidRPr="00595AC7" w:rsidRDefault="0046390E" w:rsidP="0046390E">
      <w:pPr>
        <w:jc w:val="both"/>
        <w:rPr>
          <w:rStyle w:val="contributors"/>
          <w:rFonts w:ascii="Perpetua" w:hAnsi="Perpetua"/>
          <w:color w:val="2A2A2A"/>
          <w:bdr w:val="none" w:sz="0" w:space="0" w:color="auto" w:frame="1"/>
          <w:shd w:val="clear" w:color="auto" w:fill="FFFFFF"/>
        </w:rPr>
      </w:pPr>
      <w:r w:rsidRPr="00595AC7">
        <w:rPr>
          <w:rFonts w:ascii="Perpetua" w:hAnsi="Perpetua"/>
        </w:rPr>
        <w:t xml:space="preserve">Blackburn, S. </w:t>
      </w:r>
      <w:r w:rsidRPr="00595AC7">
        <w:rPr>
          <w:rFonts w:ascii="Perpetua" w:hAnsi="Perpetua"/>
        </w:rPr>
        <w:tab/>
      </w:r>
      <w:r>
        <w:rPr>
          <w:rFonts w:ascii="Perpetua" w:hAnsi="Perpetua"/>
        </w:rPr>
        <w:tab/>
      </w:r>
      <w:r>
        <w:rPr>
          <w:rFonts w:ascii="Perpetua" w:hAnsi="Perpetua"/>
        </w:rPr>
        <w:tab/>
      </w:r>
      <w:r w:rsidRPr="00595AC7">
        <w:rPr>
          <w:rFonts w:ascii="Perpetua" w:hAnsi="Perpetua"/>
          <w:i/>
          <w:iCs/>
        </w:rPr>
        <w:t>The Oxford Dictionary of</w:t>
      </w:r>
      <w:r w:rsidRPr="00595AC7">
        <w:rPr>
          <w:rFonts w:ascii="Perpetua" w:hAnsi="Perpetua"/>
        </w:rPr>
        <w:t xml:space="preserve"> </w:t>
      </w:r>
      <w:r w:rsidRPr="00595AC7">
        <w:rPr>
          <w:rFonts w:ascii="Perpetua" w:hAnsi="Perpetua"/>
          <w:i/>
          <w:iCs/>
        </w:rPr>
        <w:t xml:space="preserve">Philosophy </w:t>
      </w:r>
      <w:r w:rsidRPr="00595AC7">
        <w:rPr>
          <w:rFonts w:ascii="Perpetua" w:hAnsi="Perpetua"/>
        </w:rPr>
        <w:t>(Oxford: OUP, 2016).</w:t>
      </w:r>
    </w:p>
    <w:p w14:paraId="73CADE0F" w14:textId="77777777" w:rsidR="0046390E" w:rsidRPr="00FC677E" w:rsidRDefault="0046390E" w:rsidP="0046390E">
      <w:pPr>
        <w:pStyle w:val="ListParagraph"/>
        <w:ind w:left="3600" w:hanging="2880"/>
        <w:jc w:val="both"/>
        <w:rPr>
          <w:rStyle w:val="contributors"/>
          <w:rFonts w:ascii="Perpetua" w:hAnsi="Perpetua"/>
          <w:color w:val="2A2A2A"/>
          <w:bdr w:val="none" w:sz="0" w:space="0" w:color="auto" w:frame="1"/>
          <w:shd w:val="clear" w:color="auto" w:fill="FFFFFF"/>
        </w:rPr>
      </w:pPr>
    </w:p>
    <w:p w14:paraId="48B5D6D1" w14:textId="77777777" w:rsidR="0046390E" w:rsidRPr="00595AC7" w:rsidRDefault="0046390E" w:rsidP="0046390E">
      <w:pPr>
        <w:ind w:left="2880" w:hanging="2880"/>
        <w:jc w:val="both"/>
        <w:rPr>
          <w:rStyle w:val="contributors"/>
          <w:rFonts w:ascii="Perpetua" w:hAnsi="Perpetua"/>
          <w:color w:val="2A2A2A"/>
          <w:bdr w:val="none" w:sz="0" w:space="0" w:color="auto" w:frame="1"/>
          <w:shd w:val="clear" w:color="auto" w:fill="FFFFFF"/>
        </w:rPr>
      </w:pPr>
      <w:r w:rsidRPr="00595AC7">
        <w:rPr>
          <w:rFonts w:ascii="Perpetua" w:hAnsi="Perpetua"/>
        </w:rPr>
        <w:t>Callicott, J.B.</w:t>
      </w:r>
      <w:r w:rsidRPr="00595AC7">
        <w:rPr>
          <w:rFonts w:ascii="Perpetua" w:hAnsi="Perpetua"/>
        </w:rPr>
        <w:tab/>
      </w:r>
      <w:r>
        <w:rPr>
          <w:rFonts w:ascii="Perpetua" w:hAnsi="Perpetua"/>
        </w:rPr>
        <w:t>‘</w:t>
      </w:r>
      <w:r w:rsidRPr="00595AC7">
        <w:rPr>
          <w:rFonts w:ascii="Perpetua" w:hAnsi="Perpetua"/>
        </w:rPr>
        <w:t xml:space="preserve">Animal Liberation: A Triangular Affair’, </w:t>
      </w:r>
      <w:r w:rsidRPr="00595AC7">
        <w:rPr>
          <w:rFonts w:ascii="Perpetua" w:hAnsi="Perpetua"/>
          <w:i/>
          <w:iCs/>
        </w:rPr>
        <w:t>Environmental Ethics</w:t>
      </w:r>
      <w:r w:rsidRPr="00595AC7">
        <w:rPr>
          <w:rFonts w:ascii="Perpetua" w:hAnsi="Perpetua"/>
        </w:rPr>
        <w:t>, Vol. 2 (1980), pp. 311 -38.</w:t>
      </w:r>
    </w:p>
    <w:p w14:paraId="02FEE306" w14:textId="77777777" w:rsidR="0046390E" w:rsidRPr="00FC677E" w:rsidRDefault="0046390E" w:rsidP="0046390E">
      <w:pPr>
        <w:pStyle w:val="ListParagraph"/>
        <w:ind w:left="3600" w:hanging="2880"/>
        <w:jc w:val="both"/>
        <w:rPr>
          <w:rStyle w:val="contributors"/>
          <w:rFonts w:ascii="Perpetua" w:hAnsi="Perpetua"/>
          <w:color w:val="2A2A2A"/>
          <w:bdr w:val="none" w:sz="0" w:space="0" w:color="auto" w:frame="1"/>
          <w:shd w:val="clear" w:color="auto" w:fill="FFFFFF"/>
        </w:rPr>
      </w:pPr>
    </w:p>
    <w:p w14:paraId="07582185" w14:textId="77777777" w:rsidR="0046390E" w:rsidRPr="00595AC7" w:rsidRDefault="0046390E" w:rsidP="0046390E">
      <w:pPr>
        <w:ind w:left="2880" w:hanging="2880"/>
        <w:jc w:val="both"/>
        <w:rPr>
          <w:rFonts w:ascii="Perpetua" w:hAnsi="Perpetua"/>
        </w:rPr>
      </w:pPr>
      <w:r w:rsidRPr="00595AC7">
        <w:rPr>
          <w:rFonts w:ascii="Perpetua" w:hAnsi="Perpetua"/>
        </w:rPr>
        <w:t>Callicott, J.B.</w:t>
      </w:r>
      <w:r>
        <w:rPr>
          <w:rFonts w:ascii="Perpetua" w:hAnsi="Perpetua"/>
        </w:rPr>
        <w:tab/>
      </w:r>
      <w:r w:rsidRPr="00595AC7">
        <w:rPr>
          <w:rFonts w:ascii="Perpetua" w:hAnsi="Perpetua"/>
        </w:rPr>
        <w:t xml:space="preserve">‘Animal Liberation and Environmental Ethics: Back Together Again’, </w:t>
      </w:r>
      <w:r w:rsidRPr="00595AC7">
        <w:rPr>
          <w:rFonts w:ascii="Perpetua" w:hAnsi="Perpetua"/>
          <w:i/>
          <w:iCs/>
        </w:rPr>
        <w:t>Between the Species</w:t>
      </w:r>
      <w:r w:rsidRPr="00595AC7">
        <w:rPr>
          <w:rFonts w:ascii="Perpetua" w:hAnsi="Perpetua"/>
        </w:rPr>
        <w:t>, Vol. 4, Issue 3 (1988), pp. 163 – 169.</w:t>
      </w:r>
    </w:p>
    <w:p w14:paraId="5B0A919B" w14:textId="77777777" w:rsidR="0046390E" w:rsidRDefault="0046390E" w:rsidP="0046390E">
      <w:pPr>
        <w:pStyle w:val="FootnoteText"/>
        <w:ind w:left="2880" w:hanging="2880"/>
        <w:jc w:val="both"/>
        <w:rPr>
          <w:rFonts w:ascii="Perpetua" w:hAnsi="Perpetua"/>
          <w:sz w:val="24"/>
          <w:szCs w:val="24"/>
        </w:rPr>
      </w:pPr>
    </w:p>
    <w:p w14:paraId="3F80D12C" w14:textId="77777777" w:rsidR="0046390E" w:rsidRPr="00FC677E" w:rsidRDefault="0046390E" w:rsidP="0046390E">
      <w:pPr>
        <w:pStyle w:val="FootnoteText"/>
        <w:ind w:left="2880" w:hanging="2880"/>
        <w:jc w:val="both"/>
        <w:rPr>
          <w:rFonts w:ascii="Perpetua" w:hAnsi="Perpetua"/>
          <w:sz w:val="24"/>
          <w:szCs w:val="24"/>
        </w:rPr>
      </w:pPr>
      <w:r w:rsidRPr="00FC677E">
        <w:rPr>
          <w:rFonts w:ascii="Perpetua" w:hAnsi="Perpetua"/>
          <w:sz w:val="24"/>
          <w:szCs w:val="24"/>
        </w:rPr>
        <w:t>Callicott, J.B.</w:t>
      </w:r>
      <w:r>
        <w:rPr>
          <w:rFonts w:ascii="Perpetua" w:hAnsi="Perpetua"/>
          <w:sz w:val="24"/>
          <w:szCs w:val="24"/>
        </w:rPr>
        <w:tab/>
      </w:r>
      <w:r w:rsidRPr="00FC677E">
        <w:rPr>
          <w:rFonts w:ascii="Perpetua" w:hAnsi="Perpetua"/>
          <w:sz w:val="24"/>
          <w:szCs w:val="24"/>
        </w:rPr>
        <w:t xml:space="preserve">‘The Search for an Environmental Ethic’ in </w:t>
      </w:r>
      <w:proofErr w:type="spellStart"/>
      <w:proofErr w:type="gramStart"/>
      <w:r w:rsidRPr="00FC677E">
        <w:rPr>
          <w:rFonts w:ascii="Perpetua" w:hAnsi="Perpetua"/>
          <w:sz w:val="24"/>
          <w:szCs w:val="24"/>
        </w:rPr>
        <w:t>T.Regan</w:t>
      </w:r>
      <w:proofErr w:type="spellEnd"/>
      <w:proofErr w:type="gramEnd"/>
      <w:r w:rsidRPr="00FC677E">
        <w:rPr>
          <w:rFonts w:ascii="Perpetua" w:hAnsi="Perpetua"/>
          <w:sz w:val="24"/>
          <w:szCs w:val="24"/>
        </w:rPr>
        <w:t xml:space="preserve"> (ed.), </w:t>
      </w:r>
      <w:r w:rsidRPr="00FC677E">
        <w:rPr>
          <w:rFonts w:ascii="Perpetua" w:hAnsi="Perpetua"/>
          <w:i/>
          <w:iCs/>
          <w:sz w:val="24"/>
          <w:szCs w:val="24"/>
        </w:rPr>
        <w:t xml:space="preserve">Matters of Life and Death: New Introductory Essays in Moral Philosophy </w:t>
      </w:r>
      <w:r w:rsidRPr="00FC677E">
        <w:rPr>
          <w:rFonts w:ascii="Perpetua" w:hAnsi="Perpetua"/>
          <w:sz w:val="24"/>
          <w:szCs w:val="24"/>
        </w:rPr>
        <w:t>3</w:t>
      </w:r>
      <w:r w:rsidRPr="00FC677E">
        <w:rPr>
          <w:rFonts w:ascii="Perpetua" w:hAnsi="Perpetua"/>
          <w:sz w:val="24"/>
          <w:szCs w:val="24"/>
          <w:vertAlign w:val="superscript"/>
        </w:rPr>
        <w:t>rd</w:t>
      </w:r>
      <w:r w:rsidRPr="00FC677E">
        <w:rPr>
          <w:rFonts w:ascii="Perpetua" w:hAnsi="Perpetua"/>
          <w:sz w:val="24"/>
          <w:szCs w:val="24"/>
        </w:rPr>
        <w:t>. edition (New York: McGraw-Hill, 1993), pp. 322</w:t>
      </w:r>
      <w:r>
        <w:rPr>
          <w:rFonts w:ascii="Perpetua" w:hAnsi="Perpetua"/>
          <w:sz w:val="24"/>
          <w:szCs w:val="24"/>
        </w:rPr>
        <w:t xml:space="preserve"> - 380</w:t>
      </w:r>
      <w:r w:rsidRPr="00FC677E">
        <w:rPr>
          <w:rFonts w:ascii="Perpetua" w:hAnsi="Perpetua"/>
          <w:sz w:val="24"/>
          <w:szCs w:val="24"/>
        </w:rPr>
        <w:t>.</w:t>
      </w:r>
    </w:p>
    <w:p w14:paraId="4BE568CA" w14:textId="77777777" w:rsidR="0046390E" w:rsidRPr="00FC677E" w:rsidRDefault="0046390E" w:rsidP="0046390E">
      <w:pPr>
        <w:pStyle w:val="FootnoteText"/>
        <w:jc w:val="both"/>
        <w:rPr>
          <w:rFonts w:ascii="Perpetua" w:hAnsi="Perpetua"/>
          <w:sz w:val="24"/>
          <w:szCs w:val="24"/>
        </w:rPr>
      </w:pPr>
    </w:p>
    <w:p w14:paraId="3AF1E520" w14:textId="77777777" w:rsidR="0046390E" w:rsidRPr="00FC677E" w:rsidRDefault="0046390E" w:rsidP="0046390E">
      <w:pPr>
        <w:pStyle w:val="FootnoteText"/>
        <w:ind w:left="2880" w:hanging="2880"/>
        <w:jc w:val="both"/>
        <w:rPr>
          <w:rFonts w:ascii="Perpetua" w:hAnsi="Perpetua"/>
          <w:sz w:val="24"/>
          <w:szCs w:val="24"/>
        </w:rPr>
      </w:pPr>
      <w:r w:rsidRPr="00FC677E">
        <w:rPr>
          <w:rFonts w:ascii="Perpetua" w:hAnsi="Perpetua"/>
          <w:sz w:val="24"/>
          <w:szCs w:val="24"/>
        </w:rPr>
        <w:t>Callicott,</w:t>
      </w:r>
      <w:r>
        <w:rPr>
          <w:rFonts w:ascii="Perpetua" w:hAnsi="Perpetua"/>
          <w:sz w:val="24"/>
          <w:szCs w:val="24"/>
        </w:rPr>
        <w:t xml:space="preserve"> J.B.</w:t>
      </w:r>
      <w:r>
        <w:rPr>
          <w:rFonts w:ascii="Perpetua" w:hAnsi="Perpetua"/>
          <w:sz w:val="24"/>
          <w:szCs w:val="24"/>
        </w:rPr>
        <w:tab/>
      </w:r>
      <w:r w:rsidRPr="00FC677E">
        <w:rPr>
          <w:rFonts w:ascii="Perpetua" w:hAnsi="Perpetua"/>
          <w:i/>
          <w:iCs/>
          <w:sz w:val="24"/>
          <w:szCs w:val="24"/>
        </w:rPr>
        <w:t xml:space="preserve">In </w:t>
      </w:r>
      <w:proofErr w:type="spellStart"/>
      <w:r w:rsidRPr="00FC677E">
        <w:rPr>
          <w:rFonts w:ascii="Perpetua" w:hAnsi="Perpetua"/>
          <w:i/>
          <w:iCs/>
          <w:sz w:val="24"/>
          <w:szCs w:val="24"/>
        </w:rPr>
        <w:t>Defense</w:t>
      </w:r>
      <w:proofErr w:type="spellEnd"/>
      <w:r w:rsidRPr="00FC677E">
        <w:rPr>
          <w:rFonts w:ascii="Perpetua" w:hAnsi="Perpetua"/>
          <w:i/>
          <w:iCs/>
          <w:sz w:val="24"/>
          <w:szCs w:val="24"/>
        </w:rPr>
        <w:t xml:space="preserve"> of the Land Ethic: Essays in Environmental Philosophy </w:t>
      </w:r>
      <w:r w:rsidRPr="00FC677E">
        <w:rPr>
          <w:rFonts w:ascii="Perpetua" w:hAnsi="Perpetua"/>
          <w:sz w:val="24"/>
          <w:szCs w:val="24"/>
        </w:rPr>
        <w:t>(Albany:</w:t>
      </w:r>
      <w:r>
        <w:rPr>
          <w:rFonts w:ascii="Perpetua" w:hAnsi="Perpetua"/>
          <w:sz w:val="24"/>
          <w:szCs w:val="24"/>
        </w:rPr>
        <w:t xml:space="preserve"> </w:t>
      </w:r>
      <w:r w:rsidRPr="00FC677E">
        <w:rPr>
          <w:rFonts w:ascii="Perpetua" w:hAnsi="Perpetua"/>
          <w:sz w:val="24"/>
          <w:szCs w:val="24"/>
        </w:rPr>
        <w:t>State University of New York, 1989).</w:t>
      </w:r>
    </w:p>
    <w:p w14:paraId="6CEFCAFF" w14:textId="77777777" w:rsidR="0046390E" w:rsidRPr="00FC677E" w:rsidRDefault="0046390E" w:rsidP="0046390E">
      <w:pPr>
        <w:pStyle w:val="ListParagraph"/>
        <w:ind w:left="3600" w:hanging="2880"/>
        <w:jc w:val="both"/>
        <w:rPr>
          <w:rStyle w:val="contributors"/>
          <w:rFonts w:ascii="Perpetua" w:hAnsi="Perpetua"/>
          <w:color w:val="2A2A2A"/>
          <w:bdr w:val="none" w:sz="0" w:space="0" w:color="auto" w:frame="1"/>
          <w:shd w:val="clear" w:color="auto" w:fill="FFFFFF"/>
        </w:rPr>
      </w:pPr>
    </w:p>
    <w:p w14:paraId="464B98B0" w14:textId="77777777" w:rsidR="0046390E" w:rsidRPr="00595AC7" w:rsidRDefault="0046390E" w:rsidP="0046390E">
      <w:pPr>
        <w:ind w:left="2880" w:hanging="2880"/>
        <w:jc w:val="both"/>
        <w:rPr>
          <w:rFonts w:ascii="Perpetua" w:hAnsi="Perpetua"/>
          <w:color w:val="2A2A2A"/>
          <w:shd w:val="clear" w:color="auto" w:fill="FFFFFF"/>
        </w:rPr>
      </w:pPr>
      <w:r w:rsidRPr="00595AC7">
        <w:rPr>
          <w:rStyle w:val="contributors"/>
          <w:rFonts w:ascii="Perpetua" w:hAnsi="Perpetua"/>
          <w:color w:val="2A2A2A"/>
          <w:bdr w:val="none" w:sz="0" w:space="0" w:color="auto" w:frame="1"/>
          <w:shd w:val="clear" w:color="auto" w:fill="FFFFFF"/>
        </w:rPr>
        <w:t>Callicott, J.B. </w:t>
      </w:r>
      <w:r w:rsidRPr="00595AC7">
        <w:rPr>
          <w:rStyle w:val="contributors"/>
          <w:rFonts w:ascii="Perpetua" w:hAnsi="Perpetua"/>
          <w:color w:val="2A2A2A"/>
          <w:bdr w:val="none" w:sz="0" w:space="0" w:color="auto" w:frame="1"/>
          <w:shd w:val="clear" w:color="auto" w:fill="FFFFFF"/>
        </w:rPr>
        <w:tab/>
      </w:r>
      <w:r w:rsidRPr="00595AC7">
        <w:rPr>
          <w:rStyle w:val="Emphasis"/>
          <w:rFonts w:ascii="Perpetua" w:hAnsi="Perpetua"/>
          <w:color w:val="2A2A2A"/>
          <w:bdr w:val="none" w:sz="0" w:space="0" w:color="auto" w:frame="1"/>
          <w:shd w:val="clear" w:color="auto" w:fill="FFFFFF"/>
        </w:rPr>
        <w:t>Thinking Like a Planet: The Land Ethic and the Earth Ethic</w:t>
      </w:r>
      <w:r w:rsidRPr="00595AC7">
        <w:rPr>
          <w:rFonts w:ascii="Perpetua" w:hAnsi="Perpetua"/>
          <w:color w:val="2A2A2A"/>
          <w:shd w:val="clear" w:color="auto" w:fill="FFFFFF"/>
        </w:rPr>
        <w:t> (</w:t>
      </w:r>
      <w:r w:rsidRPr="00595AC7">
        <w:rPr>
          <w:rStyle w:val="publisher-location"/>
          <w:rFonts w:ascii="Perpetua" w:hAnsi="Perpetua"/>
          <w:color w:val="2A2A2A"/>
          <w:bdr w:val="none" w:sz="0" w:space="0" w:color="auto" w:frame="1"/>
          <w:shd w:val="clear" w:color="auto" w:fill="FFFFFF"/>
        </w:rPr>
        <w:t>New York, </w:t>
      </w:r>
      <w:r w:rsidRPr="00595AC7">
        <w:rPr>
          <w:rStyle w:val="print-publication-date"/>
          <w:rFonts w:ascii="Perpetua" w:hAnsi="Perpetua"/>
          <w:color w:val="2A2A2A"/>
          <w:bdr w:val="none" w:sz="0" w:space="0" w:color="auto" w:frame="1"/>
          <w:shd w:val="clear" w:color="auto" w:fill="FFFFFF"/>
        </w:rPr>
        <w:t>2014; </w:t>
      </w:r>
      <w:r w:rsidRPr="00595AC7">
        <w:rPr>
          <w:rStyle w:val="online-edition"/>
          <w:rFonts w:ascii="Perpetua" w:hAnsi="Perpetua"/>
          <w:color w:val="2A2A2A"/>
          <w:bdr w:val="none" w:sz="0" w:space="0" w:color="auto" w:frame="1"/>
          <w:shd w:val="clear" w:color="auto" w:fill="FFFFFF"/>
        </w:rPr>
        <w:t xml:space="preserve">online </w:t>
      </w:r>
      <w:proofErr w:type="spellStart"/>
      <w:r w:rsidRPr="00595AC7">
        <w:rPr>
          <w:rStyle w:val="online-edition"/>
          <w:rFonts w:ascii="Perpetua" w:hAnsi="Perpetua"/>
          <w:color w:val="2A2A2A"/>
          <w:bdr w:val="none" w:sz="0" w:space="0" w:color="auto" w:frame="1"/>
          <w:shd w:val="clear" w:color="auto" w:fill="FFFFFF"/>
        </w:rPr>
        <w:t>edn</w:t>
      </w:r>
      <w:proofErr w:type="spellEnd"/>
      <w:r w:rsidRPr="00595AC7">
        <w:rPr>
          <w:rStyle w:val="online-edition"/>
          <w:rFonts w:ascii="Perpetua" w:hAnsi="Perpetua"/>
          <w:color w:val="2A2A2A"/>
          <w:bdr w:val="none" w:sz="0" w:space="0" w:color="auto" w:frame="1"/>
          <w:shd w:val="clear" w:color="auto" w:fill="FFFFFF"/>
        </w:rPr>
        <w:t>, </w:t>
      </w:r>
      <w:r w:rsidRPr="00595AC7">
        <w:rPr>
          <w:rStyle w:val="containing-site"/>
          <w:rFonts w:ascii="Perpetua" w:hAnsi="Perpetua"/>
          <w:color w:val="2A2A2A"/>
          <w:bdr w:val="none" w:sz="0" w:space="0" w:color="auto" w:frame="1"/>
          <w:shd w:val="clear" w:color="auto" w:fill="FFFFFF"/>
        </w:rPr>
        <w:t>Oxford Academic</w:t>
      </w:r>
      <w:r w:rsidRPr="00595AC7">
        <w:rPr>
          <w:rStyle w:val="online-publication-date"/>
          <w:rFonts w:ascii="Perpetua" w:hAnsi="Perpetua"/>
          <w:color w:val="2A2A2A"/>
          <w:bdr w:val="none" w:sz="0" w:space="0" w:color="auto" w:frame="1"/>
          <w:shd w:val="clear" w:color="auto" w:fill="FFFFFF"/>
        </w:rPr>
        <w:t>, 23 Jan.2014</w:t>
      </w:r>
      <w:r w:rsidRPr="00595AC7">
        <w:rPr>
          <w:rFonts w:ascii="Perpetua" w:hAnsi="Perpetua"/>
          <w:color w:val="2A2A2A"/>
          <w:shd w:val="clear" w:color="auto" w:fill="FFFFFF"/>
        </w:rPr>
        <w:t>)</w:t>
      </w:r>
      <w:r>
        <w:rPr>
          <w:rFonts w:ascii="Perpetua" w:hAnsi="Perpetua"/>
          <w:color w:val="2A2A2A"/>
          <w:shd w:val="clear" w:color="auto" w:fill="FFFFFF"/>
        </w:rPr>
        <w:t xml:space="preserve"> [</w:t>
      </w:r>
      <w:r w:rsidRPr="00595AC7">
        <w:rPr>
          <w:rFonts w:ascii="Perpetua" w:hAnsi="Perpetua"/>
          <w:bdr w:val="none" w:sz="0" w:space="0" w:color="auto" w:frame="1"/>
          <w:shd w:val="clear" w:color="auto" w:fill="FFFFFF"/>
        </w:rPr>
        <w:t>https://doi.org/10.1093/acprof:oso/9780199324880.001.0001</w:t>
      </w:r>
      <w:r w:rsidRPr="00595AC7">
        <w:rPr>
          <w:rFonts w:ascii="Perpetua" w:hAnsi="Perpetua"/>
          <w:color w:val="2A2A2A"/>
          <w:shd w:val="clear" w:color="auto" w:fill="FFFFFF"/>
        </w:rPr>
        <w:t>, </w:t>
      </w:r>
      <w:r>
        <w:rPr>
          <w:rStyle w:val="accessed-date"/>
          <w:rFonts w:ascii="Perpetua" w:hAnsi="Perpetua"/>
          <w:color w:val="2A2A2A"/>
          <w:bdr w:val="none" w:sz="0" w:space="0" w:color="auto" w:frame="1"/>
          <w:shd w:val="clear" w:color="auto" w:fill="FFFFFF"/>
        </w:rPr>
        <w:t>-accessed</w:t>
      </w:r>
      <w:r w:rsidRPr="00595AC7">
        <w:rPr>
          <w:rStyle w:val="accessed-date"/>
          <w:rFonts w:ascii="Perpetua" w:hAnsi="Perpetua"/>
          <w:color w:val="2A2A2A"/>
          <w:bdr w:val="none" w:sz="0" w:space="0" w:color="auto" w:frame="1"/>
          <w:shd w:val="clear" w:color="auto" w:fill="FFFFFF"/>
        </w:rPr>
        <w:t xml:space="preserve"> 17 July 2026</w:t>
      </w:r>
      <w:r>
        <w:rPr>
          <w:rStyle w:val="accessed-date"/>
          <w:rFonts w:ascii="Perpetua" w:hAnsi="Perpetua"/>
          <w:color w:val="2A2A2A"/>
          <w:bdr w:val="none" w:sz="0" w:space="0" w:color="auto" w:frame="1"/>
          <w:shd w:val="clear" w:color="auto" w:fill="FFFFFF"/>
        </w:rPr>
        <w:t>]</w:t>
      </w:r>
      <w:r w:rsidRPr="00595AC7">
        <w:rPr>
          <w:rStyle w:val="accessed-date"/>
          <w:rFonts w:ascii="Perpetua" w:hAnsi="Perpetua"/>
          <w:color w:val="2A2A2A"/>
          <w:bdr w:val="none" w:sz="0" w:space="0" w:color="auto" w:frame="1"/>
          <w:shd w:val="clear" w:color="auto" w:fill="FFFFFF"/>
        </w:rPr>
        <w:t>.</w:t>
      </w:r>
    </w:p>
    <w:p w14:paraId="5D2D821C" w14:textId="77777777" w:rsidR="0046390E" w:rsidRPr="00FC677E" w:rsidRDefault="0046390E" w:rsidP="0046390E">
      <w:pPr>
        <w:pStyle w:val="ListParagraph"/>
        <w:ind w:left="3600" w:hanging="2880"/>
        <w:jc w:val="both"/>
        <w:rPr>
          <w:rFonts w:ascii="Perpetua" w:hAnsi="Perpetua"/>
        </w:rPr>
      </w:pPr>
    </w:p>
    <w:p w14:paraId="35E554C6" w14:textId="77777777" w:rsidR="0046390E" w:rsidRPr="00FC677E" w:rsidRDefault="0046390E" w:rsidP="0046390E">
      <w:pPr>
        <w:pStyle w:val="ListParagraph"/>
        <w:ind w:left="3600" w:hanging="2880"/>
        <w:jc w:val="both"/>
        <w:rPr>
          <w:rFonts w:ascii="Perpetua" w:hAnsi="Perpetua"/>
        </w:rPr>
      </w:pPr>
    </w:p>
    <w:p w14:paraId="39F1F949" w14:textId="77777777" w:rsidR="0046390E" w:rsidRPr="00FC677E" w:rsidRDefault="0046390E" w:rsidP="0046390E">
      <w:pPr>
        <w:pStyle w:val="FootnoteText"/>
        <w:rPr>
          <w:rFonts w:ascii="Perpetua" w:hAnsi="Perpetua"/>
          <w:sz w:val="24"/>
          <w:szCs w:val="24"/>
        </w:rPr>
      </w:pPr>
      <w:proofErr w:type="spellStart"/>
      <w:r w:rsidRPr="00FC677E">
        <w:rPr>
          <w:rFonts w:ascii="Perpetua" w:hAnsi="Perpetua"/>
          <w:sz w:val="24"/>
          <w:szCs w:val="24"/>
        </w:rPr>
        <w:lastRenderedPageBreak/>
        <w:t>D’Arms</w:t>
      </w:r>
      <w:proofErr w:type="spellEnd"/>
      <w:r w:rsidRPr="00FC677E">
        <w:rPr>
          <w:rFonts w:ascii="Perpetua" w:hAnsi="Perpetua"/>
          <w:sz w:val="24"/>
          <w:szCs w:val="24"/>
        </w:rPr>
        <w:t xml:space="preserve">, J. and D. Jacobson </w:t>
      </w:r>
      <w:r w:rsidRPr="00FC677E">
        <w:rPr>
          <w:rFonts w:ascii="Perpetua" w:hAnsi="Perpetua"/>
          <w:sz w:val="24"/>
          <w:szCs w:val="24"/>
        </w:rPr>
        <w:tab/>
        <w:t xml:space="preserve">‘Sentiment and Value’, </w:t>
      </w:r>
      <w:r w:rsidRPr="00FC677E">
        <w:rPr>
          <w:rFonts w:ascii="Perpetua" w:hAnsi="Perpetua"/>
          <w:i/>
          <w:iCs/>
          <w:sz w:val="24"/>
          <w:szCs w:val="24"/>
        </w:rPr>
        <w:t xml:space="preserve">Ethics </w:t>
      </w:r>
      <w:r w:rsidRPr="00FC677E">
        <w:rPr>
          <w:rFonts w:ascii="Perpetua" w:hAnsi="Perpetua"/>
          <w:sz w:val="24"/>
          <w:szCs w:val="24"/>
        </w:rPr>
        <w:t xml:space="preserve">110 (2000), pp.722-48. </w:t>
      </w:r>
    </w:p>
    <w:p w14:paraId="12F538B1" w14:textId="77777777" w:rsidR="0046390E" w:rsidRPr="00FC677E" w:rsidRDefault="0046390E" w:rsidP="0046390E">
      <w:pPr>
        <w:pStyle w:val="ListParagraph"/>
        <w:ind w:left="3600" w:hanging="2880"/>
        <w:jc w:val="both"/>
        <w:rPr>
          <w:rFonts w:ascii="Perpetua" w:hAnsi="Perpetua"/>
        </w:rPr>
      </w:pPr>
    </w:p>
    <w:p w14:paraId="648CA99A" w14:textId="77777777" w:rsidR="0046390E" w:rsidRPr="00595AC7" w:rsidRDefault="0046390E" w:rsidP="0046390E">
      <w:pPr>
        <w:ind w:left="2880" w:hanging="2880"/>
        <w:jc w:val="both"/>
        <w:rPr>
          <w:rFonts w:ascii="Perpetua" w:hAnsi="Perpetua"/>
          <w:color w:val="1A1A1A"/>
        </w:rPr>
      </w:pPr>
      <w:r w:rsidRPr="00595AC7">
        <w:rPr>
          <w:rFonts w:ascii="Perpetua" w:hAnsi="Perpetua"/>
          <w:color w:val="000000" w:themeColor="text1"/>
        </w:rPr>
        <w:t>Feinberg, J.</w:t>
      </w:r>
      <w:r>
        <w:rPr>
          <w:rFonts w:ascii="Perpetua" w:hAnsi="Perpetua"/>
          <w:color w:val="000000" w:themeColor="text1"/>
        </w:rPr>
        <w:tab/>
      </w:r>
      <w:r w:rsidRPr="00595AC7">
        <w:rPr>
          <w:rFonts w:ascii="Perpetua" w:hAnsi="Perpetua"/>
          <w:color w:val="000000" w:themeColor="text1"/>
        </w:rPr>
        <w:t xml:space="preserve">‘The Rights of Animals and Unborn Generations’ in </w:t>
      </w:r>
      <w:r w:rsidRPr="00595AC7">
        <w:rPr>
          <w:rFonts w:ascii="Perpetua" w:hAnsi="Perpetua"/>
          <w:i/>
          <w:color w:val="000000" w:themeColor="text1"/>
        </w:rPr>
        <w:t>Philosophy and Environmental Crisis</w:t>
      </w:r>
      <w:r w:rsidRPr="00595AC7">
        <w:rPr>
          <w:rFonts w:ascii="Perpetua" w:hAnsi="Perpetua"/>
          <w:color w:val="000000" w:themeColor="text1"/>
        </w:rPr>
        <w:t>, ed. William T. Blackstone (Athens: University of Georgia Press, 1974) [Accessed through UWTSD at: http://bibliodroitsanimaux.voila.net/pdf/FeinbergTheRightsofAnimalsandFutureGenerations.pdf].</w:t>
      </w:r>
    </w:p>
    <w:p w14:paraId="035367D8" w14:textId="77777777" w:rsidR="0046390E" w:rsidRPr="00FC677E" w:rsidRDefault="0046390E" w:rsidP="0046390E">
      <w:pPr>
        <w:widowControl w:val="0"/>
        <w:autoSpaceDE w:val="0"/>
        <w:autoSpaceDN w:val="0"/>
        <w:adjustRightInd w:val="0"/>
        <w:jc w:val="both"/>
        <w:rPr>
          <w:rFonts w:ascii="Perpetua" w:hAnsi="Perpetua"/>
        </w:rPr>
      </w:pPr>
    </w:p>
    <w:p w14:paraId="31C3765A" w14:textId="77777777" w:rsidR="0046390E" w:rsidRPr="00FC677E" w:rsidRDefault="0046390E" w:rsidP="0046390E">
      <w:pPr>
        <w:ind w:left="3600" w:hanging="3600"/>
        <w:jc w:val="both"/>
        <w:rPr>
          <w:rFonts w:ascii="Perpetua" w:hAnsi="Perpetua"/>
        </w:rPr>
      </w:pPr>
      <w:r w:rsidRPr="00FC677E">
        <w:rPr>
          <w:rFonts w:ascii="Perpetua" w:hAnsi="Perpetua"/>
        </w:rPr>
        <w:t>Gardiner, S.M. and A. Thompson (eds.)</w:t>
      </w:r>
      <w:r w:rsidRPr="00FC677E">
        <w:rPr>
          <w:rFonts w:ascii="Perpetua" w:hAnsi="Perpetua"/>
        </w:rPr>
        <w:tab/>
      </w:r>
      <w:r w:rsidRPr="00FC677E">
        <w:rPr>
          <w:rFonts w:ascii="Perpetua" w:hAnsi="Perpetua"/>
          <w:i/>
          <w:iCs/>
        </w:rPr>
        <w:t xml:space="preserve">The Oxford Handbook of Environmental Ethics </w:t>
      </w:r>
      <w:r w:rsidRPr="00FC677E">
        <w:rPr>
          <w:rFonts w:ascii="Perpetua" w:hAnsi="Perpetua"/>
        </w:rPr>
        <w:t xml:space="preserve">(Oxford: OUP, 2015). </w:t>
      </w:r>
    </w:p>
    <w:p w14:paraId="32A02CF8" w14:textId="77777777" w:rsidR="0046390E" w:rsidRDefault="0046390E" w:rsidP="0046390E">
      <w:pPr>
        <w:jc w:val="both"/>
        <w:rPr>
          <w:rFonts w:ascii="Perpetua" w:hAnsi="Perpetua"/>
        </w:rPr>
      </w:pPr>
    </w:p>
    <w:p w14:paraId="45EA0182" w14:textId="77777777" w:rsidR="0046390E" w:rsidRPr="00595AC7" w:rsidRDefault="0046390E" w:rsidP="0046390E">
      <w:pPr>
        <w:ind w:left="2880" w:hanging="2880"/>
        <w:jc w:val="both"/>
        <w:rPr>
          <w:rFonts w:ascii="Perpetua" w:hAnsi="Perpetua"/>
        </w:rPr>
      </w:pPr>
      <w:r w:rsidRPr="00595AC7">
        <w:rPr>
          <w:rFonts w:ascii="Perpetua" w:hAnsi="Perpetua"/>
        </w:rPr>
        <w:t xml:space="preserve">Goodpaster, K.E. </w:t>
      </w:r>
      <w:r w:rsidRPr="00595AC7">
        <w:rPr>
          <w:rFonts w:ascii="Perpetua" w:hAnsi="Perpetua"/>
        </w:rPr>
        <w:tab/>
        <w:t>‘Morality and Organizations’</w:t>
      </w:r>
      <w:r>
        <w:rPr>
          <w:rFonts w:ascii="Perpetua" w:hAnsi="Perpetua"/>
        </w:rPr>
        <w:t xml:space="preserve">, </w:t>
      </w:r>
      <w:r w:rsidRPr="00595AC7">
        <w:rPr>
          <w:rFonts w:ascii="Perpetua" w:hAnsi="Perpetua"/>
          <w:i/>
          <w:iCs/>
        </w:rPr>
        <w:t xml:space="preserve">Proceedings of the Second National Conference on Business Ethics </w:t>
      </w:r>
      <w:r w:rsidRPr="00595AC7">
        <w:rPr>
          <w:rFonts w:ascii="Perpetua" w:hAnsi="Perpetua"/>
        </w:rPr>
        <w:t>(Waltham, Mass: Bentley College, 1978).</w:t>
      </w:r>
    </w:p>
    <w:p w14:paraId="3D48A2C8" w14:textId="77777777" w:rsidR="0046390E" w:rsidRDefault="0046390E" w:rsidP="0046390E">
      <w:pPr>
        <w:jc w:val="both"/>
        <w:rPr>
          <w:rFonts w:ascii="Perpetua" w:hAnsi="Perpetua"/>
        </w:rPr>
      </w:pPr>
    </w:p>
    <w:p w14:paraId="2699A23B" w14:textId="77777777" w:rsidR="0046390E" w:rsidRPr="00595AC7" w:rsidRDefault="0046390E" w:rsidP="0046390E">
      <w:pPr>
        <w:ind w:left="2880" w:hanging="2880"/>
        <w:jc w:val="both"/>
        <w:rPr>
          <w:rFonts w:ascii="Perpetua" w:hAnsi="Perpetua"/>
        </w:rPr>
      </w:pPr>
      <w:r w:rsidRPr="00595AC7">
        <w:rPr>
          <w:rFonts w:ascii="Perpetua" w:hAnsi="Perpetua"/>
        </w:rPr>
        <w:t>Goodpaster, K.E.</w:t>
      </w:r>
      <w:r w:rsidRPr="00595AC7">
        <w:rPr>
          <w:rFonts w:ascii="Perpetua" w:hAnsi="Perpetua"/>
        </w:rPr>
        <w:tab/>
        <w:t xml:space="preserve"> ‘On Being Morally Considerable’, </w:t>
      </w:r>
      <w:r w:rsidRPr="00595AC7">
        <w:rPr>
          <w:rFonts w:ascii="Perpetua" w:hAnsi="Perpetua"/>
          <w:i/>
          <w:iCs/>
        </w:rPr>
        <w:t>Journal of Philosophy</w:t>
      </w:r>
      <w:r w:rsidRPr="00595AC7">
        <w:rPr>
          <w:rFonts w:ascii="Perpetua" w:hAnsi="Perpetua"/>
        </w:rPr>
        <w:t>,</w:t>
      </w:r>
      <w:r w:rsidRPr="00595AC7">
        <w:rPr>
          <w:rFonts w:ascii="Perpetua" w:hAnsi="Perpetua"/>
          <w:i/>
          <w:iCs/>
        </w:rPr>
        <w:t xml:space="preserve"> </w:t>
      </w:r>
      <w:r w:rsidRPr="00595AC7">
        <w:rPr>
          <w:rFonts w:ascii="Perpetua" w:hAnsi="Perpetua"/>
        </w:rPr>
        <w:t>75 (1978), pp. 308 – 25.</w:t>
      </w:r>
    </w:p>
    <w:p w14:paraId="6EF18786" w14:textId="77777777" w:rsidR="0046390E" w:rsidRPr="00595AC7" w:rsidRDefault="0046390E" w:rsidP="0046390E">
      <w:pPr>
        <w:ind w:left="2880" w:hanging="2880"/>
        <w:jc w:val="both"/>
        <w:rPr>
          <w:rFonts w:ascii="Perpetua" w:hAnsi="Perpetua"/>
        </w:rPr>
      </w:pPr>
      <w:r w:rsidRPr="00595AC7">
        <w:rPr>
          <w:rFonts w:ascii="Perpetua" w:hAnsi="Perpetua"/>
        </w:rPr>
        <w:t>Goodpaster, K.E.</w:t>
      </w:r>
      <w:r w:rsidRPr="00595AC7">
        <w:rPr>
          <w:rFonts w:ascii="Perpetua" w:hAnsi="Perpetua"/>
        </w:rPr>
        <w:tab/>
        <w:t xml:space="preserve">‘On Stopping at Everything: A Reply to W.M. Hunt’, </w:t>
      </w:r>
      <w:r w:rsidRPr="00595AC7">
        <w:rPr>
          <w:rFonts w:ascii="Perpetua" w:hAnsi="Perpetua"/>
          <w:i/>
          <w:iCs/>
        </w:rPr>
        <w:t>Environmental Ethics</w:t>
      </w:r>
      <w:r w:rsidRPr="00595AC7">
        <w:rPr>
          <w:rFonts w:ascii="Perpetua" w:hAnsi="Perpetua"/>
        </w:rPr>
        <w:t>, 2 (1980), pp. 21 – 35.</w:t>
      </w:r>
    </w:p>
    <w:p w14:paraId="02C6E64E" w14:textId="0BBB2413" w:rsidR="0046390E" w:rsidRDefault="0046390E" w:rsidP="0046390E">
      <w:pPr>
        <w:ind w:left="2880" w:hanging="2880"/>
        <w:jc w:val="both"/>
        <w:rPr>
          <w:rFonts w:ascii="Perpetua" w:hAnsi="Perpetua" w:cs="Times New Roman"/>
          <w:color w:val="2A2A2A"/>
          <w:kern w:val="0"/>
        </w:rPr>
      </w:pPr>
      <w:r w:rsidRPr="00595AC7">
        <w:rPr>
          <w:rFonts w:ascii="Perpetua" w:hAnsi="Perpetua"/>
        </w:rPr>
        <w:t>Goodpaster, K.E.</w:t>
      </w:r>
      <w:r w:rsidRPr="00595AC7">
        <w:rPr>
          <w:rFonts w:ascii="Perpetua" w:hAnsi="Perpetua"/>
        </w:rPr>
        <w:tab/>
      </w:r>
      <w:r w:rsidRPr="00595AC7">
        <w:rPr>
          <w:rFonts w:ascii="Perpetua" w:hAnsi="Perpetua" w:cs="Times New Roman"/>
          <w:color w:val="2A2A2A"/>
          <w:kern w:val="0"/>
        </w:rPr>
        <w:t xml:space="preserve">‘Moral Consideration and the Environment: Perception, Analysis, and Synthesis’, </w:t>
      </w:r>
      <w:proofErr w:type="spellStart"/>
      <w:r w:rsidRPr="00595AC7">
        <w:rPr>
          <w:rFonts w:ascii="Perpetua" w:hAnsi="Perpetua" w:cs="Times New Roman"/>
          <w:i/>
          <w:iCs/>
          <w:color w:val="2A2A2A"/>
          <w:kern w:val="0"/>
        </w:rPr>
        <w:t>Topoi</w:t>
      </w:r>
      <w:proofErr w:type="spellEnd"/>
      <w:r w:rsidRPr="00595AC7">
        <w:rPr>
          <w:rFonts w:ascii="Perpetua" w:hAnsi="Perpetua" w:cs="Times New Roman"/>
          <w:color w:val="2A2A2A"/>
          <w:kern w:val="0"/>
        </w:rPr>
        <w:t>, 12(1) (1993), pp. 5 – 20.</w:t>
      </w:r>
    </w:p>
    <w:p w14:paraId="78408F99" w14:textId="77777777" w:rsidR="0046390E" w:rsidRPr="0046390E" w:rsidRDefault="0046390E" w:rsidP="0046390E">
      <w:pPr>
        <w:ind w:left="2880" w:hanging="2880"/>
        <w:jc w:val="both"/>
        <w:rPr>
          <w:rFonts w:ascii="Perpetua" w:hAnsi="Perpetua" w:cs="Times New Roman"/>
          <w:color w:val="2A2A2A"/>
          <w:kern w:val="0"/>
        </w:rPr>
      </w:pPr>
    </w:p>
    <w:p w14:paraId="237DF9D5" w14:textId="77777777" w:rsidR="0046390E" w:rsidRPr="00FC677E" w:rsidRDefault="0046390E" w:rsidP="0046390E">
      <w:pPr>
        <w:widowControl w:val="0"/>
        <w:autoSpaceDE w:val="0"/>
        <w:autoSpaceDN w:val="0"/>
        <w:adjustRightInd w:val="0"/>
        <w:jc w:val="both"/>
        <w:rPr>
          <w:rFonts w:ascii="Perpetua" w:hAnsi="Perpetua"/>
        </w:rPr>
      </w:pPr>
      <w:r w:rsidRPr="00FC677E">
        <w:rPr>
          <w:rFonts w:ascii="Perpetua" w:hAnsi="Perpetua"/>
        </w:rPr>
        <w:t xml:space="preserve">Hare, R.M. </w:t>
      </w:r>
      <w:r w:rsidRPr="00FC677E">
        <w:rPr>
          <w:rFonts w:ascii="Perpetua" w:hAnsi="Perpetua"/>
        </w:rPr>
        <w:tab/>
      </w:r>
      <w:r w:rsidRPr="00FC677E">
        <w:rPr>
          <w:rFonts w:ascii="Perpetua" w:hAnsi="Perpetua"/>
        </w:rPr>
        <w:tab/>
      </w:r>
      <w:r>
        <w:rPr>
          <w:rFonts w:ascii="Perpetua" w:hAnsi="Perpetua"/>
        </w:rPr>
        <w:tab/>
      </w:r>
      <w:r w:rsidRPr="00FC677E">
        <w:rPr>
          <w:rStyle w:val="Emphasis"/>
          <w:rFonts w:ascii="Perpetua" w:hAnsi="Perpetua"/>
          <w:color w:val="1A1A1A"/>
          <w:shd w:val="clear" w:color="auto" w:fill="FFFFFF"/>
        </w:rPr>
        <w:t xml:space="preserve">The Language of Morals </w:t>
      </w:r>
      <w:r w:rsidRPr="00FC677E">
        <w:rPr>
          <w:rStyle w:val="Emphasis"/>
          <w:rFonts w:ascii="Perpetua" w:hAnsi="Perpetua"/>
          <w:i w:val="0"/>
          <w:iCs w:val="0"/>
          <w:color w:val="1A1A1A"/>
          <w:shd w:val="clear" w:color="auto" w:fill="FFFFFF"/>
        </w:rPr>
        <w:t>(1952).</w:t>
      </w:r>
    </w:p>
    <w:p w14:paraId="32E61C66" w14:textId="77777777" w:rsidR="0046390E" w:rsidRPr="00FC677E" w:rsidRDefault="0046390E" w:rsidP="0046390E">
      <w:pPr>
        <w:widowControl w:val="0"/>
        <w:autoSpaceDE w:val="0"/>
        <w:autoSpaceDN w:val="0"/>
        <w:adjustRightInd w:val="0"/>
        <w:jc w:val="both"/>
        <w:rPr>
          <w:rFonts w:ascii="Perpetua" w:hAnsi="Perpetua"/>
        </w:rPr>
      </w:pPr>
    </w:p>
    <w:p w14:paraId="40DC527E" w14:textId="77777777" w:rsidR="0046390E" w:rsidRPr="00FC677E" w:rsidRDefault="0046390E" w:rsidP="0046390E">
      <w:pPr>
        <w:widowControl w:val="0"/>
        <w:autoSpaceDE w:val="0"/>
        <w:autoSpaceDN w:val="0"/>
        <w:adjustRightInd w:val="0"/>
        <w:ind w:left="2880" w:hanging="2880"/>
        <w:jc w:val="both"/>
        <w:rPr>
          <w:rFonts w:ascii="Perpetua" w:hAnsi="Perpetua"/>
        </w:rPr>
      </w:pPr>
      <w:proofErr w:type="spellStart"/>
      <w:r w:rsidRPr="00FC677E">
        <w:rPr>
          <w:rFonts w:ascii="Perpetua" w:hAnsi="Perpetua"/>
        </w:rPr>
        <w:t>Hersovici</w:t>
      </w:r>
      <w:proofErr w:type="spellEnd"/>
      <w:r w:rsidRPr="00FC677E">
        <w:rPr>
          <w:rFonts w:ascii="Perpetua" w:hAnsi="Perpetua"/>
        </w:rPr>
        <w:t>, A.</w:t>
      </w:r>
      <w:r>
        <w:rPr>
          <w:rFonts w:ascii="Perpetua" w:hAnsi="Perpetua"/>
        </w:rPr>
        <w:tab/>
      </w:r>
      <w:r w:rsidRPr="00FC677E">
        <w:rPr>
          <w:rFonts w:ascii="Perpetua" w:hAnsi="Perpetua"/>
          <w:i/>
          <w:iCs/>
        </w:rPr>
        <w:t>Second Nature: The Animal Rights Controversy</w:t>
      </w:r>
      <w:r w:rsidRPr="00FC677E">
        <w:rPr>
          <w:rFonts w:ascii="Perpetua" w:hAnsi="Perpetua"/>
        </w:rPr>
        <w:t xml:space="preserve"> (Toronto: CBC Enterprises, 1985).</w:t>
      </w:r>
    </w:p>
    <w:p w14:paraId="5F5572A7" w14:textId="77777777" w:rsidR="0046390E" w:rsidRPr="00FC677E" w:rsidRDefault="0046390E" w:rsidP="0046390E">
      <w:pPr>
        <w:widowControl w:val="0"/>
        <w:autoSpaceDE w:val="0"/>
        <w:autoSpaceDN w:val="0"/>
        <w:adjustRightInd w:val="0"/>
        <w:ind w:left="2880" w:hanging="2880"/>
        <w:jc w:val="both"/>
        <w:rPr>
          <w:rFonts w:ascii="Perpetua" w:hAnsi="Perpetua"/>
          <w:color w:val="3366FF"/>
        </w:rPr>
      </w:pPr>
      <w:r w:rsidRPr="00FC677E">
        <w:rPr>
          <w:rFonts w:ascii="Perpetua" w:hAnsi="Perpetua"/>
        </w:rPr>
        <w:t>Hunt, W. M</w:t>
      </w:r>
      <w:r>
        <w:rPr>
          <w:rFonts w:ascii="Perpetua" w:hAnsi="Perpetua"/>
        </w:rPr>
        <w:t>.</w:t>
      </w:r>
      <w:r w:rsidRPr="00FC677E">
        <w:rPr>
          <w:rFonts w:ascii="Perpetua" w:hAnsi="Perpetua"/>
        </w:rPr>
        <w:t xml:space="preserve">, </w:t>
      </w:r>
      <w:r>
        <w:rPr>
          <w:rFonts w:ascii="Perpetua" w:hAnsi="Perpetua"/>
        </w:rPr>
        <w:tab/>
      </w:r>
      <w:r w:rsidRPr="00FC677E">
        <w:rPr>
          <w:rFonts w:ascii="Perpetua" w:hAnsi="Perpetua"/>
        </w:rPr>
        <w:t xml:space="preserve">‘Are </w:t>
      </w:r>
      <w:r w:rsidRPr="00FC677E">
        <w:rPr>
          <w:rFonts w:ascii="Perpetua" w:hAnsi="Perpetua"/>
          <w:i/>
        </w:rPr>
        <w:t>Mere Things</w:t>
      </w:r>
      <w:r w:rsidRPr="00FC677E">
        <w:rPr>
          <w:rFonts w:ascii="Perpetua" w:hAnsi="Perpetua"/>
        </w:rPr>
        <w:t xml:space="preserve"> Morally Considerable?’, </w:t>
      </w:r>
      <w:r w:rsidRPr="00FC677E">
        <w:rPr>
          <w:rFonts w:ascii="Perpetua" w:hAnsi="Perpetua"/>
          <w:i/>
        </w:rPr>
        <w:t>Environmental Ethics</w:t>
      </w:r>
      <w:r w:rsidRPr="00FC677E">
        <w:rPr>
          <w:rFonts w:ascii="Perpetua" w:hAnsi="Perpetua"/>
        </w:rPr>
        <w:t>, Vol.2, No.1 (1980), pp.59-65</w:t>
      </w:r>
    </w:p>
    <w:p w14:paraId="6C1C6A6D" w14:textId="77777777" w:rsidR="0046390E" w:rsidRPr="00595AC7" w:rsidRDefault="0046390E" w:rsidP="0046390E">
      <w:pPr>
        <w:ind w:left="2880" w:hanging="2880"/>
        <w:jc w:val="both"/>
        <w:rPr>
          <w:rFonts w:ascii="Perpetua" w:hAnsi="Perpetua"/>
        </w:rPr>
      </w:pPr>
      <w:r w:rsidRPr="00595AC7">
        <w:rPr>
          <w:rFonts w:ascii="Perpetua" w:hAnsi="Perpetua"/>
        </w:rPr>
        <w:t>Jamieson, D.</w:t>
      </w:r>
      <w:r>
        <w:rPr>
          <w:rFonts w:ascii="Perpetua" w:hAnsi="Perpetua"/>
          <w:i/>
          <w:iCs/>
        </w:rPr>
        <w:tab/>
      </w:r>
      <w:r w:rsidRPr="00595AC7">
        <w:rPr>
          <w:rFonts w:ascii="Perpetua" w:hAnsi="Perpetua"/>
        </w:rPr>
        <w:t xml:space="preserve">‘Animal Liberation is an Environmental Ethic’, </w:t>
      </w:r>
      <w:r w:rsidRPr="00595AC7">
        <w:rPr>
          <w:rFonts w:ascii="Perpetua" w:hAnsi="Perpetua"/>
          <w:i/>
          <w:iCs/>
        </w:rPr>
        <w:t>Morality’s Progress: Essays on Humans, Other Animals, and Rest of Nature</w:t>
      </w:r>
      <w:r w:rsidRPr="00595AC7">
        <w:rPr>
          <w:rFonts w:ascii="Perpetua" w:hAnsi="Perpetua"/>
        </w:rPr>
        <w:t xml:space="preserve"> (Oxford: Clarendon, 1998), pp. 197 – 212.</w:t>
      </w:r>
    </w:p>
    <w:p w14:paraId="192BB7CF" w14:textId="77777777" w:rsidR="0046390E" w:rsidRPr="00595AC7" w:rsidRDefault="0046390E" w:rsidP="0046390E">
      <w:pPr>
        <w:ind w:left="2880" w:hanging="2880"/>
        <w:jc w:val="both"/>
        <w:rPr>
          <w:rFonts w:ascii="Perpetua" w:hAnsi="Perpetua"/>
        </w:rPr>
      </w:pPr>
      <w:r w:rsidRPr="00595AC7">
        <w:rPr>
          <w:rFonts w:ascii="Perpetua" w:hAnsi="Perpetua"/>
        </w:rPr>
        <w:t>Jamieson, D.</w:t>
      </w:r>
      <w:r>
        <w:rPr>
          <w:rFonts w:ascii="Perpetua" w:hAnsi="Perpetua"/>
        </w:rPr>
        <w:tab/>
      </w:r>
      <w:r w:rsidRPr="00595AC7">
        <w:rPr>
          <w:rFonts w:ascii="Perpetua" w:hAnsi="Perpetua"/>
          <w:i/>
          <w:iCs/>
        </w:rPr>
        <w:t>Morality’s Progress: Essays on Humans, Other Animals, and Rest of Nature</w:t>
      </w:r>
      <w:r w:rsidRPr="00595AC7">
        <w:rPr>
          <w:rFonts w:ascii="Perpetua" w:hAnsi="Perpetua"/>
        </w:rPr>
        <w:t xml:space="preserve"> (Oxford: Clarendon, 1998).</w:t>
      </w:r>
    </w:p>
    <w:p w14:paraId="3D373C5E" w14:textId="77777777" w:rsidR="0046390E" w:rsidRPr="00FC677E" w:rsidRDefault="0046390E" w:rsidP="0046390E">
      <w:pPr>
        <w:pStyle w:val="ListParagraph"/>
        <w:ind w:left="3600" w:hanging="2880"/>
        <w:jc w:val="both"/>
        <w:rPr>
          <w:rFonts w:ascii="Perpetua" w:hAnsi="Perpetua"/>
          <w:color w:val="1A1A1A"/>
        </w:rPr>
      </w:pPr>
    </w:p>
    <w:p w14:paraId="0B13B685" w14:textId="77777777" w:rsidR="0046390E" w:rsidRDefault="0046390E" w:rsidP="0046390E">
      <w:pPr>
        <w:jc w:val="both"/>
        <w:rPr>
          <w:rFonts w:ascii="Perpetua" w:hAnsi="Perpetua"/>
          <w:color w:val="1A1A1A"/>
        </w:rPr>
      </w:pPr>
    </w:p>
    <w:p w14:paraId="0E4DD407" w14:textId="77777777" w:rsidR="0046390E" w:rsidRPr="00595AC7" w:rsidRDefault="0046390E" w:rsidP="0046390E">
      <w:pPr>
        <w:ind w:left="3600" w:hanging="3600"/>
        <w:jc w:val="both"/>
        <w:rPr>
          <w:rFonts w:ascii="Perpetua" w:hAnsi="Perpetua"/>
          <w:color w:val="1A1A1A"/>
        </w:rPr>
      </w:pPr>
      <w:r w:rsidRPr="00595AC7">
        <w:rPr>
          <w:rFonts w:ascii="Perpetua" w:hAnsi="Perpetua"/>
          <w:color w:val="1A1A1A"/>
        </w:rPr>
        <w:lastRenderedPageBreak/>
        <w:t>Jaworska, A. and J. Tannenbaum</w:t>
      </w:r>
      <w:r>
        <w:rPr>
          <w:rFonts w:ascii="Perpetua" w:hAnsi="Perpetua"/>
          <w:color w:val="1A1A1A"/>
        </w:rPr>
        <w:tab/>
      </w:r>
      <w:r w:rsidRPr="00595AC7">
        <w:rPr>
          <w:rFonts w:ascii="Perpetua" w:hAnsi="Perpetua"/>
          <w:color w:val="1A1A1A"/>
        </w:rPr>
        <w:t>"The Grounds of Moral Status", </w:t>
      </w:r>
      <w:r w:rsidRPr="00595AC7">
        <w:rPr>
          <w:rStyle w:val="Emphasis"/>
          <w:rFonts w:ascii="Perpetua" w:hAnsi="Perpetua"/>
          <w:color w:val="1A1A1A"/>
        </w:rPr>
        <w:t xml:space="preserve">The Stanford </w:t>
      </w:r>
      <w:proofErr w:type="spellStart"/>
      <w:r w:rsidRPr="00595AC7">
        <w:rPr>
          <w:rStyle w:val="Emphasis"/>
          <w:rFonts w:ascii="Perpetua" w:hAnsi="Perpetua"/>
          <w:color w:val="1A1A1A"/>
        </w:rPr>
        <w:t>Encyclopedia</w:t>
      </w:r>
      <w:proofErr w:type="spellEnd"/>
      <w:r w:rsidRPr="00595AC7">
        <w:rPr>
          <w:rStyle w:val="Emphasis"/>
          <w:rFonts w:ascii="Perpetua" w:hAnsi="Perpetua"/>
          <w:color w:val="1A1A1A"/>
        </w:rPr>
        <w:t xml:space="preserve"> of Philosophy (Fall 2018 Edition)</w:t>
      </w:r>
      <w:r w:rsidRPr="00595AC7">
        <w:rPr>
          <w:rFonts w:ascii="Perpetua" w:hAnsi="Perpetua"/>
          <w:color w:val="1A1A1A"/>
        </w:rPr>
        <w:t>, Edward N. Zalta (ed.), URL = &lt;https://plato.stanford.edu/archives/fall2018/entries/grounds-moral-status/&gt;.</w:t>
      </w:r>
    </w:p>
    <w:p w14:paraId="5ACBBD80" w14:textId="77777777" w:rsidR="0046390E" w:rsidRPr="00FC677E" w:rsidRDefault="0046390E" w:rsidP="0046390E">
      <w:pPr>
        <w:ind w:left="3600" w:hanging="3600"/>
        <w:jc w:val="both"/>
        <w:rPr>
          <w:rFonts w:ascii="Perpetua" w:hAnsi="Perpetua"/>
        </w:rPr>
      </w:pPr>
      <w:r w:rsidRPr="00FC677E">
        <w:rPr>
          <w:rFonts w:ascii="Perpetua" w:hAnsi="Perpetua"/>
          <w:color w:val="1A1A1A"/>
        </w:rPr>
        <w:t xml:space="preserve">Kauppinen, A. </w:t>
      </w:r>
      <w:r w:rsidRPr="00FC677E">
        <w:rPr>
          <w:rFonts w:ascii="Perpetua" w:hAnsi="Perpetua"/>
          <w:color w:val="1A1A1A"/>
        </w:rPr>
        <w:tab/>
        <w:t>‘Moral Sentimentalism’, </w:t>
      </w:r>
      <w:r w:rsidRPr="00FC677E">
        <w:rPr>
          <w:rStyle w:val="Emphasis"/>
          <w:rFonts w:ascii="Perpetua" w:hAnsi="Perpetua"/>
          <w:color w:val="1A1A1A"/>
        </w:rPr>
        <w:t xml:space="preserve">The Stanford </w:t>
      </w:r>
      <w:proofErr w:type="spellStart"/>
      <w:r w:rsidRPr="00FC677E">
        <w:rPr>
          <w:rStyle w:val="Emphasis"/>
          <w:rFonts w:ascii="Perpetua" w:hAnsi="Perpetua"/>
          <w:color w:val="1A1A1A"/>
        </w:rPr>
        <w:t>Encyclopedia</w:t>
      </w:r>
      <w:proofErr w:type="spellEnd"/>
      <w:r w:rsidRPr="00FC677E">
        <w:rPr>
          <w:rStyle w:val="Emphasis"/>
          <w:rFonts w:ascii="Perpetua" w:hAnsi="Perpetua"/>
          <w:color w:val="1A1A1A"/>
        </w:rPr>
        <w:t xml:space="preserve"> of Philosophy </w:t>
      </w:r>
      <w:r w:rsidRPr="00FC677E">
        <w:rPr>
          <w:rFonts w:ascii="Perpetua" w:hAnsi="Perpetua"/>
          <w:color w:val="1A1A1A"/>
        </w:rPr>
        <w:t>(Spring 2022 Edition), Edward N. Zalta (ed.), URL =&lt;https://plato.stanford.edu/archives/spr2022/entries/moral-sentimentalism/&gt;.</w:t>
      </w:r>
      <w:r w:rsidRPr="00FC677E">
        <w:rPr>
          <w:rFonts w:ascii="Perpetua" w:hAnsi="Perpetua"/>
        </w:rPr>
        <w:t xml:space="preserve">   </w:t>
      </w:r>
    </w:p>
    <w:p w14:paraId="5531B0BD" w14:textId="77777777" w:rsidR="0046390E" w:rsidRPr="00FC677E" w:rsidRDefault="0046390E" w:rsidP="0046390E">
      <w:pPr>
        <w:jc w:val="both"/>
        <w:rPr>
          <w:rFonts w:ascii="Perpetua" w:hAnsi="Perpetua"/>
          <w:b/>
          <w:bCs/>
        </w:rPr>
      </w:pPr>
    </w:p>
    <w:p w14:paraId="6E56294F" w14:textId="77777777" w:rsidR="0046390E" w:rsidRPr="00927A65" w:rsidRDefault="0046390E" w:rsidP="0046390E">
      <w:pPr>
        <w:ind w:left="3600" w:hanging="3600"/>
        <w:jc w:val="both"/>
        <w:rPr>
          <w:rFonts w:ascii="Perpetua" w:hAnsi="Perpetua"/>
          <w:i/>
          <w:iCs/>
        </w:rPr>
      </w:pPr>
      <w:proofErr w:type="spellStart"/>
      <w:r w:rsidRPr="00FC677E">
        <w:rPr>
          <w:rFonts w:ascii="Perpetua" w:hAnsi="Perpetua"/>
        </w:rPr>
        <w:t>Kheel</w:t>
      </w:r>
      <w:proofErr w:type="spellEnd"/>
      <w:r w:rsidRPr="00FC677E">
        <w:rPr>
          <w:rFonts w:ascii="Perpetua" w:hAnsi="Perpetua"/>
        </w:rPr>
        <w:t xml:space="preserve">, M. </w:t>
      </w:r>
      <w:r>
        <w:rPr>
          <w:rFonts w:ascii="Perpetua" w:hAnsi="Perpetua"/>
        </w:rPr>
        <w:tab/>
      </w:r>
      <w:r w:rsidRPr="00FC677E">
        <w:rPr>
          <w:rFonts w:ascii="Perpetua" w:hAnsi="Perpetua"/>
        </w:rPr>
        <w:t>‘The Liberation of Nature: A Circular Affair’,</w:t>
      </w:r>
      <w:r w:rsidRPr="00FC677E">
        <w:rPr>
          <w:rFonts w:ascii="Perpetua" w:hAnsi="Perpetua"/>
          <w:i/>
          <w:iCs/>
        </w:rPr>
        <w:t xml:space="preserve"> Environmental Ethics </w:t>
      </w:r>
      <w:r w:rsidRPr="00FC677E">
        <w:rPr>
          <w:rFonts w:ascii="Perpetua" w:hAnsi="Perpetua"/>
        </w:rPr>
        <w:t>7 (1985), pp. 135 – 149.</w:t>
      </w:r>
    </w:p>
    <w:p w14:paraId="7A7BB60E" w14:textId="77777777" w:rsidR="0046390E" w:rsidRPr="00FC677E" w:rsidRDefault="0046390E" w:rsidP="0046390E">
      <w:pPr>
        <w:pStyle w:val="FootnoteText"/>
        <w:ind w:left="3600" w:hanging="3600"/>
        <w:jc w:val="both"/>
        <w:rPr>
          <w:rFonts w:ascii="Perpetua" w:hAnsi="Perpetua" w:cs="Times New Roman"/>
          <w:color w:val="2A2A2A"/>
          <w:kern w:val="0"/>
          <w:sz w:val="24"/>
          <w:szCs w:val="24"/>
        </w:rPr>
      </w:pPr>
      <w:r w:rsidRPr="00FC677E">
        <w:rPr>
          <w:rFonts w:ascii="Perpetua" w:hAnsi="Perpetua" w:cs="Times New Roman"/>
          <w:color w:val="2A2A2A"/>
          <w:kern w:val="0"/>
          <w:sz w:val="24"/>
          <w:szCs w:val="24"/>
        </w:rPr>
        <w:t xml:space="preserve">Light, A. </w:t>
      </w:r>
      <w:r>
        <w:rPr>
          <w:rFonts w:ascii="Perpetua" w:hAnsi="Perpetua" w:cs="Times New Roman"/>
          <w:color w:val="2A2A2A"/>
          <w:kern w:val="0"/>
          <w:sz w:val="24"/>
          <w:szCs w:val="24"/>
        </w:rPr>
        <w:tab/>
      </w:r>
      <w:r w:rsidRPr="00FC677E">
        <w:rPr>
          <w:rFonts w:ascii="Perpetua" w:hAnsi="Perpetua" w:cs="Times New Roman"/>
          <w:color w:val="2A2A2A"/>
          <w:kern w:val="0"/>
          <w:sz w:val="24"/>
          <w:szCs w:val="24"/>
        </w:rPr>
        <w:t xml:space="preserve">‘Contemporary Environmental Ethics </w:t>
      </w:r>
      <w:proofErr w:type="gramStart"/>
      <w:r w:rsidRPr="00FC677E">
        <w:rPr>
          <w:rFonts w:ascii="Perpetua" w:hAnsi="Perpetua" w:cs="Times New Roman"/>
          <w:color w:val="2A2A2A"/>
          <w:kern w:val="0"/>
          <w:sz w:val="24"/>
          <w:szCs w:val="24"/>
        </w:rPr>
        <w:t>From</w:t>
      </w:r>
      <w:proofErr w:type="gramEnd"/>
      <w:r w:rsidRPr="00FC677E">
        <w:rPr>
          <w:rFonts w:ascii="Perpetua" w:hAnsi="Perpetua" w:cs="Times New Roman"/>
          <w:color w:val="2A2A2A"/>
          <w:kern w:val="0"/>
          <w:sz w:val="24"/>
          <w:szCs w:val="24"/>
        </w:rPr>
        <w:t xml:space="preserve"> Metaethics to Public Philosophy</w:t>
      </w:r>
      <w:proofErr w:type="gramStart"/>
      <w:r w:rsidRPr="00FC677E">
        <w:rPr>
          <w:rFonts w:ascii="Perpetua" w:hAnsi="Perpetua" w:cs="Times New Roman"/>
          <w:color w:val="2A2A2A"/>
          <w:kern w:val="0"/>
          <w:sz w:val="24"/>
          <w:szCs w:val="24"/>
        </w:rPr>
        <w:t xml:space="preserve">’,  </w:t>
      </w:r>
      <w:proofErr w:type="spellStart"/>
      <w:r w:rsidRPr="00FC677E">
        <w:rPr>
          <w:rStyle w:val="Emphasis"/>
          <w:rFonts w:ascii="Perpetua" w:hAnsi="Perpetua" w:cs="Arial"/>
          <w:sz w:val="24"/>
          <w:szCs w:val="24"/>
        </w:rPr>
        <w:t>Metaphilosophy</w:t>
      </w:r>
      <w:proofErr w:type="spellEnd"/>
      <w:proofErr w:type="gramEnd"/>
      <w:r w:rsidRPr="00FC677E">
        <w:rPr>
          <w:rFonts w:ascii="Perpetua" w:hAnsi="Perpetua"/>
          <w:sz w:val="24"/>
          <w:szCs w:val="24"/>
        </w:rPr>
        <w:t>, 33 [4] (2002)</w:t>
      </w:r>
      <w:r>
        <w:rPr>
          <w:rFonts w:ascii="Perpetua" w:hAnsi="Perpetua"/>
          <w:sz w:val="24"/>
          <w:szCs w:val="24"/>
        </w:rPr>
        <w:t xml:space="preserve">, </w:t>
      </w:r>
      <w:r w:rsidRPr="00FC677E">
        <w:rPr>
          <w:rFonts w:ascii="Perpetua" w:hAnsi="Perpetua"/>
          <w:sz w:val="24"/>
          <w:szCs w:val="24"/>
        </w:rPr>
        <w:t>pp. 426–449</w:t>
      </w:r>
      <w:r>
        <w:rPr>
          <w:rFonts w:ascii="Perpetua" w:hAnsi="Perpetua"/>
          <w:sz w:val="24"/>
          <w:szCs w:val="24"/>
        </w:rPr>
        <w:t>.</w:t>
      </w:r>
    </w:p>
    <w:p w14:paraId="770428C0" w14:textId="77777777" w:rsidR="0046390E" w:rsidRPr="00FC677E" w:rsidRDefault="0046390E" w:rsidP="0046390E">
      <w:pPr>
        <w:pStyle w:val="ListParagraph"/>
        <w:ind w:left="3600" w:hanging="2880"/>
        <w:jc w:val="both"/>
        <w:rPr>
          <w:rFonts w:ascii="Perpetua" w:hAnsi="Perpetua"/>
          <w:b/>
          <w:bCs/>
        </w:rPr>
      </w:pPr>
    </w:p>
    <w:p w14:paraId="759C3CB7" w14:textId="77777777" w:rsidR="0046390E" w:rsidRPr="00FC677E" w:rsidRDefault="0046390E" w:rsidP="0046390E">
      <w:pPr>
        <w:pStyle w:val="ListParagraph"/>
        <w:ind w:left="3600" w:hanging="2880"/>
        <w:jc w:val="both"/>
        <w:rPr>
          <w:rFonts w:ascii="Perpetua" w:hAnsi="Perpetua"/>
          <w:b/>
          <w:bCs/>
        </w:rPr>
      </w:pPr>
    </w:p>
    <w:p w14:paraId="05D23923" w14:textId="77777777" w:rsidR="0046390E" w:rsidRPr="00927A65" w:rsidRDefault="0046390E" w:rsidP="0046390E">
      <w:pPr>
        <w:jc w:val="both"/>
        <w:rPr>
          <w:rFonts w:ascii="Perpetua" w:hAnsi="Perpetua"/>
          <w:b/>
          <w:bCs/>
        </w:rPr>
      </w:pPr>
      <w:r w:rsidRPr="00927A65">
        <w:rPr>
          <w:rFonts w:ascii="Perpetua" w:hAnsi="Perpetua"/>
          <w:iCs/>
        </w:rPr>
        <w:t xml:space="preserve">Light, A. and E. Katz </w:t>
      </w:r>
      <w:r w:rsidRPr="00927A65">
        <w:rPr>
          <w:rFonts w:ascii="Perpetua" w:hAnsi="Perpetua"/>
          <w:i/>
        </w:rPr>
        <w:tab/>
      </w:r>
      <w:r>
        <w:rPr>
          <w:rFonts w:ascii="Perpetua" w:hAnsi="Perpetua"/>
          <w:i/>
        </w:rPr>
        <w:tab/>
      </w:r>
      <w:r>
        <w:rPr>
          <w:rFonts w:ascii="Perpetua" w:hAnsi="Perpetua"/>
          <w:i/>
        </w:rPr>
        <w:tab/>
      </w:r>
      <w:r w:rsidRPr="00927A65">
        <w:rPr>
          <w:rFonts w:ascii="Perpetua" w:hAnsi="Perpetua"/>
          <w:i/>
        </w:rPr>
        <w:t>Environmental Pragmatism</w:t>
      </w:r>
      <w:r w:rsidRPr="00927A65">
        <w:rPr>
          <w:rFonts w:ascii="Perpetua" w:hAnsi="Perpetua"/>
          <w:iCs/>
        </w:rPr>
        <w:t xml:space="preserve"> (London: Routledge, 1996)</w:t>
      </w:r>
    </w:p>
    <w:p w14:paraId="6CE6A28B" w14:textId="77777777" w:rsidR="0046390E" w:rsidRPr="00927A65" w:rsidRDefault="0046390E" w:rsidP="0046390E">
      <w:pPr>
        <w:jc w:val="both"/>
        <w:rPr>
          <w:rFonts w:ascii="Perpetua" w:hAnsi="Perpetua"/>
          <w:b/>
          <w:bCs/>
        </w:rPr>
      </w:pPr>
    </w:p>
    <w:p w14:paraId="66F69C7D" w14:textId="77777777" w:rsidR="0046390E" w:rsidRPr="00927A65" w:rsidRDefault="0046390E" w:rsidP="0046390E">
      <w:pPr>
        <w:ind w:left="3600" w:hanging="3600"/>
        <w:jc w:val="both"/>
        <w:rPr>
          <w:rFonts w:ascii="Perpetua" w:hAnsi="Perpetua"/>
        </w:rPr>
      </w:pPr>
      <w:r w:rsidRPr="00927A65">
        <w:rPr>
          <w:rFonts w:ascii="Perpetua" w:hAnsi="Perpetua"/>
        </w:rPr>
        <w:t>Lynge, F.</w:t>
      </w:r>
      <w:r>
        <w:rPr>
          <w:rFonts w:ascii="Perpetua" w:hAnsi="Perpetua"/>
        </w:rPr>
        <w:tab/>
      </w:r>
      <w:r w:rsidRPr="00927A65">
        <w:rPr>
          <w:rFonts w:ascii="Perpetua" w:hAnsi="Perpetua"/>
          <w:i/>
          <w:iCs/>
        </w:rPr>
        <w:t>Arctic Wars, Animal Rights, Endangered Peoples</w:t>
      </w:r>
      <w:r w:rsidRPr="00927A65">
        <w:rPr>
          <w:rFonts w:ascii="Perpetua" w:hAnsi="Perpetua"/>
        </w:rPr>
        <w:t xml:space="preserve"> (Hanover Press: University of New England, 1992)</w:t>
      </w:r>
    </w:p>
    <w:p w14:paraId="1DDE5A21" w14:textId="77777777" w:rsidR="0046390E" w:rsidRDefault="0046390E" w:rsidP="0046390E">
      <w:pPr>
        <w:ind w:left="2160" w:hanging="2160"/>
        <w:jc w:val="both"/>
        <w:rPr>
          <w:rFonts w:ascii="Perpetua" w:hAnsi="Perpetua"/>
          <w:b/>
          <w:bCs/>
        </w:rPr>
      </w:pPr>
    </w:p>
    <w:p w14:paraId="76345AFC" w14:textId="77777777" w:rsidR="0046390E" w:rsidRPr="00927A65" w:rsidRDefault="0046390E" w:rsidP="0046390E">
      <w:pPr>
        <w:ind w:left="3600" w:hanging="3600"/>
        <w:jc w:val="both"/>
        <w:rPr>
          <w:rFonts w:ascii="Perpetua" w:hAnsi="Perpetua"/>
          <w:iCs/>
        </w:rPr>
      </w:pPr>
      <w:r w:rsidRPr="00927A65">
        <w:rPr>
          <w:rFonts w:ascii="Perpetua" w:hAnsi="Perpetua"/>
        </w:rPr>
        <w:t>McShane, K.</w:t>
      </w:r>
      <w:r w:rsidRPr="00927A65">
        <w:rPr>
          <w:rFonts w:ascii="Perpetua" w:hAnsi="Perpetua"/>
        </w:rPr>
        <w:tab/>
        <w:t xml:space="preserve">‘Anthropocentrism vs. </w:t>
      </w:r>
      <w:proofErr w:type="spellStart"/>
      <w:r w:rsidRPr="00927A65">
        <w:rPr>
          <w:rFonts w:ascii="Perpetua" w:hAnsi="Perpetua"/>
        </w:rPr>
        <w:t>Nonanthropocentrism</w:t>
      </w:r>
      <w:proofErr w:type="spellEnd"/>
      <w:r w:rsidRPr="00927A65">
        <w:rPr>
          <w:rFonts w:ascii="Perpetua" w:hAnsi="Perpetua"/>
        </w:rPr>
        <w:t xml:space="preserve">: Why Should We Care?’, </w:t>
      </w:r>
      <w:r w:rsidRPr="00927A65">
        <w:rPr>
          <w:rFonts w:ascii="Perpetua" w:hAnsi="Perpetua"/>
          <w:i/>
        </w:rPr>
        <w:t xml:space="preserve">Environmental Values </w:t>
      </w:r>
      <w:r w:rsidRPr="00927A65">
        <w:rPr>
          <w:rFonts w:ascii="Perpetua" w:hAnsi="Perpetua"/>
          <w:iCs/>
        </w:rPr>
        <w:t>16 (2007), pp. 169 – 185.</w:t>
      </w:r>
    </w:p>
    <w:p w14:paraId="51935BD3" w14:textId="77777777" w:rsidR="0046390E" w:rsidRPr="00927A65" w:rsidRDefault="0046390E" w:rsidP="0046390E">
      <w:pPr>
        <w:pStyle w:val="ListParagraph"/>
        <w:ind w:left="3600" w:hanging="2880"/>
        <w:jc w:val="both"/>
        <w:rPr>
          <w:rFonts w:ascii="Perpetua" w:hAnsi="Perpetua"/>
          <w:iCs/>
        </w:rPr>
      </w:pPr>
    </w:p>
    <w:p w14:paraId="1D36853F" w14:textId="77777777" w:rsidR="0046390E" w:rsidRPr="00927A65" w:rsidRDefault="0046390E" w:rsidP="0046390E">
      <w:pPr>
        <w:ind w:left="3600" w:hanging="3600"/>
        <w:jc w:val="both"/>
        <w:rPr>
          <w:rFonts w:ascii="Perpetua" w:hAnsi="Perpetua"/>
        </w:rPr>
      </w:pPr>
      <w:r w:rsidRPr="00927A65">
        <w:rPr>
          <w:rFonts w:ascii="Perpetua" w:hAnsi="Perpetua"/>
        </w:rPr>
        <w:t xml:space="preserve">McShane, K. </w:t>
      </w:r>
      <w:r w:rsidRPr="00927A65">
        <w:rPr>
          <w:rFonts w:ascii="Perpetua" w:hAnsi="Perpetua"/>
        </w:rPr>
        <w:tab/>
        <w:t xml:space="preserve">‘Why Environmental Ethic Shouldn’t Give Up on Intrinsic Value’, </w:t>
      </w:r>
      <w:r w:rsidRPr="00927A65">
        <w:rPr>
          <w:rFonts w:ascii="Perpetua" w:hAnsi="Perpetua"/>
          <w:i/>
          <w:iCs/>
        </w:rPr>
        <w:t>Environmental Ethics</w:t>
      </w:r>
      <w:r w:rsidRPr="00927A65">
        <w:rPr>
          <w:rFonts w:ascii="Perpetua" w:hAnsi="Perpetua"/>
        </w:rPr>
        <w:t>, Vol. 29(1) (Spring 2007), pp. 43 – 61.</w:t>
      </w:r>
    </w:p>
    <w:p w14:paraId="4FA28253" w14:textId="77777777" w:rsidR="0046390E" w:rsidRDefault="0046390E" w:rsidP="0046390E">
      <w:pPr>
        <w:jc w:val="both"/>
        <w:rPr>
          <w:rFonts w:ascii="Perpetua" w:hAnsi="Perpetua"/>
        </w:rPr>
      </w:pPr>
    </w:p>
    <w:p w14:paraId="286E8C16" w14:textId="77777777" w:rsidR="0046390E" w:rsidRPr="00927A65" w:rsidRDefault="0046390E" w:rsidP="0046390E">
      <w:pPr>
        <w:ind w:left="3600" w:hanging="3600"/>
        <w:jc w:val="both"/>
        <w:rPr>
          <w:rFonts w:ascii="Perpetua" w:hAnsi="Perpetua"/>
          <w:b/>
          <w:bCs/>
        </w:rPr>
      </w:pPr>
      <w:r w:rsidRPr="00927A65">
        <w:rPr>
          <w:rFonts w:ascii="Perpetua" w:hAnsi="Perpetua"/>
        </w:rPr>
        <w:t>McShane, K.</w:t>
      </w:r>
      <w:r w:rsidRPr="00927A65">
        <w:rPr>
          <w:rFonts w:ascii="Perpetua" w:hAnsi="Perpetua"/>
        </w:rPr>
        <w:tab/>
      </w:r>
      <w:r>
        <w:rPr>
          <w:rFonts w:ascii="Perpetua" w:hAnsi="Perpetua"/>
        </w:rPr>
        <w:t>‘</w:t>
      </w:r>
      <w:r w:rsidRPr="00927A65">
        <w:rPr>
          <w:rFonts w:ascii="Perpetua" w:hAnsi="Perpetua"/>
        </w:rPr>
        <w:t xml:space="preserve">Environmental Ethics: An Overview’, </w:t>
      </w:r>
      <w:r w:rsidRPr="00927A65">
        <w:rPr>
          <w:rFonts w:ascii="Perpetua" w:hAnsi="Perpetua"/>
          <w:i/>
          <w:iCs/>
        </w:rPr>
        <w:t xml:space="preserve">Philosophy Compass </w:t>
      </w:r>
      <w:r w:rsidRPr="00927A65">
        <w:rPr>
          <w:rFonts w:ascii="Perpetua" w:hAnsi="Perpetua"/>
        </w:rPr>
        <w:t>4/3</w:t>
      </w:r>
      <w:r w:rsidRPr="00927A65">
        <w:rPr>
          <w:rFonts w:ascii="Perpetua" w:hAnsi="Perpetua" w:cs="Times New Roman"/>
          <w:color w:val="2A2A2A"/>
          <w:kern w:val="0"/>
        </w:rPr>
        <w:t xml:space="preserve"> (2009)</w:t>
      </w:r>
      <w:r>
        <w:rPr>
          <w:rFonts w:ascii="Perpetua" w:hAnsi="Perpetua" w:cs="Times New Roman"/>
          <w:color w:val="2A2A2A"/>
          <w:kern w:val="0"/>
        </w:rPr>
        <w:t>,</w:t>
      </w:r>
      <w:r w:rsidRPr="00927A65">
        <w:rPr>
          <w:rFonts w:ascii="Perpetua" w:hAnsi="Perpetua" w:cs="Times New Roman"/>
          <w:color w:val="2A2A2A"/>
          <w:kern w:val="0"/>
        </w:rPr>
        <w:t xml:space="preserve"> </w:t>
      </w:r>
      <w:r>
        <w:rPr>
          <w:rFonts w:ascii="Perpetua" w:hAnsi="Perpetua" w:cs="Times New Roman"/>
          <w:color w:val="2A2A2A"/>
          <w:kern w:val="0"/>
        </w:rPr>
        <w:t>p</w:t>
      </w:r>
      <w:r w:rsidRPr="00927A65">
        <w:rPr>
          <w:rFonts w:ascii="Perpetua" w:hAnsi="Perpetua" w:cs="Times New Roman"/>
          <w:color w:val="2A2A2A"/>
          <w:kern w:val="0"/>
        </w:rPr>
        <w:t>p. 407</w:t>
      </w:r>
      <w:r>
        <w:rPr>
          <w:rFonts w:ascii="Perpetua" w:hAnsi="Perpetua" w:cs="Times New Roman"/>
          <w:color w:val="2A2A2A"/>
          <w:kern w:val="0"/>
        </w:rPr>
        <w:t xml:space="preserve"> – 420.</w:t>
      </w:r>
    </w:p>
    <w:p w14:paraId="3400EAFB" w14:textId="77777777" w:rsidR="0046390E" w:rsidRDefault="0046390E" w:rsidP="0046390E">
      <w:pPr>
        <w:pStyle w:val="FootnoteText"/>
        <w:jc w:val="both"/>
        <w:rPr>
          <w:rFonts w:ascii="Perpetua" w:hAnsi="Perpetua"/>
          <w:sz w:val="24"/>
          <w:szCs w:val="24"/>
        </w:rPr>
      </w:pPr>
    </w:p>
    <w:p w14:paraId="2243617F" w14:textId="77777777" w:rsidR="0046390E" w:rsidRDefault="0046390E" w:rsidP="0046390E">
      <w:pPr>
        <w:pStyle w:val="FootnoteText"/>
        <w:jc w:val="both"/>
        <w:rPr>
          <w:rFonts w:ascii="Perpetua" w:hAnsi="Perpetua"/>
          <w:i/>
          <w:iCs/>
          <w:sz w:val="24"/>
          <w:szCs w:val="24"/>
        </w:rPr>
      </w:pPr>
      <w:r w:rsidRPr="00FC677E">
        <w:rPr>
          <w:rFonts w:ascii="Perpetua" w:hAnsi="Perpetua"/>
          <w:sz w:val="24"/>
          <w:szCs w:val="24"/>
        </w:rPr>
        <w:t xml:space="preserve">McShane, K. </w:t>
      </w:r>
      <w:r w:rsidRPr="00FC677E">
        <w:rPr>
          <w:rFonts w:ascii="Perpetua" w:hAnsi="Perpetua"/>
          <w:sz w:val="24"/>
          <w:szCs w:val="24"/>
        </w:rPr>
        <w:tab/>
      </w:r>
      <w:r w:rsidRPr="00FC677E">
        <w:rPr>
          <w:rFonts w:ascii="Perpetua" w:hAnsi="Perpetua"/>
          <w:sz w:val="24"/>
          <w:szCs w:val="24"/>
        </w:rPr>
        <w:tab/>
      </w:r>
      <w:r w:rsidRPr="00FC677E">
        <w:rPr>
          <w:rFonts w:ascii="Perpetua" w:hAnsi="Perpetua"/>
          <w:sz w:val="24"/>
          <w:szCs w:val="24"/>
        </w:rPr>
        <w:tab/>
      </w:r>
      <w:r w:rsidRPr="00FC677E">
        <w:rPr>
          <w:rFonts w:ascii="Perpetua" w:hAnsi="Perpetua"/>
          <w:sz w:val="24"/>
          <w:szCs w:val="24"/>
        </w:rPr>
        <w:tab/>
        <w:t>‘</w:t>
      </w:r>
      <w:proofErr w:type="spellStart"/>
      <w:r w:rsidRPr="00FC677E">
        <w:rPr>
          <w:rFonts w:ascii="Perpetua" w:hAnsi="Perpetua"/>
          <w:sz w:val="24"/>
          <w:szCs w:val="24"/>
        </w:rPr>
        <w:t>Neosentimentalism</w:t>
      </w:r>
      <w:proofErr w:type="spellEnd"/>
      <w:r w:rsidRPr="00FC677E">
        <w:rPr>
          <w:rFonts w:ascii="Perpetua" w:hAnsi="Perpetua"/>
          <w:sz w:val="24"/>
          <w:szCs w:val="24"/>
        </w:rPr>
        <w:t xml:space="preserve"> and Environmental Ethics’, </w:t>
      </w:r>
      <w:r w:rsidRPr="00FC677E">
        <w:rPr>
          <w:rFonts w:ascii="Perpetua" w:hAnsi="Perpetua"/>
          <w:i/>
          <w:iCs/>
          <w:sz w:val="24"/>
          <w:szCs w:val="24"/>
        </w:rPr>
        <w:t xml:space="preserve">Environmental </w:t>
      </w:r>
    </w:p>
    <w:p w14:paraId="0E001577" w14:textId="77777777" w:rsidR="0046390E" w:rsidRPr="00FC677E" w:rsidRDefault="0046390E" w:rsidP="0046390E">
      <w:pPr>
        <w:pStyle w:val="FootnoteText"/>
        <w:ind w:left="2880" w:firstLine="720"/>
        <w:jc w:val="both"/>
        <w:rPr>
          <w:rFonts w:ascii="Perpetua" w:hAnsi="Perpetua"/>
          <w:sz w:val="24"/>
          <w:szCs w:val="24"/>
        </w:rPr>
      </w:pPr>
      <w:r w:rsidRPr="00FC677E">
        <w:rPr>
          <w:rFonts w:ascii="Perpetua" w:hAnsi="Perpetua"/>
          <w:i/>
          <w:iCs/>
          <w:sz w:val="24"/>
          <w:szCs w:val="24"/>
        </w:rPr>
        <w:t xml:space="preserve">Ethics, </w:t>
      </w:r>
      <w:r w:rsidRPr="00FC677E">
        <w:rPr>
          <w:rFonts w:ascii="Perpetua" w:hAnsi="Perpetua"/>
          <w:sz w:val="24"/>
          <w:szCs w:val="24"/>
        </w:rPr>
        <w:t xml:space="preserve">Vol. 33 (6) (2011), pp. 5 – 23.  </w:t>
      </w:r>
    </w:p>
    <w:p w14:paraId="34441EEB" w14:textId="77777777" w:rsidR="0046390E" w:rsidRPr="00FC677E" w:rsidRDefault="0046390E" w:rsidP="0046390E">
      <w:pPr>
        <w:pStyle w:val="ListParagraph"/>
        <w:ind w:left="3600" w:hanging="2880"/>
        <w:jc w:val="both"/>
        <w:rPr>
          <w:rFonts w:ascii="Perpetua" w:hAnsi="Perpetua"/>
          <w:b/>
          <w:bCs/>
        </w:rPr>
      </w:pPr>
    </w:p>
    <w:p w14:paraId="3462E90D" w14:textId="77777777" w:rsidR="0046390E" w:rsidRPr="00FC677E" w:rsidRDefault="0046390E" w:rsidP="0046390E">
      <w:pPr>
        <w:pStyle w:val="ListParagraph"/>
        <w:ind w:left="3600" w:hanging="2880"/>
        <w:jc w:val="both"/>
        <w:rPr>
          <w:rFonts w:ascii="Perpetua" w:hAnsi="Perpetua"/>
          <w:b/>
          <w:bCs/>
        </w:rPr>
      </w:pPr>
    </w:p>
    <w:p w14:paraId="51935CBB" w14:textId="77777777" w:rsidR="0046390E" w:rsidRPr="00927A65" w:rsidRDefault="0046390E" w:rsidP="0046390E">
      <w:pPr>
        <w:ind w:left="3600" w:hanging="3600"/>
        <w:jc w:val="both"/>
        <w:rPr>
          <w:rFonts w:ascii="Perpetua" w:hAnsi="Perpetua"/>
        </w:rPr>
      </w:pPr>
      <w:r w:rsidRPr="00927A65">
        <w:rPr>
          <w:rFonts w:ascii="Perpetua" w:hAnsi="Perpetua"/>
        </w:rPr>
        <w:lastRenderedPageBreak/>
        <w:t>McShane, K.</w:t>
      </w:r>
      <w:r w:rsidRPr="00927A65">
        <w:rPr>
          <w:rFonts w:ascii="Perpetua" w:hAnsi="Perpetua"/>
        </w:rPr>
        <w:tab/>
        <w:t xml:space="preserve">‘Truth and Goodness: Metaethics in Environmental Ethics’, S.M. Gardiner and A. Thompson (eds.), </w:t>
      </w:r>
      <w:r w:rsidRPr="00927A65">
        <w:rPr>
          <w:rFonts w:ascii="Perpetua" w:hAnsi="Perpetua"/>
          <w:i/>
          <w:iCs/>
        </w:rPr>
        <w:t xml:space="preserve">The Oxford Handbook of Environmental Ethics </w:t>
      </w:r>
      <w:r w:rsidRPr="00927A65">
        <w:rPr>
          <w:rFonts w:ascii="Perpetua" w:hAnsi="Perpetua"/>
        </w:rPr>
        <w:t>(Oxford: OUP, 2015), pp. 139 – 150.</w:t>
      </w:r>
    </w:p>
    <w:p w14:paraId="1D5956F0" w14:textId="77777777" w:rsidR="0046390E" w:rsidRPr="00FC677E" w:rsidRDefault="0046390E" w:rsidP="0046390E">
      <w:pPr>
        <w:pStyle w:val="NoSpacing"/>
        <w:jc w:val="both"/>
        <w:rPr>
          <w:rFonts w:ascii="Perpetua" w:hAnsi="Perpetua"/>
        </w:rPr>
      </w:pPr>
    </w:p>
    <w:p w14:paraId="07690956" w14:textId="77777777" w:rsidR="0046390E" w:rsidRPr="00FC677E" w:rsidRDefault="0046390E" w:rsidP="0046390E">
      <w:pPr>
        <w:pStyle w:val="FootnoteText"/>
        <w:ind w:left="3600" w:hanging="3600"/>
        <w:jc w:val="both"/>
        <w:rPr>
          <w:rFonts w:ascii="Perpetua" w:hAnsi="Perpetua"/>
          <w:sz w:val="24"/>
          <w:szCs w:val="24"/>
        </w:rPr>
      </w:pPr>
      <w:r w:rsidRPr="00FC677E">
        <w:rPr>
          <w:rFonts w:ascii="Perpetua" w:hAnsi="Perpetua"/>
          <w:sz w:val="24"/>
          <w:szCs w:val="24"/>
        </w:rPr>
        <w:t xml:space="preserve">Midgley, D. (ed.) </w:t>
      </w:r>
      <w:r>
        <w:rPr>
          <w:rFonts w:ascii="Perpetua" w:hAnsi="Perpetua"/>
          <w:sz w:val="24"/>
          <w:szCs w:val="24"/>
        </w:rPr>
        <w:tab/>
      </w:r>
      <w:r w:rsidRPr="00FC677E">
        <w:rPr>
          <w:rStyle w:val="Emphasis"/>
          <w:rFonts w:ascii="Perpetua" w:hAnsi="Perpetua"/>
          <w:color w:val="000000"/>
          <w:sz w:val="24"/>
          <w:szCs w:val="24"/>
        </w:rPr>
        <w:t xml:space="preserve">The Essential Mary </w:t>
      </w:r>
      <w:r w:rsidRPr="00927A65">
        <w:rPr>
          <w:rStyle w:val="Emphasis"/>
          <w:rFonts w:ascii="Perpetua" w:hAnsi="Perpetua"/>
          <w:color w:val="000000"/>
          <w:sz w:val="24"/>
          <w:szCs w:val="24"/>
        </w:rPr>
        <w:t>Midgley</w:t>
      </w:r>
      <w:r w:rsidRPr="00927A65">
        <w:rPr>
          <w:rStyle w:val="apple-converted-space"/>
          <w:rFonts w:ascii="Perpetua" w:hAnsi="Perpetua"/>
          <w:color w:val="000000"/>
          <w:sz w:val="24"/>
          <w:szCs w:val="24"/>
        </w:rPr>
        <w:t> </w:t>
      </w:r>
      <w:r w:rsidRPr="00927A65">
        <w:rPr>
          <w:rStyle w:val="Strong"/>
          <w:rFonts w:ascii="Perpetua" w:hAnsi="Perpetua"/>
          <w:b w:val="0"/>
          <w:bCs w:val="0"/>
          <w:color w:val="000000"/>
          <w:sz w:val="24"/>
          <w:szCs w:val="24"/>
        </w:rPr>
        <w:t xml:space="preserve">(2nd </w:t>
      </w:r>
      <w:r w:rsidRPr="00FC677E">
        <w:rPr>
          <w:rStyle w:val="Strong"/>
          <w:rFonts w:ascii="Perpetua" w:hAnsi="Perpetua"/>
          <w:b w:val="0"/>
          <w:bCs w:val="0"/>
          <w:color w:val="000000"/>
          <w:sz w:val="24"/>
          <w:szCs w:val="24"/>
        </w:rPr>
        <w:t>Edition)</w:t>
      </w:r>
      <w:r w:rsidRPr="00FC677E">
        <w:rPr>
          <w:rStyle w:val="apple-converted-space"/>
          <w:rFonts w:ascii="Perpetua" w:hAnsi="Perpetua"/>
          <w:b/>
          <w:bCs/>
          <w:color w:val="000000"/>
          <w:sz w:val="24"/>
          <w:szCs w:val="24"/>
        </w:rPr>
        <w:t> </w:t>
      </w:r>
      <w:r w:rsidRPr="00FC677E">
        <w:rPr>
          <w:rFonts w:ascii="Perpetua" w:hAnsi="Perpetua"/>
          <w:color w:val="000000"/>
          <w:sz w:val="24"/>
          <w:szCs w:val="24"/>
        </w:rPr>
        <w:t xml:space="preserve">(London: Routledge, 2026). </w:t>
      </w:r>
    </w:p>
    <w:p w14:paraId="6397DB0B" w14:textId="77777777" w:rsidR="0046390E" w:rsidRPr="00FC677E" w:rsidRDefault="0046390E" w:rsidP="0046390E">
      <w:pPr>
        <w:pStyle w:val="NoSpacing"/>
        <w:jc w:val="both"/>
        <w:rPr>
          <w:rFonts w:ascii="Perpetua" w:hAnsi="Perpetua"/>
        </w:rPr>
      </w:pPr>
    </w:p>
    <w:p w14:paraId="53BB14AE" w14:textId="77777777" w:rsidR="0046390E" w:rsidRDefault="0046390E" w:rsidP="0046390E">
      <w:pPr>
        <w:pStyle w:val="NoSpacing"/>
        <w:ind w:left="2160" w:hanging="2160"/>
        <w:jc w:val="both"/>
        <w:rPr>
          <w:rFonts w:ascii="Perpetua" w:hAnsi="Perpetua"/>
        </w:rPr>
      </w:pPr>
    </w:p>
    <w:p w14:paraId="4B152F54" w14:textId="77777777" w:rsidR="0046390E" w:rsidRPr="00FC677E" w:rsidRDefault="0046390E" w:rsidP="0046390E">
      <w:pPr>
        <w:pStyle w:val="NoSpacing"/>
        <w:ind w:left="2160" w:hanging="2160"/>
        <w:jc w:val="both"/>
        <w:rPr>
          <w:rFonts w:ascii="Perpetua" w:hAnsi="Perpetua"/>
          <w:color w:val="000000" w:themeColor="text1"/>
        </w:rPr>
      </w:pPr>
      <w:r w:rsidRPr="00FC677E">
        <w:rPr>
          <w:rFonts w:ascii="Perpetua" w:hAnsi="Perpetua"/>
        </w:rPr>
        <w:t xml:space="preserve">Midgley, M. </w:t>
      </w:r>
      <w:r w:rsidRPr="00FC677E">
        <w:rPr>
          <w:rFonts w:ascii="Perpetua" w:hAnsi="Perpetua"/>
        </w:rPr>
        <w:tab/>
      </w:r>
      <w:r w:rsidRPr="00FC677E">
        <w:rPr>
          <w:rFonts w:ascii="Perpetua" w:hAnsi="Perpetua"/>
        </w:rPr>
        <w:tab/>
      </w:r>
      <w:r w:rsidRPr="00FC677E">
        <w:rPr>
          <w:rFonts w:ascii="Perpetua" w:hAnsi="Perpetua"/>
        </w:rPr>
        <w:tab/>
      </w:r>
      <w:r w:rsidRPr="00FC677E">
        <w:rPr>
          <w:rFonts w:ascii="Perpetua" w:hAnsi="Perpetua"/>
          <w:i/>
          <w:iCs/>
        </w:rPr>
        <w:t xml:space="preserve">Animals and Why They Matter </w:t>
      </w:r>
      <w:r w:rsidRPr="00FC677E">
        <w:rPr>
          <w:rFonts w:ascii="Perpetua" w:hAnsi="Perpetua"/>
        </w:rPr>
        <w:t xml:space="preserve">(Athens: University of Georgia </w:t>
      </w:r>
      <w:r>
        <w:rPr>
          <w:rFonts w:ascii="Perpetua" w:hAnsi="Perpetua"/>
        </w:rPr>
        <w:tab/>
      </w:r>
      <w:r>
        <w:rPr>
          <w:rFonts w:ascii="Perpetua" w:hAnsi="Perpetua"/>
        </w:rPr>
        <w:tab/>
      </w:r>
      <w:r w:rsidRPr="00FC677E">
        <w:rPr>
          <w:rFonts w:ascii="Perpetua" w:hAnsi="Perpetua"/>
        </w:rPr>
        <w:t>Press, 1983)</w:t>
      </w:r>
    </w:p>
    <w:p w14:paraId="06C5745F" w14:textId="77777777" w:rsidR="0046390E" w:rsidRDefault="0046390E" w:rsidP="0046390E">
      <w:pPr>
        <w:pStyle w:val="NoSpacing"/>
        <w:jc w:val="both"/>
        <w:rPr>
          <w:rFonts w:ascii="Perpetua" w:hAnsi="Perpetua"/>
          <w:color w:val="000000" w:themeColor="text1"/>
        </w:rPr>
      </w:pPr>
    </w:p>
    <w:p w14:paraId="600E2598" w14:textId="77777777" w:rsidR="0046390E" w:rsidRDefault="0046390E" w:rsidP="0046390E">
      <w:pPr>
        <w:pStyle w:val="NoSpacing"/>
        <w:ind w:left="3600" w:hanging="3600"/>
        <w:jc w:val="both"/>
        <w:rPr>
          <w:rFonts w:ascii="Perpetua" w:hAnsi="Perpetua"/>
          <w:color w:val="000000" w:themeColor="text1"/>
        </w:rPr>
      </w:pPr>
    </w:p>
    <w:p w14:paraId="19C52431" w14:textId="77777777" w:rsidR="0046390E" w:rsidRPr="00FC677E" w:rsidRDefault="0046390E" w:rsidP="0046390E">
      <w:pPr>
        <w:pStyle w:val="NoSpacing"/>
        <w:ind w:left="3600" w:hanging="3600"/>
        <w:jc w:val="both"/>
        <w:rPr>
          <w:rFonts w:ascii="Perpetua" w:hAnsi="Perpetua"/>
          <w:color w:val="000000" w:themeColor="text1"/>
        </w:rPr>
      </w:pPr>
      <w:r w:rsidRPr="00FC677E">
        <w:rPr>
          <w:rFonts w:ascii="Perpetua" w:hAnsi="Perpetua"/>
          <w:color w:val="000000" w:themeColor="text1"/>
        </w:rPr>
        <w:t xml:space="preserve">Midgley, M. </w:t>
      </w:r>
      <w:r w:rsidRPr="00FC677E">
        <w:rPr>
          <w:rFonts w:ascii="Perpetua" w:hAnsi="Perpetua"/>
          <w:color w:val="000000" w:themeColor="text1"/>
        </w:rPr>
        <w:tab/>
      </w:r>
      <w:r w:rsidRPr="00FC677E">
        <w:rPr>
          <w:rFonts w:ascii="Perpetua" w:hAnsi="Perpetua"/>
          <w:color w:val="000000" w:themeColor="text1"/>
          <w:shd w:val="clear" w:color="auto" w:fill="FFFFFF"/>
        </w:rPr>
        <w:t>“</w:t>
      </w:r>
      <w:r w:rsidRPr="00FC677E">
        <w:rPr>
          <w:rStyle w:val="Emphasis"/>
          <w:rFonts w:ascii="Perpetua" w:hAnsi="Perpetua"/>
          <w:i w:val="0"/>
          <w:iCs w:val="0"/>
          <w:color w:val="000000" w:themeColor="text1"/>
        </w:rPr>
        <w:t>Beasts</w:t>
      </w:r>
      <w:r w:rsidRPr="00FC677E">
        <w:rPr>
          <w:rStyle w:val="apple-converted-space"/>
          <w:rFonts w:ascii="Perpetua" w:hAnsi="Perpetua"/>
          <w:color w:val="000000" w:themeColor="text1"/>
          <w:shd w:val="clear" w:color="auto" w:fill="FFFFFF"/>
        </w:rPr>
        <w:t> </w:t>
      </w:r>
      <w:r w:rsidRPr="00FC677E">
        <w:rPr>
          <w:rFonts w:ascii="Perpetua" w:hAnsi="Perpetua"/>
          <w:color w:val="000000" w:themeColor="text1"/>
          <w:shd w:val="clear" w:color="auto" w:fill="FFFFFF"/>
        </w:rPr>
        <w:t>Versus the</w:t>
      </w:r>
      <w:r w:rsidRPr="00FC677E">
        <w:rPr>
          <w:rStyle w:val="apple-converted-space"/>
          <w:rFonts w:ascii="Perpetua" w:hAnsi="Perpetua"/>
          <w:color w:val="000000" w:themeColor="text1"/>
          <w:shd w:val="clear" w:color="auto" w:fill="FFFFFF"/>
        </w:rPr>
        <w:t> </w:t>
      </w:r>
      <w:r w:rsidRPr="00FC677E">
        <w:rPr>
          <w:rStyle w:val="Emphasis"/>
          <w:rFonts w:ascii="Perpetua" w:hAnsi="Perpetua"/>
          <w:i w:val="0"/>
          <w:iCs w:val="0"/>
          <w:color w:val="000000" w:themeColor="text1"/>
        </w:rPr>
        <w:t>Biosphere</w:t>
      </w:r>
      <w:r w:rsidRPr="00FC677E">
        <w:rPr>
          <w:rFonts w:ascii="Perpetua" w:hAnsi="Perpetua"/>
          <w:color w:val="000000" w:themeColor="text1"/>
          <w:shd w:val="clear" w:color="auto" w:fill="FFFFFF"/>
        </w:rPr>
        <w:t xml:space="preserve">?”, </w:t>
      </w:r>
      <w:r w:rsidRPr="00FC677E">
        <w:rPr>
          <w:rFonts w:ascii="Perpetua" w:hAnsi="Perpetua"/>
          <w:i/>
          <w:iCs/>
          <w:color w:val="000000" w:themeColor="text1"/>
          <w:shd w:val="clear" w:color="auto" w:fill="FFFFFF"/>
        </w:rPr>
        <w:t>Environmental Values</w:t>
      </w:r>
      <w:r w:rsidRPr="00FC677E">
        <w:rPr>
          <w:rFonts w:ascii="Perpetua" w:hAnsi="Perpetua"/>
          <w:color w:val="000000" w:themeColor="text1"/>
          <w:shd w:val="clear" w:color="auto" w:fill="FFFFFF"/>
        </w:rPr>
        <w:t xml:space="preserve"> 1, no. 2, (1992), pp. 113–21.</w:t>
      </w:r>
    </w:p>
    <w:p w14:paraId="3B0A3BD3" w14:textId="77777777" w:rsidR="0046390E" w:rsidRPr="00FC677E" w:rsidRDefault="0046390E" w:rsidP="0046390E">
      <w:pPr>
        <w:jc w:val="both"/>
        <w:rPr>
          <w:rFonts w:ascii="Perpetua" w:hAnsi="Perpetua"/>
        </w:rPr>
      </w:pPr>
    </w:p>
    <w:p w14:paraId="12A5E732" w14:textId="77777777" w:rsidR="0046390E" w:rsidRDefault="0046390E" w:rsidP="0046390E">
      <w:pPr>
        <w:pStyle w:val="FootnoteText"/>
        <w:ind w:left="2160" w:hanging="2160"/>
        <w:jc w:val="both"/>
        <w:rPr>
          <w:rFonts w:ascii="Perpetua" w:hAnsi="Perpetua"/>
          <w:sz w:val="24"/>
          <w:szCs w:val="24"/>
        </w:rPr>
      </w:pPr>
    </w:p>
    <w:p w14:paraId="01A31EF7" w14:textId="77777777" w:rsidR="0046390E" w:rsidRPr="00FC677E" w:rsidRDefault="0046390E" w:rsidP="0046390E">
      <w:pPr>
        <w:pStyle w:val="FootnoteText"/>
        <w:ind w:left="2160" w:hanging="2160"/>
        <w:jc w:val="both"/>
        <w:rPr>
          <w:rFonts w:ascii="Perpetua" w:hAnsi="Perpetua"/>
          <w:sz w:val="24"/>
          <w:szCs w:val="24"/>
        </w:rPr>
      </w:pPr>
      <w:r w:rsidRPr="00FC677E">
        <w:rPr>
          <w:rFonts w:ascii="Perpetua" w:hAnsi="Perpetua"/>
          <w:sz w:val="24"/>
          <w:szCs w:val="24"/>
        </w:rPr>
        <w:t xml:space="preserve">Minteer, B. </w:t>
      </w:r>
      <w:r w:rsidRPr="00FC677E">
        <w:rPr>
          <w:rFonts w:ascii="Perpetua" w:hAnsi="Perpetua"/>
          <w:sz w:val="24"/>
          <w:szCs w:val="24"/>
        </w:rPr>
        <w:tab/>
      </w:r>
      <w:r w:rsidRPr="00FC677E">
        <w:rPr>
          <w:rFonts w:ascii="Perpetua" w:hAnsi="Perpetua"/>
          <w:sz w:val="24"/>
          <w:szCs w:val="24"/>
        </w:rPr>
        <w:tab/>
      </w:r>
      <w:r w:rsidRPr="00FC677E">
        <w:rPr>
          <w:rFonts w:ascii="Perpetua" w:hAnsi="Perpetua"/>
          <w:sz w:val="24"/>
          <w:szCs w:val="24"/>
        </w:rPr>
        <w:tab/>
        <w:t xml:space="preserve">‘Intrinsic Value for Pragmatists?’, </w:t>
      </w:r>
      <w:r w:rsidRPr="00FC677E">
        <w:rPr>
          <w:rFonts w:ascii="Perpetua" w:hAnsi="Perpetua"/>
          <w:i/>
          <w:iCs/>
          <w:sz w:val="24"/>
          <w:szCs w:val="24"/>
        </w:rPr>
        <w:t xml:space="preserve">Environmental Ethics </w:t>
      </w:r>
      <w:r w:rsidRPr="00FC677E">
        <w:rPr>
          <w:rFonts w:ascii="Perpetua" w:hAnsi="Perpetua"/>
          <w:sz w:val="24"/>
          <w:szCs w:val="24"/>
        </w:rPr>
        <w:t xml:space="preserve">22 </w:t>
      </w:r>
      <w:r>
        <w:rPr>
          <w:rFonts w:ascii="Perpetua" w:hAnsi="Perpetua"/>
          <w:sz w:val="24"/>
          <w:szCs w:val="24"/>
        </w:rPr>
        <w:tab/>
      </w:r>
      <w:r>
        <w:rPr>
          <w:rFonts w:ascii="Perpetua" w:hAnsi="Perpetua"/>
          <w:sz w:val="24"/>
          <w:szCs w:val="24"/>
        </w:rPr>
        <w:tab/>
      </w:r>
      <w:r>
        <w:rPr>
          <w:rFonts w:ascii="Perpetua" w:hAnsi="Perpetua"/>
          <w:sz w:val="24"/>
          <w:szCs w:val="24"/>
        </w:rPr>
        <w:tab/>
      </w:r>
      <w:r w:rsidRPr="00FC677E">
        <w:rPr>
          <w:rFonts w:ascii="Perpetua" w:hAnsi="Perpetua"/>
          <w:sz w:val="24"/>
          <w:szCs w:val="24"/>
        </w:rPr>
        <w:t xml:space="preserve">(2001), pp. 57 – 75.  </w:t>
      </w:r>
    </w:p>
    <w:p w14:paraId="69E7AD3D" w14:textId="77777777" w:rsidR="0046390E" w:rsidRDefault="0046390E" w:rsidP="0046390E">
      <w:pPr>
        <w:jc w:val="both"/>
        <w:rPr>
          <w:rFonts w:ascii="Perpetua" w:hAnsi="Perpetua"/>
        </w:rPr>
      </w:pPr>
    </w:p>
    <w:p w14:paraId="77EDF040" w14:textId="77777777" w:rsidR="0046390E" w:rsidRPr="00FC677E" w:rsidRDefault="0046390E" w:rsidP="0046390E">
      <w:pPr>
        <w:ind w:left="3600" w:hanging="3600"/>
        <w:jc w:val="both"/>
        <w:rPr>
          <w:rFonts w:ascii="Perpetua" w:hAnsi="Perpetua"/>
        </w:rPr>
      </w:pPr>
      <w:r w:rsidRPr="00FC677E">
        <w:rPr>
          <w:rFonts w:ascii="Perpetua" w:hAnsi="Perpetua"/>
        </w:rPr>
        <w:t xml:space="preserve">Minteer, B. (ed.) </w:t>
      </w:r>
      <w:r>
        <w:rPr>
          <w:rFonts w:ascii="Perpetua" w:hAnsi="Perpetua"/>
        </w:rPr>
        <w:tab/>
      </w:r>
      <w:r w:rsidRPr="00FC677E">
        <w:rPr>
          <w:rFonts w:ascii="Perpetua" w:eastAsia="Times New Roman" w:hAnsi="Perpetua" w:cs="Open Sans"/>
          <w:i/>
          <w:iCs/>
          <w:color w:val="000000" w:themeColor="text1"/>
          <w:kern w:val="0"/>
          <w:lang w:eastAsia="en-GB"/>
          <w14:ligatures w14:val="none"/>
        </w:rPr>
        <w:t xml:space="preserve">Nature in </w:t>
      </w:r>
      <w:proofErr w:type="gramStart"/>
      <w:r w:rsidRPr="00FC677E">
        <w:rPr>
          <w:rFonts w:ascii="Perpetua" w:eastAsia="Times New Roman" w:hAnsi="Perpetua" w:cs="Open Sans"/>
          <w:i/>
          <w:iCs/>
          <w:color w:val="000000" w:themeColor="text1"/>
          <w:kern w:val="0"/>
          <w:lang w:eastAsia="en-GB"/>
          <w14:ligatures w14:val="none"/>
        </w:rPr>
        <w:t>Common?:</w:t>
      </w:r>
      <w:proofErr w:type="gramEnd"/>
      <w:r w:rsidRPr="00FC677E">
        <w:rPr>
          <w:rFonts w:ascii="Perpetua" w:eastAsia="Times New Roman" w:hAnsi="Perpetua" w:cs="Open Sans"/>
          <w:i/>
          <w:iCs/>
          <w:color w:val="000000" w:themeColor="text1"/>
          <w:kern w:val="0"/>
          <w:lang w:eastAsia="en-GB"/>
          <w14:ligatures w14:val="none"/>
        </w:rPr>
        <w:t xml:space="preserve"> Environmental Ethics and the Contested Foundations of Environmental Policy</w:t>
      </w:r>
      <w:r w:rsidRPr="00FC677E">
        <w:rPr>
          <w:rFonts w:ascii="Perpetua" w:eastAsia="Times New Roman" w:hAnsi="Perpetua" w:cs="Open Sans"/>
          <w:color w:val="000000" w:themeColor="text1"/>
          <w:kern w:val="0"/>
          <w:lang w:eastAsia="en-GB"/>
          <w14:ligatures w14:val="none"/>
        </w:rPr>
        <w:t xml:space="preserve"> (Philadelphia</w:t>
      </w:r>
      <w:r w:rsidRPr="00FC677E">
        <w:rPr>
          <w:rFonts w:ascii="Perpetua" w:eastAsia="Times New Roman" w:hAnsi="Perpetua" w:cs="Open Sans"/>
          <w:color w:val="333333"/>
          <w:kern w:val="0"/>
          <w:lang w:eastAsia="en-GB"/>
          <w14:ligatures w14:val="none"/>
        </w:rPr>
        <w:t>: Temple University Press, 2009)</w:t>
      </w:r>
      <w:r>
        <w:rPr>
          <w:rFonts w:ascii="Perpetua" w:eastAsia="Times New Roman" w:hAnsi="Perpetua" w:cs="Open Sans"/>
          <w:color w:val="333333"/>
          <w:kern w:val="0"/>
          <w:lang w:eastAsia="en-GB"/>
          <w14:ligatures w14:val="none"/>
        </w:rPr>
        <w:t>.</w:t>
      </w:r>
    </w:p>
    <w:p w14:paraId="7E26AC8D" w14:textId="77777777" w:rsidR="0046390E" w:rsidRDefault="0046390E" w:rsidP="0046390E">
      <w:pPr>
        <w:ind w:left="3600" w:hanging="3600"/>
        <w:jc w:val="both"/>
        <w:rPr>
          <w:rFonts w:ascii="Perpetua" w:hAnsi="Perpetua"/>
        </w:rPr>
      </w:pPr>
    </w:p>
    <w:p w14:paraId="2CB68D3E" w14:textId="77777777" w:rsidR="0046390E" w:rsidRPr="00FC677E" w:rsidRDefault="0046390E" w:rsidP="0046390E">
      <w:pPr>
        <w:spacing w:line="240" w:lineRule="auto"/>
        <w:ind w:left="3600" w:hanging="3600"/>
        <w:jc w:val="both"/>
        <w:rPr>
          <w:rFonts w:ascii="Perpetua" w:hAnsi="Perpetua"/>
        </w:rPr>
      </w:pPr>
      <w:proofErr w:type="spellStart"/>
      <w:r w:rsidRPr="00FC677E">
        <w:rPr>
          <w:rFonts w:ascii="Perpetua" w:hAnsi="Perpetua"/>
        </w:rPr>
        <w:t>Morito</w:t>
      </w:r>
      <w:proofErr w:type="spellEnd"/>
      <w:r w:rsidRPr="00FC677E">
        <w:rPr>
          <w:rFonts w:ascii="Perpetua" w:hAnsi="Perpetua"/>
        </w:rPr>
        <w:t>, B.</w:t>
      </w:r>
      <w:r>
        <w:rPr>
          <w:rFonts w:ascii="Perpetua" w:hAnsi="Perpetua"/>
        </w:rPr>
        <w:tab/>
      </w:r>
      <w:r w:rsidRPr="00FC677E">
        <w:rPr>
          <w:rFonts w:ascii="Perpetua" w:hAnsi="Perpetua"/>
        </w:rPr>
        <w:t xml:space="preserve">‘Intrinsic Value: A Modern Albatross for the Ecological Approach’, </w:t>
      </w:r>
      <w:r w:rsidRPr="00FC677E">
        <w:rPr>
          <w:rFonts w:ascii="Perpetua" w:hAnsi="Perpetua"/>
          <w:i/>
          <w:iCs/>
        </w:rPr>
        <w:t xml:space="preserve">Environmental Values </w:t>
      </w:r>
      <w:r w:rsidRPr="00FC677E">
        <w:rPr>
          <w:rFonts w:ascii="Perpetua" w:hAnsi="Perpetua"/>
        </w:rPr>
        <w:t>12 (2003), pp. 317 – 336.</w:t>
      </w:r>
    </w:p>
    <w:p w14:paraId="72554C47" w14:textId="77777777" w:rsidR="0046390E" w:rsidRPr="00927A65" w:rsidRDefault="0046390E" w:rsidP="0046390E">
      <w:pPr>
        <w:autoSpaceDE w:val="0"/>
        <w:autoSpaceDN w:val="0"/>
        <w:adjustRightInd w:val="0"/>
        <w:spacing w:after="0" w:line="240" w:lineRule="auto"/>
        <w:jc w:val="both"/>
        <w:rPr>
          <w:rFonts w:ascii="Perpetua" w:hAnsi="Perpetua"/>
          <w:color w:val="000000" w:themeColor="text1"/>
        </w:rPr>
      </w:pPr>
    </w:p>
    <w:p w14:paraId="4D5C27F1" w14:textId="77777777" w:rsidR="0046390E" w:rsidRPr="00927A65" w:rsidRDefault="0046390E" w:rsidP="0046390E">
      <w:pPr>
        <w:autoSpaceDE w:val="0"/>
        <w:autoSpaceDN w:val="0"/>
        <w:adjustRightInd w:val="0"/>
        <w:spacing w:after="0" w:line="240" w:lineRule="auto"/>
        <w:ind w:left="3600" w:hanging="3600"/>
        <w:jc w:val="both"/>
        <w:rPr>
          <w:rFonts w:ascii="Perpetua" w:hAnsi="Perpetua"/>
          <w:color w:val="000000" w:themeColor="text1"/>
          <w:lang w:val="en-US"/>
        </w:rPr>
      </w:pPr>
      <w:r w:rsidRPr="00927A65">
        <w:rPr>
          <w:rFonts w:ascii="Perpetua" w:hAnsi="Perpetua"/>
          <w:color w:val="000000" w:themeColor="text1"/>
        </w:rPr>
        <w:t xml:space="preserve">Norton, B. </w:t>
      </w:r>
      <w:r w:rsidRPr="00927A65">
        <w:rPr>
          <w:rFonts w:ascii="Perpetua" w:hAnsi="Perpetua"/>
          <w:color w:val="000000" w:themeColor="text1"/>
        </w:rPr>
        <w:tab/>
        <w:t>‘</w:t>
      </w:r>
      <w:r w:rsidRPr="00927A65">
        <w:rPr>
          <w:rFonts w:ascii="Perpetua" w:hAnsi="Perpetua"/>
          <w:color w:val="000000" w:themeColor="text1"/>
          <w:lang w:val="en-US"/>
        </w:rPr>
        <w:t xml:space="preserve">Environmental Ethics and Weak Anthropocentrism’, </w:t>
      </w:r>
      <w:r w:rsidRPr="00927A65">
        <w:rPr>
          <w:rFonts w:ascii="Perpetua" w:hAnsi="Perpetua"/>
          <w:i/>
          <w:color w:val="000000" w:themeColor="text1"/>
          <w:lang w:val="en-US"/>
        </w:rPr>
        <w:t>Environmental Ethics</w:t>
      </w:r>
      <w:r w:rsidRPr="00927A65">
        <w:rPr>
          <w:rFonts w:ascii="Perpetua" w:hAnsi="Perpetua"/>
          <w:color w:val="000000" w:themeColor="text1"/>
          <w:lang w:val="en-US"/>
        </w:rPr>
        <w:t xml:space="preserve">, Vol. 6 (1984), pp. 131 – 148. </w:t>
      </w:r>
    </w:p>
    <w:p w14:paraId="637534D2" w14:textId="77777777" w:rsidR="0046390E" w:rsidRPr="00FC677E" w:rsidRDefault="0046390E" w:rsidP="0046390E">
      <w:pPr>
        <w:spacing w:line="240" w:lineRule="auto"/>
        <w:jc w:val="both"/>
        <w:rPr>
          <w:rFonts w:ascii="Perpetua" w:hAnsi="Perpetua"/>
        </w:rPr>
      </w:pPr>
    </w:p>
    <w:p w14:paraId="22784830" w14:textId="77777777" w:rsidR="0046390E" w:rsidRPr="00FC677E" w:rsidRDefault="0046390E" w:rsidP="0046390E">
      <w:pPr>
        <w:spacing w:line="240" w:lineRule="auto"/>
        <w:jc w:val="both"/>
        <w:rPr>
          <w:rFonts w:ascii="Perpetua" w:hAnsi="Perpetua"/>
        </w:rPr>
      </w:pPr>
      <w:r w:rsidRPr="00FC677E">
        <w:rPr>
          <w:rFonts w:ascii="Perpetua" w:hAnsi="Perpetua"/>
        </w:rPr>
        <w:t xml:space="preserve">Norton, B. </w:t>
      </w:r>
      <w:r>
        <w:rPr>
          <w:rFonts w:ascii="Perpetua" w:hAnsi="Perpetua"/>
        </w:rPr>
        <w:tab/>
      </w:r>
      <w:r>
        <w:rPr>
          <w:rFonts w:ascii="Perpetua" w:hAnsi="Perpetua"/>
        </w:rPr>
        <w:tab/>
      </w:r>
      <w:r>
        <w:rPr>
          <w:rFonts w:ascii="Perpetua" w:hAnsi="Perpetua"/>
        </w:rPr>
        <w:tab/>
      </w:r>
      <w:r>
        <w:rPr>
          <w:rFonts w:ascii="Perpetua" w:hAnsi="Perpetua"/>
        </w:rPr>
        <w:tab/>
      </w:r>
      <w:r w:rsidRPr="00FC677E">
        <w:rPr>
          <w:rFonts w:ascii="Perpetua" w:hAnsi="Perpetua"/>
          <w:i/>
          <w:iCs/>
        </w:rPr>
        <w:t xml:space="preserve">Towards Unity Among Environmentalists </w:t>
      </w:r>
      <w:r w:rsidRPr="00FC677E">
        <w:rPr>
          <w:rFonts w:ascii="Perpetua" w:hAnsi="Perpetua"/>
        </w:rPr>
        <w:t>(Oxford: OUP, 1991).</w:t>
      </w:r>
    </w:p>
    <w:p w14:paraId="7B76227D" w14:textId="77777777" w:rsidR="0046390E" w:rsidRPr="00927A65" w:rsidRDefault="0046390E" w:rsidP="0046390E">
      <w:pPr>
        <w:jc w:val="both"/>
        <w:rPr>
          <w:rFonts w:ascii="Perpetua" w:hAnsi="Perpetua"/>
        </w:rPr>
      </w:pPr>
    </w:p>
    <w:p w14:paraId="7E16196E" w14:textId="77777777" w:rsidR="0046390E" w:rsidRPr="00927A65" w:rsidRDefault="0046390E" w:rsidP="0046390E">
      <w:pPr>
        <w:ind w:left="3600" w:hanging="3600"/>
        <w:jc w:val="both"/>
        <w:rPr>
          <w:rFonts w:ascii="Perpetua" w:hAnsi="Perpetua"/>
        </w:rPr>
      </w:pPr>
      <w:r w:rsidRPr="00927A65">
        <w:rPr>
          <w:rFonts w:ascii="Perpetua" w:hAnsi="Perpetua"/>
        </w:rPr>
        <w:t>Norton, B.</w:t>
      </w:r>
      <w:r w:rsidRPr="00927A65">
        <w:rPr>
          <w:rFonts w:ascii="Perpetua" w:hAnsi="Perpetua"/>
        </w:rPr>
        <w:tab/>
        <w:t>‘</w:t>
      </w:r>
      <w:r w:rsidRPr="00927A65">
        <w:rPr>
          <w:rFonts w:ascii="Perpetua" w:eastAsia="Times New Roman" w:hAnsi="Perpetua" w:cs="Arial"/>
          <w:color w:val="555555"/>
          <w:kern w:val="36"/>
          <w:lang w:eastAsia="en-GB"/>
          <w14:ligatures w14:val="none"/>
        </w:rPr>
        <w:t xml:space="preserve">Convergence, </w:t>
      </w:r>
      <w:proofErr w:type="spellStart"/>
      <w:r w:rsidRPr="00927A65">
        <w:rPr>
          <w:rFonts w:ascii="Perpetua" w:eastAsia="Times New Roman" w:hAnsi="Perpetua" w:cs="Arial"/>
          <w:color w:val="555555"/>
          <w:kern w:val="36"/>
          <w:lang w:eastAsia="en-GB"/>
          <w14:ligatures w14:val="none"/>
        </w:rPr>
        <w:t>Noninstrumental</w:t>
      </w:r>
      <w:proofErr w:type="spellEnd"/>
      <w:r w:rsidRPr="00927A65">
        <w:rPr>
          <w:rFonts w:ascii="Perpetua" w:eastAsia="Times New Roman" w:hAnsi="Perpetua" w:cs="Arial"/>
          <w:color w:val="555555"/>
          <w:kern w:val="36"/>
          <w:lang w:eastAsia="en-GB"/>
          <w14:ligatures w14:val="none"/>
        </w:rPr>
        <w:t xml:space="preserve"> Value and the Semantics of ‘Love': Comment on</w:t>
      </w:r>
      <w:r w:rsidRPr="00927A65">
        <w:rPr>
          <w:rFonts w:ascii="Perpetua" w:hAnsi="Perpetua"/>
        </w:rPr>
        <w:t xml:space="preserve"> McShane’, </w:t>
      </w:r>
      <w:r w:rsidRPr="00927A65">
        <w:rPr>
          <w:rFonts w:ascii="Perpetua" w:hAnsi="Perpetua"/>
          <w:i/>
          <w:iCs/>
          <w:color w:val="444444"/>
        </w:rPr>
        <w:t>Environmental Values</w:t>
      </w:r>
      <w:r w:rsidRPr="00927A65">
        <w:rPr>
          <w:rStyle w:val="apple-converted-space"/>
          <w:rFonts w:ascii="Perpetua" w:hAnsi="Perpetua"/>
          <w:color w:val="444444"/>
          <w:shd w:val="clear" w:color="auto" w:fill="FFFFFF"/>
        </w:rPr>
        <w:t> </w:t>
      </w:r>
      <w:r w:rsidRPr="00927A65">
        <w:rPr>
          <w:rFonts w:ascii="Perpetua" w:hAnsi="Perpetua"/>
          <w:color w:val="444444"/>
          <w:shd w:val="clear" w:color="auto" w:fill="FFFFFF"/>
        </w:rPr>
        <w:t>17(1) (2008), pp. 5 – 14.</w:t>
      </w:r>
      <w:r w:rsidRPr="00927A65">
        <w:rPr>
          <w:rStyle w:val="apple-converted-space"/>
          <w:rFonts w:ascii="Perpetua" w:hAnsi="Perpetua"/>
          <w:color w:val="444444"/>
          <w:shd w:val="clear" w:color="auto" w:fill="FFFFFF"/>
        </w:rPr>
        <w:t> </w:t>
      </w:r>
      <w:hyperlink r:id="rId8" w:tgtFrame="_blank" w:history="1">
        <w:r w:rsidRPr="00927A65">
          <w:rPr>
            <w:rStyle w:val="Hyperlink"/>
            <w:rFonts w:ascii="Perpetua" w:hAnsi="Perpetua"/>
            <w:color w:val="444444"/>
            <w:u w:val="none"/>
          </w:rPr>
          <w:t>doi:10.3197/096327108X271914</w:t>
        </w:r>
      </w:hyperlink>
      <w:r w:rsidRPr="00927A65">
        <w:rPr>
          <w:rFonts w:ascii="Perpetua" w:hAnsi="Perpetua"/>
          <w:color w:val="444444"/>
          <w:shd w:val="clear" w:color="auto" w:fill="FFFFFF"/>
        </w:rPr>
        <w:t>.</w:t>
      </w:r>
    </w:p>
    <w:p w14:paraId="30DA931D" w14:textId="77777777" w:rsidR="0046390E" w:rsidRDefault="0046390E" w:rsidP="0046390E">
      <w:pPr>
        <w:pStyle w:val="FootnoteText"/>
        <w:jc w:val="both"/>
        <w:rPr>
          <w:rFonts w:ascii="Perpetua" w:hAnsi="Perpetua"/>
          <w:sz w:val="24"/>
          <w:szCs w:val="24"/>
        </w:rPr>
      </w:pPr>
    </w:p>
    <w:p w14:paraId="4C4A86A4" w14:textId="77777777" w:rsidR="0046390E" w:rsidRPr="00FC677E" w:rsidRDefault="0046390E" w:rsidP="0046390E">
      <w:pPr>
        <w:pStyle w:val="FootnoteText"/>
        <w:jc w:val="both"/>
        <w:rPr>
          <w:rFonts w:ascii="Perpetua" w:hAnsi="Perpetua"/>
          <w:sz w:val="24"/>
          <w:szCs w:val="24"/>
        </w:rPr>
      </w:pPr>
      <w:r w:rsidRPr="00FC677E">
        <w:rPr>
          <w:rFonts w:ascii="Perpetua" w:hAnsi="Perpetua"/>
          <w:sz w:val="24"/>
          <w:szCs w:val="24"/>
        </w:rPr>
        <w:t>Regan, T.</w:t>
      </w:r>
      <w:r w:rsidRPr="00FC677E">
        <w:rPr>
          <w:rFonts w:ascii="Perpetua" w:hAnsi="Perpetua"/>
          <w:sz w:val="24"/>
          <w:szCs w:val="24"/>
        </w:rPr>
        <w:tab/>
      </w:r>
      <w:r w:rsidRPr="00FC677E">
        <w:rPr>
          <w:rFonts w:ascii="Perpetua" w:hAnsi="Perpetua"/>
          <w:sz w:val="24"/>
          <w:szCs w:val="24"/>
        </w:rPr>
        <w:tab/>
      </w:r>
      <w:r>
        <w:rPr>
          <w:rFonts w:ascii="Perpetua" w:hAnsi="Perpetua"/>
          <w:sz w:val="24"/>
          <w:szCs w:val="24"/>
        </w:rPr>
        <w:tab/>
      </w:r>
      <w:r>
        <w:rPr>
          <w:rFonts w:ascii="Perpetua" w:hAnsi="Perpetua"/>
          <w:sz w:val="24"/>
          <w:szCs w:val="24"/>
        </w:rPr>
        <w:tab/>
      </w:r>
      <w:r w:rsidRPr="00FC677E">
        <w:rPr>
          <w:rFonts w:ascii="Perpetua" w:hAnsi="Perpetua"/>
          <w:i/>
          <w:iCs/>
          <w:sz w:val="24"/>
          <w:szCs w:val="24"/>
        </w:rPr>
        <w:t xml:space="preserve">The Case for Animal Rights </w:t>
      </w:r>
      <w:r w:rsidRPr="00FC677E">
        <w:rPr>
          <w:rFonts w:ascii="Perpetua" w:hAnsi="Perpetua"/>
          <w:sz w:val="24"/>
          <w:szCs w:val="24"/>
        </w:rPr>
        <w:t>(London: Routledge, 1983).</w:t>
      </w:r>
    </w:p>
    <w:p w14:paraId="621C29E0" w14:textId="77777777" w:rsidR="0046390E" w:rsidRPr="00FC677E" w:rsidRDefault="0046390E" w:rsidP="0046390E">
      <w:pPr>
        <w:jc w:val="both"/>
        <w:rPr>
          <w:rFonts w:ascii="Perpetua" w:hAnsi="Perpetua"/>
        </w:rPr>
      </w:pPr>
    </w:p>
    <w:p w14:paraId="6D7F7095" w14:textId="77777777" w:rsidR="0046390E" w:rsidRPr="00FC677E" w:rsidRDefault="0046390E" w:rsidP="0046390E">
      <w:pPr>
        <w:ind w:left="3600" w:hanging="3600"/>
        <w:jc w:val="both"/>
        <w:rPr>
          <w:rFonts w:ascii="Perpetua" w:hAnsi="Perpetua"/>
        </w:rPr>
      </w:pPr>
      <w:r w:rsidRPr="00FC677E">
        <w:rPr>
          <w:rFonts w:ascii="Perpetua" w:hAnsi="Perpetua"/>
        </w:rPr>
        <w:t xml:space="preserve">Regan, T.  (ed.), </w:t>
      </w:r>
      <w:r>
        <w:rPr>
          <w:rFonts w:ascii="Perpetua" w:hAnsi="Perpetua"/>
        </w:rPr>
        <w:tab/>
      </w:r>
      <w:r w:rsidRPr="00FC677E">
        <w:rPr>
          <w:rFonts w:ascii="Perpetua" w:hAnsi="Perpetua"/>
          <w:i/>
          <w:iCs/>
        </w:rPr>
        <w:t xml:space="preserve">Matters of Life and Death: New Introductory Essays in Moral Philosophy </w:t>
      </w:r>
      <w:r w:rsidRPr="00FC677E">
        <w:rPr>
          <w:rFonts w:ascii="Perpetua" w:hAnsi="Perpetua"/>
        </w:rPr>
        <w:t>3</w:t>
      </w:r>
      <w:r w:rsidRPr="00FC677E">
        <w:rPr>
          <w:rFonts w:ascii="Perpetua" w:hAnsi="Perpetua"/>
          <w:vertAlign w:val="superscript"/>
        </w:rPr>
        <w:t>rd</w:t>
      </w:r>
      <w:r w:rsidRPr="00FC677E">
        <w:rPr>
          <w:rFonts w:ascii="Perpetua" w:hAnsi="Perpetua"/>
        </w:rPr>
        <w:t xml:space="preserve"> edition (New York: McGraw-Hill, 1993).</w:t>
      </w:r>
    </w:p>
    <w:p w14:paraId="4D0EE7C8" w14:textId="77777777" w:rsidR="0046390E" w:rsidRPr="00FC677E" w:rsidRDefault="0046390E" w:rsidP="0046390E">
      <w:pPr>
        <w:rPr>
          <w:rFonts w:ascii="Perpetua" w:eastAsia="Times New Roman" w:hAnsi="Perpetua" w:cs="Times New Roman"/>
          <w:color w:val="000000" w:themeColor="text1"/>
          <w:kern w:val="0"/>
          <w:lang w:eastAsia="en-GB"/>
          <w14:ligatures w14:val="none"/>
        </w:rPr>
      </w:pPr>
    </w:p>
    <w:p w14:paraId="4FDED3D3" w14:textId="77777777" w:rsidR="0046390E" w:rsidRPr="00FC677E" w:rsidRDefault="0046390E" w:rsidP="0046390E">
      <w:pPr>
        <w:pStyle w:val="FootnoteText"/>
        <w:ind w:left="4320" w:hanging="4320"/>
        <w:jc w:val="both"/>
        <w:rPr>
          <w:rFonts w:ascii="Perpetua" w:hAnsi="Perpetua"/>
          <w:sz w:val="24"/>
          <w:szCs w:val="24"/>
        </w:rPr>
      </w:pPr>
      <w:r w:rsidRPr="00FC677E">
        <w:rPr>
          <w:rFonts w:ascii="Perpetua" w:hAnsi="Perpetua"/>
          <w:sz w:val="24"/>
          <w:szCs w:val="24"/>
        </w:rPr>
        <w:lastRenderedPageBreak/>
        <w:t>Sagoff, M.</w:t>
      </w:r>
      <w:r>
        <w:rPr>
          <w:rFonts w:ascii="Perpetua" w:hAnsi="Perpetua"/>
          <w:sz w:val="24"/>
          <w:szCs w:val="24"/>
        </w:rPr>
        <w:tab/>
      </w:r>
      <w:r w:rsidRPr="00FC677E">
        <w:rPr>
          <w:rFonts w:ascii="Perpetua" w:hAnsi="Perpetua"/>
          <w:sz w:val="24"/>
          <w:szCs w:val="24"/>
        </w:rPr>
        <w:t xml:space="preserve">‘Animal Liberation and Environmental Ethics: Bad Marriage, Quick Divorce’, </w:t>
      </w:r>
      <w:r w:rsidRPr="00FC677E">
        <w:rPr>
          <w:rFonts w:ascii="Perpetua" w:hAnsi="Perpetua"/>
          <w:i/>
          <w:iCs/>
          <w:sz w:val="24"/>
          <w:szCs w:val="24"/>
        </w:rPr>
        <w:t>Osgood Hall Law Journal</w:t>
      </w:r>
      <w:r w:rsidRPr="00FC677E">
        <w:rPr>
          <w:rFonts w:ascii="Perpetua" w:hAnsi="Perpetua"/>
          <w:sz w:val="24"/>
          <w:szCs w:val="24"/>
        </w:rPr>
        <w:t xml:space="preserve"> 22 (1984), pp. 297 – 307. </w:t>
      </w:r>
    </w:p>
    <w:p w14:paraId="32711C45" w14:textId="77777777" w:rsidR="0046390E" w:rsidRDefault="0046390E" w:rsidP="0046390E">
      <w:pPr>
        <w:jc w:val="both"/>
        <w:rPr>
          <w:rFonts w:ascii="Perpetua" w:eastAsia="Times New Roman" w:hAnsi="Perpetua" w:cs="Times New Roman"/>
          <w:color w:val="000000" w:themeColor="text1"/>
          <w:kern w:val="0"/>
          <w:lang w:eastAsia="en-GB"/>
          <w14:ligatures w14:val="none"/>
        </w:rPr>
      </w:pPr>
    </w:p>
    <w:p w14:paraId="38565C02" w14:textId="77777777" w:rsidR="0046390E" w:rsidRDefault="0046390E" w:rsidP="0046390E">
      <w:pPr>
        <w:jc w:val="both"/>
        <w:rPr>
          <w:rFonts w:ascii="Perpetua" w:eastAsia="Times New Roman" w:hAnsi="Perpetua" w:cs="Times New Roman"/>
          <w:color w:val="000000" w:themeColor="text1"/>
          <w:kern w:val="0"/>
          <w:lang w:eastAsia="en-GB"/>
          <w14:ligatures w14:val="none"/>
        </w:rPr>
      </w:pPr>
    </w:p>
    <w:p w14:paraId="64148381" w14:textId="77777777" w:rsidR="0046390E" w:rsidRPr="00FC677E" w:rsidRDefault="0046390E" w:rsidP="0046390E">
      <w:pPr>
        <w:ind w:left="4320" w:hanging="4320"/>
        <w:jc w:val="both"/>
        <w:rPr>
          <w:rFonts w:ascii="Perpetua" w:hAnsi="Perpetua"/>
        </w:rPr>
      </w:pPr>
      <w:r w:rsidRPr="00FC677E">
        <w:rPr>
          <w:rFonts w:ascii="Perpetua" w:eastAsia="Times New Roman" w:hAnsi="Perpetua" w:cs="Times New Roman"/>
          <w:color w:val="000000" w:themeColor="text1"/>
          <w:kern w:val="0"/>
          <w:lang w:eastAsia="en-GB"/>
          <w14:ligatures w14:val="none"/>
        </w:rPr>
        <w:t>Sayre, K.M. and K.E. Goodpaster (eds.)</w:t>
      </w:r>
      <w:r>
        <w:rPr>
          <w:rFonts w:ascii="Perpetua" w:eastAsia="Times New Roman" w:hAnsi="Perpetua" w:cs="Times New Roman"/>
          <w:color w:val="000000" w:themeColor="text1"/>
          <w:kern w:val="0"/>
          <w:lang w:eastAsia="en-GB"/>
          <w14:ligatures w14:val="none"/>
        </w:rPr>
        <w:tab/>
      </w:r>
      <w:r w:rsidRPr="00FC677E">
        <w:rPr>
          <w:rFonts w:ascii="Perpetua" w:eastAsia="Times New Roman" w:hAnsi="Perpetua" w:cs="Times New Roman"/>
          <w:i/>
          <w:iCs/>
          <w:color w:val="000000" w:themeColor="text1"/>
          <w:kern w:val="0"/>
          <w:lang w:eastAsia="en-GB"/>
          <w14:ligatures w14:val="none"/>
        </w:rPr>
        <w:t>Ethics and Problems of the 21st Century</w:t>
      </w:r>
      <w:r w:rsidRPr="00FC677E">
        <w:rPr>
          <w:rFonts w:ascii="Perpetua" w:eastAsia="Times New Roman" w:hAnsi="Perpetua" w:cs="Times New Roman"/>
          <w:color w:val="000000" w:themeColor="text1"/>
          <w:kern w:val="0"/>
          <w:lang w:eastAsia="en-GB"/>
          <w14:ligatures w14:val="none"/>
        </w:rPr>
        <w:t> (Notre Dame: University of Notre Dame Press,1979)</w:t>
      </w:r>
      <w:r>
        <w:rPr>
          <w:rFonts w:ascii="Perpetua" w:eastAsia="Times New Roman" w:hAnsi="Perpetua" w:cs="Times New Roman"/>
          <w:color w:val="000000" w:themeColor="text1"/>
          <w:kern w:val="0"/>
          <w:lang w:eastAsia="en-GB"/>
          <w14:ligatures w14:val="none"/>
        </w:rPr>
        <w:t>.</w:t>
      </w:r>
    </w:p>
    <w:p w14:paraId="0205D059" w14:textId="77777777" w:rsidR="0046390E" w:rsidRDefault="0046390E" w:rsidP="0046390E">
      <w:pPr>
        <w:ind w:left="4320" w:hanging="4320"/>
        <w:jc w:val="both"/>
        <w:rPr>
          <w:rFonts w:ascii="Perpetua" w:hAnsi="Perpetua"/>
        </w:rPr>
      </w:pPr>
    </w:p>
    <w:p w14:paraId="341689B3" w14:textId="77777777" w:rsidR="0046390E" w:rsidRPr="00FC677E" w:rsidRDefault="0046390E" w:rsidP="0046390E">
      <w:pPr>
        <w:ind w:left="4320" w:hanging="4320"/>
        <w:jc w:val="both"/>
        <w:rPr>
          <w:rFonts w:ascii="Perpetua" w:hAnsi="Perpetua"/>
        </w:rPr>
      </w:pPr>
      <w:r w:rsidRPr="00FC677E">
        <w:rPr>
          <w:rFonts w:ascii="Perpetua" w:hAnsi="Perpetua"/>
        </w:rPr>
        <w:t xml:space="preserve">Singer, P. </w:t>
      </w:r>
      <w:r>
        <w:rPr>
          <w:rFonts w:ascii="Perpetua" w:hAnsi="Perpetua"/>
        </w:rPr>
        <w:tab/>
      </w:r>
      <w:r w:rsidRPr="00FC677E">
        <w:rPr>
          <w:rFonts w:ascii="Perpetua" w:hAnsi="Perpetua"/>
          <w:i/>
          <w:iCs/>
        </w:rPr>
        <w:t xml:space="preserve">Practical Ethics </w:t>
      </w:r>
      <w:r w:rsidRPr="00FC677E">
        <w:rPr>
          <w:rFonts w:ascii="Perpetua" w:hAnsi="Perpetua"/>
        </w:rPr>
        <w:t>(3rd edition) (Cambridge: University of Cambridge, 2011)</w:t>
      </w:r>
      <w:r>
        <w:rPr>
          <w:rFonts w:ascii="Perpetua" w:hAnsi="Perpetua"/>
        </w:rPr>
        <w:t>.</w:t>
      </w:r>
    </w:p>
    <w:p w14:paraId="5FAD67AD" w14:textId="77777777" w:rsidR="0046390E" w:rsidRDefault="0046390E" w:rsidP="0046390E">
      <w:pPr>
        <w:jc w:val="both"/>
        <w:rPr>
          <w:rFonts w:ascii="Perpetua" w:hAnsi="Perpetua"/>
          <w:color w:val="000000" w:themeColor="text1"/>
        </w:rPr>
      </w:pPr>
    </w:p>
    <w:p w14:paraId="1A6F4BEA" w14:textId="77777777" w:rsidR="0046390E" w:rsidRPr="00FC677E" w:rsidRDefault="0046390E" w:rsidP="0046390E">
      <w:pPr>
        <w:ind w:left="4320" w:hanging="4320"/>
        <w:jc w:val="both"/>
        <w:rPr>
          <w:rFonts w:ascii="Perpetua" w:eastAsia="Times New Roman" w:hAnsi="Perpetua" w:cs="Times New Roman"/>
          <w:color w:val="000000" w:themeColor="text1"/>
          <w:kern w:val="0"/>
          <w:lang w:eastAsia="en-GB"/>
          <w14:ligatures w14:val="none"/>
        </w:rPr>
      </w:pPr>
      <w:r w:rsidRPr="00FC677E">
        <w:rPr>
          <w:rFonts w:ascii="Perpetua" w:hAnsi="Perpetua"/>
          <w:color w:val="000000" w:themeColor="text1"/>
        </w:rPr>
        <w:t xml:space="preserve">Singer, P. </w:t>
      </w:r>
      <w:r>
        <w:rPr>
          <w:rFonts w:ascii="Perpetua" w:hAnsi="Perpetua"/>
          <w:color w:val="000000" w:themeColor="text1"/>
        </w:rPr>
        <w:tab/>
      </w:r>
      <w:r w:rsidRPr="00FC677E">
        <w:rPr>
          <w:rFonts w:ascii="Perpetua" w:eastAsia="Times New Roman" w:hAnsi="Perpetua" w:cs="Times New Roman"/>
          <w:color w:val="000000" w:themeColor="text1"/>
          <w:kern w:val="0"/>
          <w:lang w:eastAsia="en-GB"/>
          <w14:ligatures w14:val="none"/>
        </w:rPr>
        <w:t>'The Place of Nonhumans' in K.M. Sayre and K.E. Goodpaster (eds.) </w:t>
      </w:r>
      <w:r w:rsidRPr="00FC677E">
        <w:rPr>
          <w:rFonts w:ascii="Perpetua" w:eastAsia="Times New Roman" w:hAnsi="Perpetua" w:cs="Times New Roman"/>
          <w:i/>
          <w:iCs/>
          <w:color w:val="000000" w:themeColor="text1"/>
          <w:kern w:val="0"/>
          <w:lang w:eastAsia="en-GB"/>
          <w14:ligatures w14:val="none"/>
        </w:rPr>
        <w:t>Ethics and Problems of the 21st Century</w:t>
      </w:r>
      <w:r w:rsidRPr="00FC677E">
        <w:rPr>
          <w:rFonts w:ascii="Perpetua" w:eastAsia="Times New Roman" w:hAnsi="Perpetua" w:cs="Times New Roman"/>
          <w:color w:val="000000" w:themeColor="text1"/>
          <w:kern w:val="0"/>
          <w:lang w:eastAsia="en-GB"/>
          <w14:ligatures w14:val="none"/>
        </w:rPr>
        <w:t xml:space="preserve"> (Notre Dame: University of Notre Dame Press,1979), pp. 191 – 206. </w:t>
      </w:r>
    </w:p>
    <w:p w14:paraId="3AC01159" w14:textId="77777777" w:rsidR="0046390E" w:rsidRDefault="0046390E" w:rsidP="0046390E">
      <w:pPr>
        <w:spacing w:line="240" w:lineRule="auto"/>
        <w:ind w:left="4320" w:hanging="4320"/>
        <w:jc w:val="both"/>
        <w:rPr>
          <w:rFonts w:ascii="Perpetua" w:hAnsi="Perpetua"/>
        </w:rPr>
      </w:pPr>
    </w:p>
    <w:p w14:paraId="756645CA" w14:textId="77777777" w:rsidR="0046390E" w:rsidRPr="00FC677E" w:rsidRDefault="0046390E" w:rsidP="0046390E">
      <w:pPr>
        <w:spacing w:line="240" w:lineRule="auto"/>
        <w:ind w:left="4320" w:hanging="4320"/>
        <w:jc w:val="both"/>
        <w:rPr>
          <w:rFonts w:ascii="Perpetua" w:hAnsi="Perpetua"/>
        </w:rPr>
      </w:pPr>
      <w:r w:rsidRPr="00FC677E">
        <w:rPr>
          <w:rFonts w:ascii="Perpetua" w:hAnsi="Perpetua"/>
        </w:rPr>
        <w:t xml:space="preserve">Taylor, A. </w:t>
      </w:r>
      <w:r>
        <w:rPr>
          <w:rFonts w:ascii="Perpetua" w:hAnsi="Perpetua"/>
        </w:rPr>
        <w:tab/>
        <w:t>‘</w:t>
      </w:r>
      <w:r w:rsidRPr="00FC677E">
        <w:rPr>
          <w:rFonts w:ascii="Perpetua" w:hAnsi="Perpetua"/>
        </w:rPr>
        <w:t>Environmental Ethics and Respect for Animals</w:t>
      </w:r>
      <w:r>
        <w:rPr>
          <w:rFonts w:ascii="Perpetua" w:hAnsi="Perpetua"/>
        </w:rPr>
        <w:t>’</w:t>
      </w:r>
      <w:r w:rsidRPr="00FC677E">
        <w:rPr>
          <w:rFonts w:ascii="Perpetua" w:hAnsi="Perpetua"/>
        </w:rPr>
        <w:t xml:space="preserve"> in W. Ouderkirk and J. Hill eds., </w:t>
      </w:r>
      <w:r w:rsidRPr="00FC677E">
        <w:rPr>
          <w:rFonts w:ascii="Perpetua" w:hAnsi="Perpetua"/>
          <w:i/>
          <w:iCs/>
        </w:rPr>
        <w:t>Land, Value, Community: Callicott and Environmental Philosophy</w:t>
      </w:r>
      <w:r w:rsidRPr="00FC677E">
        <w:rPr>
          <w:rFonts w:ascii="Perpetua" w:hAnsi="Perpetua"/>
        </w:rPr>
        <w:t>. (Albany: State of University of New York Press, 2002), pp. 229 - 236.</w:t>
      </w:r>
    </w:p>
    <w:p w14:paraId="6F905B01" w14:textId="77777777" w:rsidR="0046390E" w:rsidRPr="00FC677E" w:rsidRDefault="0046390E" w:rsidP="0046390E">
      <w:pPr>
        <w:jc w:val="both"/>
        <w:rPr>
          <w:rFonts w:ascii="Perpetua" w:hAnsi="Perpetua" w:cs="Times New Roman"/>
          <w:color w:val="2A2A2A"/>
          <w:kern w:val="0"/>
        </w:rPr>
      </w:pPr>
    </w:p>
    <w:p w14:paraId="10002289" w14:textId="77777777" w:rsidR="0046390E" w:rsidRPr="00FC677E" w:rsidRDefault="0046390E" w:rsidP="0046390E">
      <w:pPr>
        <w:ind w:left="4320" w:hanging="4320"/>
        <w:jc w:val="both"/>
        <w:rPr>
          <w:rFonts w:ascii="Perpetua" w:hAnsi="Perpetua"/>
        </w:rPr>
      </w:pPr>
      <w:r w:rsidRPr="00FC677E">
        <w:rPr>
          <w:rFonts w:ascii="Perpetua" w:hAnsi="Perpetua" w:cs="Times New Roman"/>
          <w:color w:val="2A2A2A"/>
          <w:kern w:val="0"/>
        </w:rPr>
        <w:t>Thompson, A.</w:t>
      </w:r>
      <w:r>
        <w:rPr>
          <w:rFonts w:ascii="Perpetua" w:hAnsi="Perpetua" w:cs="Times New Roman"/>
          <w:color w:val="2A2A2A"/>
          <w:kern w:val="0"/>
        </w:rPr>
        <w:tab/>
      </w:r>
      <w:r w:rsidRPr="00FC677E">
        <w:rPr>
          <w:rFonts w:ascii="Perpetua" w:hAnsi="Perpetua" w:cs="Times New Roman"/>
          <w:color w:val="2A2A2A"/>
          <w:kern w:val="0"/>
        </w:rPr>
        <w:t xml:space="preserve">‘Anthropocentrism: Humanity as Peril and Promise’ in S.M. Gardiner and A. Thompson (eds.), </w:t>
      </w:r>
      <w:r w:rsidRPr="00FC677E">
        <w:rPr>
          <w:rFonts w:ascii="Perpetua" w:hAnsi="Perpetua" w:cs="Times New Roman"/>
          <w:i/>
          <w:iCs/>
          <w:color w:val="2A2A2A"/>
          <w:kern w:val="0"/>
        </w:rPr>
        <w:t xml:space="preserve">The Oxford Handbook of Environmental Ethics </w:t>
      </w:r>
      <w:r w:rsidRPr="00FC677E">
        <w:rPr>
          <w:rFonts w:ascii="Perpetua" w:hAnsi="Perpetua" w:cs="Times New Roman"/>
          <w:color w:val="2A2A2A"/>
          <w:kern w:val="0"/>
        </w:rPr>
        <w:t>(Oxford: OUP, 2015),</w:t>
      </w:r>
      <w:r w:rsidRPr="00FC677E">
        <w:rPr>
          <w:rFonts w:ascii="Perpetua" w:hAnsi="Perpetua" w:cs="Times New Roman"/>
          <w:i/>
          <w:iCs/>
          <w:color w:val="2A2A2A"/>
          <w:kern w:val="0"/>
        </w:rPr>
        <w:t xml:space="preserve"> </w:t>
      </w:r>
      <w:r w:rsidRPr="00FC677E">
        <w:rPr>
          <w:rFonts w:ascii="Perpetua" w:hAnsi="Perpetua" w:cs="Times New Roman"/>
          <w:color w:val="2A2A2A"/>
          <w:kern w:val="0"/>
        </w:rPr>
        <w:t>pp. 77 – 90.</w:t>
      </w:r>
    </w:p>
    <w:p w14:paraId="7039AE45" w14:textId="77777777" w:rsidR="0046390E" w:rsidRPr="00FC677E" w:rsidRDefault="0046390E" w:rsidP="0046390E">
      <w:pPr>
        <w:pStyle w:val="FootnoteText"/>
        <w:ind w:left="4320" w:hanging="4320"/>
        <w:jc w:val="both"/>
        <w:rPr>
          <w:rFonts w:ascii="Perpetua" w:hAnsi="Perpetua"/>
          <w:iCs/>
          <w:sz w:val="24"/>
          <w:szCs w:val="24"/>
        </w:rPr>
      </w:pPr>
      <w:r w:rsidRPr="00FC677E">
        <w:rPr>
          <w:rFonts w:ascii="Perpetua" w:hAnsi="Perpetua"/>
          <w:sz w:val="24"/>
          <w:szCs w:val="24"/>
        </w:rPr>
        <w:t xml:space="preserve">Thompson, J. </w:t>
      </w:r>
      <w:r>
        <w:rPr>
          <w:rFonts w:ascii="Perpetua" w:hAnsi="Perpetua"/>
          <w:sz w:val="24"/>
          <w:szCs w:val="24"/>
        </w:rPr>
        <w:tab/>
      </w:r>
      <w:r w:rsidRPr="00FC677E">
        <w:rPr>
          <w:rFonts w:ascii="Perpetua" w:hAnsi="Perpetua"/>
          <w:sz w:val="24"/>
          <w:szCs w:val="24"/>
        </w:rPr>
        <w:t xml:space="preserve">‘A Refutation of Environmental Ethics’, </w:t>
      </w:r>
      <w:r w:rsidRPr="00FC677E">
        <w:rPr>
          <w:rFonts w:ascii="Perpetua" w:hAnsi="Perpetua"/>
          <w:i/>
          <w:sz w:val="24"/>
          <w:szCs w:val="24"/>
        </w:rPr>
        <w:t xml:space="preserve">Environmental Ethics 12 </w:t>
      </w:r>
      <w:r w:rsidRPr="00FC677E">
        <w:rPr>
          <w:rFonts w:ascii="Perpetua" w:hAnsi="Perpetua"/>
          <w:iCs/>
          <w:sz w:val="24"/>
          <w:szCs w:val="24"/>
        </w:rPr>
        <w:t>(1990), pp. 147 – 60.</w:t>
      </w:r>
    </w:p>
    <w:p w14:paraId="6FDF785C" w14:textId="77777777" w:rsidR="0046390E" w:rsidRPr="00FC677E" w:rsidRDefault="0046390E" w:rsidP="0046390E">
      <w:pPr>
        <w:pStyle w:val="FootnoteText"/>
        <w:jc w:val="both"/>
        <w:rPr>
          <w:rFonts w:ascii="Perpetua" w:hAnsi="Perpetua"/>
          <w:color w:val="000000" w:themeColor="text1"/>
          <w:sz w:val="24"/>
          <w:szCs w:val="24"/>
        </w:rPr>
      </w:pPr>
    </w:p>
    <w:p w14:paraId="6B1965D1" w14:textId="77777777" w:rsidR="0046390E" w:rsidRDefault="0046390E" w:rsidP="0046390E">
      <w:pPr>
        <w:autoSpaceDE w:val="0"/>
        <w:autoSpaceDN w:val="0"/>
        <w:adjustRightInd w:val="0"/>
        <w:spacing w:after="0" w:line="240" w:lineRule="auto"/>
        <w:jc w:val="both"/>
        <w:rPr>
          <w:rFonts w:ascii="Perpetua" w:hAnsi="Perpetua" w:cs="Times New Roman"/>
          <w:color w:val="2A2A2A"/>
          <w:kern w:val="0"/>
        </w:rPr>
      </w:pPr>
      <w:r w:rsidRPr="00FC677E">
        <w:rPr>
          <w:rFonts w:ascii="Perpetua" w:hAnsi="Perpetua" w:cs="Times New Roman"/>
          <w:color w:val="2A2A2A"/>
          <w:kern w:val="0"/>
        </w:rPr>
        <w:t xml:space="preserve">Varner, G. </w:t>
      </w:r>
      <w:r w:rsidRPr="00FC677E">
        <w:rPr>
          <w:rFonts w:ascii="Perpetua" w:hAnsi="Perpetua" w:cs="Times New Roman"/>
          <w:color w:val="2A2A2A"/>
          <w:kern w:val="0"/>
        </w:rPr>
        <w:tab/>
      </w:r>
      <w:r>
        <w:rPr>
          <w:rFonts w:ascii="Perpetua" w:hAnsi="Perpetua" w:cs="Times New Roman"/>
          <w:color w:val="2A2A2A"/>
          <w:kern w:val="0"/>
        </w:rPr>
        <w:tab/>
      </w:r>
      <w:r>
        <w:rPr>
          <w:rFonts w:ascii="Perpetua" w:hAnsi="Perpetua" w:cs="Times New Roman"/>
          <w:color w:val="2A2A2A"/>
          <w:kern w:val="0"/>
        </w:rPr>
        <w:tab/>
      </w:r>
      <w:r>
        <w:rPr>
          <w:rFonts w:ascii="Perpetua" w:hAnsi="Perpetua" w:cs="Times New Roman"/>
          <w:color w:val="2A2A2A"/>
          <w:kern w:val="0"/>
        </w:rPr>
        <w:tab/>
      </w:r>
      <w:r>
        <w:rPr>
          <w:rFonts w:ascii="Perpetua" w:hAnsi="Perpetua" w:cs="Times New Roman"/>
          <w:color w:val="2A2A2A"/>
          <w:kern w:val="0"/>
        </w:rPr>
        <w:tab/>
      </w:r>
      <w:r w:rsidRPr="00FC677E">
        <w:rPr>
          <w:rFonts w:ascii="Perpetua" w:hAnsi="Perpetua" w:cs="Times New Roman"/>
          <w:i/>
          <w:iCs/>
          <w:color w:val="2A2A2A"/>
          <w:kern w:val="0"/>
        </w:rPr>
        <w:t xml:space="preserve">In Nature’s Interests </w:t>
      </w:r>
      <w:r w:rsidRPr="00FC677E">
        <w:rPr>
          <w:rFonts w:ascii="Perpetua" w:hAnsi="Perpetua" w:cs="Times New Roman"/>
          <w:color w:val="2A2A2A"/>
          <w:kern w:val="0"/>
        </w:rPr>
        <w:t xml:space="preserve">(Oxford: OUP, 1998). </w:t>
      </w:r>
    </w:p>
    <w:p w14:paraId="486401A1" w14:textId="77777777" w:rsidR="0046390E" w:rsidRPr="00FC677E" w:rsidRDefault="0046390E" w:rsidP="0046390E">
      <w:pPr>
        <w:autoSpaceDE w:val="0"/>
        <w:autoSpaceDN w:val="0"/>
        <w:adjustRightInd w:val="0"/>
        <w:spacing w:after="0" w:line="240" w:lineRule="auto"/>
        <w:jc w:val="both"/>
        <w:rPr>
          <w:rFonts w:ascii="Perpetua" w:hAnsi="Perpetua" w:cs="Times New Roman"/>
          <w:color w:val="2A2A2A"/>
          <w:kern w:val="0"/>
        </w:rPr>
      </w:pPr>
    </w:p>
    <w:p w14:paraId="3F9F5D52" w14:textId="77777777" w:rsidR="0046390E" w:rsidRPr="00FC677E" w:rsidRDefault="0046390E" w:rsidP="0046390E">
      <w:pPr>
        <w:pStyle w:val="FootnoteText"/>
        <w:ind w:left="4320" w:hanging="4320"/>
        <w:jc w:val="both"/>
        <w:rPr>
          <w:rFonts w:ascii="Perpetua" w:hAnsi="Perpetua"/>
          <w:sz w:val="24"/>
          <w:szCs w:val="24"/>
        </w:rPr>
      </w:pPr>
      <w:r w:rsidRPr="00FC677E">
        <w:rPr>
          <w:rFonts w:ascii="Perpetua" w:hAnsi="Perpetua"/>
          <w:sz w:val="24"/>
          <w:szCs w:val="24"/>
        </w:rPr>
        <w:t xml:space="preserve">Wade, M. </w:t>
      </w:r>
      <w:r>
        <w:rPr>
          <w:rFonts w:ascii="Perpetua" w:hAnsi="Perpetua"/>
          <w:sz w:val="24"/>
          <w:szCs w:val="24"/>
        </w:rPr>
        <w:tab/>
      </w:r>
      <w:r w:rsidRPr="00FC677E">
        <w:rPr>
          <w:rFonts w:ascii="Perpetua" w:hAnsi="Perpetua"/>
          <w:sz w:val="24"/>
          <w:szCs w:val="24"/>
        </w:rPr>
        <w:t xml:space="preserve">‘Animal Liberation, Ecocentrism, and the Morality of Sport Hunting’, </w:t>
      </w:r>
      <w:r w:rsidRPr="00FC677E">
        <w:rPr>
          <w:rFonts w:ascii="Perpetua" w:hAnsi="Perpetua"/>
          <w:i/>
          <w:iCs/>
          <w:sz w:val="24"/>
          <w:szCs w:val="24"/>
        </w:rPr>
        <w:t>Journal of the Philosophy of Sport</w:t>
      </w:r>
      <w:r w:rsidRPr="00FC677E">
        <w:rPr>
          <w:rFonts w:ascii="Perpetua" w:hAnsi="Perpetua"/>
          <w:sz w:val="24"/>
          <w:szCs w:val="24"/>
        </w:rPr>
        <w:t xml:space="preserve"> 17 (1990), pp. 15 - 27.</w:t>
      </w:r>
    </w:p>
    <w:p w14:paraId="5FCBF8D7" w14:textId="77777777" w:rsidR="0046390E" w:rsidRPr="00FC677E" w:rsidRDefault="0046390E" w:rsidP="0046390E">
      <w:pPr>
        <w:pStyle w:val="FootnoteText"/>
        <w:jc w:val="both"/>
        <w:rPr>
          <w:rFonts w:ascii="Perpetua" w:hAnsi="Perpetua"/>
          <w:color w:val="000000" w:themeColor="text1"/>
          <w:sz w:val="24"/>
          <w:szCs w:val="24"/>
        </w:rPr>
      </w:pPr>
    </w:p>
    <w:p w14:paraId="2F163915" w14:textId="77777777" w:rsidR="0046390E" w:rsidRPr="00FC677E" w:rsidRDefault="0046390E" w:rsidP="0046390E">
      <w:pPr>
        <w:pStyle w:val="FootnoteText"/>
        <w:ind w:left="4320" w:hanging="4320"/>
        <w:jc w:val="both"/>
        <w:rPr>
          <w:rFonts w:ascii="Perpetua" w:hAnsi="Perpetua"/>
          <w:color w:val="000000" w:themeColor="text1"/>
          <w:sz w:val="24"/>
          <w:szCs w:val="24"/>
        </w:rPr>
      </w:pPr>
      <w:r w:rsidRPr="00FC677E">
        <w:rPr>
          <w:rFonts w:ascii="Perpetua" w:hAnsi="Perpetua"/>
          <w:color w:val="000000" w:themeColor="text1"/>
          <w:sz w:val="24"/>
          <w:szCs w:val="24"/>
        </w:rPr>
        <w:t>Weston, A.</w:t>
      </w:r>
      <w:r w:rsidRPr="00FC677E">
        <w:rPr>
          <w:rFonts w:ascii="Perpetua" w:hAnsi="Perpetua"/>
          <w:color w:val="000000" w:themeColor="text1"/>
          <w:sz w:val="24"/>
          <w:szCs w:val="24"/>
        </w:rPr>
        <w:tab/>
        <w:t xml:space="preserve">‘Beyond Intrinsic Value: Pragmatism in Environmental Ethics’, </w:t>
      </w:r>
      <w:r w:rsidRPr="00FC677E">
        <w:rPr>
          <w:rFonts w:ascii="Perpetua" w:hAnsi="Perpetua"/>
          <w:i/>
          <w:iCs/>
          <w:color w:val="000000" w:themeColor="text1"/>
          <w:sz w:val="24"/>
          <w:szCs w:val="24"/>
        </w:rPr>
        <w:t>Environmental Ethics</w:t>
      </w:r>
      <w:r w:rsidRPr="00FC677E">
        <w:rPr>
          <w:rFonts w:ascii="Perpetua" w:hAnsi="Perpetua"/>
          <w:color w:val="000000" w:themeColor="text1"/>
          <w:sz w:val="24"/>
          <w:szCs w:val="24"/>
        </w:rPr>
        <w:t>,</w:t>
      </w:r>
      <w:r w:rsidRPr="00FC677E">
        <w:rPr>
          <w:rFonts w:ascii="Perpetua" w:hAnsi="Perpetua"/>
          <w:i/>
          <w:iCs/>
          <w:color w:val="000000" w:themeColor="text1"/>
          <w:sz w:val="24"/>
          <w:szCs w:val="24"/>
        </w:rPr>
        <w:t xml:space="preserve"> </w:t>
      </w:r>
      <w:r w:rsidRPr="00FC677E">
        <w:rPr>
          <w:rFonts w:ascii="Perpetua" w:hAnsi="Perpetua"/>
          <w:color w:val="000000" w:themeColor="text1"/>
          <w:sz w:val="24"/>
          <w:szCs w:val="24"/>
        </w:rPr>
        <w:t xml:space="preserve">Vol 7 (Winter 1985), pp. 321 – 339. </w:t>
      </w:r>
    </w:p>
    <w:p w14:paraId="0298A077" w14:textId="77777777" w:rsidR="0046390E" w:rsidRPr="00FC677E" w:rsidRDefault="0046390E" w:rsidP="0046390E">
      <w:pPr>
        <w:jc w:val="both"/>
        <w:rPr>
          <w:rFonts w:ascii="Perpetua" w:hAnsi="Perpetua"/>
        </w:rPr>
      </w:pPr>
    </w:p>
    <w:p w14:paraId="3450B3CC" w14:textId="77777777" w:rsidR="0046390E" w:rsidRPr="00FC677E" w:rsidRDefault="0046390E" w:rsidP="0046390E">
      <w:pPr>
        <w:rPr>
          <w:rFonts w:ascii="Perpetua" w:hAnsi="Perpetua"/>
        </w:rPr>
      </w:pPr>
    </w:p>
    <w:p w14:paraId="51F7C036" w14:textId="77777777" w:rsidR="00BE0B55" w:rsidRDefault="00BE0B55"/>
    <w:sectPr w:rsidR="00BE0B55" w:rsidSect="00BE0B55">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8C9DC5" w14:textId="77777777" w:rsidR="00B24C5D" w:rsidRDefault="00B24C5D" w:rsidP="00BE0B55">
      <w:pPr>
        <w:spacing w:after="0" w:line="240" w:lineRule="auto"/>
      </w:pPr>
      <w:r>
        <w:separator/>
      </w:r>
    </w:p>
  </w:endnote>
  <w:endnote w:type="continuationSeparator" w:id="0">
    <w:p w14:paraId="509D3BED" w14:textId="77777777" w:rsidR="00B24C5D" w:rsidRDefault="00B24C5D" w:rsidP="00BE0B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imes">
    <w:altName w:val="Sylfaen"/>
    <w:panose1 w:val="00000500000000020000"/>
    <w:charset w:val="00"/>
    <w:family w:val="roman"/>
    <w:pitch w:val="variable"/>
    <w:sig w:usb0="E0002EFF" w:usb1="C000785B" w:usb2="00000009" w:usb3="00000000" w:csb0="000001FF" w:csb1="00000000"/>
  </w:font>
  <w:font w:name="Perpetua">
    <w:panose1 w:val="02020502060401020303"/>
    <w:charset w:val="4D"/>
    <w:family w:val="roman"/>
    <w:pitch w:val="variable"/>
    <w:sig w:usb0="00000003" w:usb1="00000000" w:usb2="00000000" w:usb3="00000000" w:csb0="00000001" w:csb1="00000000"/>
  </w:font>
  <w:font w:name="á⁄≈'22">
    <w:altName w:val="Calibri"/>
    <w:panose1 w:val="020B0604020202020204"/>
    <w:charset w:val="4D"/>
    <w:family w:val="auto"/>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37822306"/>
      <w:docPartObj>
        <w:docPartGallery w:val="Page Numbers (Bottom of Page)"/>
        <w:docPartUnique/>
      </w:docPartObj>
    </w:sdtPr>
    <w:sdtContent>
      <w:p w14:paraId="73A9797C" w14:textId="59971C11" w:rsidR="00773E0E" w:rsidRDefault="00773E0E" w:rsidP="005448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DD87265" w14:textId="77777777" w:rsidR="00773E0E" w:rsidRDefault="00773E0E" w:rsidP="00773E0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96669076"/>
      <w:docPartObj>
        <w:docPartGallery w:val="Page Numbers (Bottom of Page)"/>
        <w:docPartUnique/>
      </w:docPartObj>
    </w:sdtPr>
    <w:sdtContent>
      <w:p w14:paraId="197C2DE5" w14:textId="4F46BA6D" w:rsidR="00773E0E" w:rsidRDefault="00773E0E" w:rsidP="005448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19FFEE" w14:textId="77777777" w:rsidR="00773E0E" w:rsidRDefault="00773E0E" w:rsidP="00773E0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AC01BA" w14:textId="77777777" w:rsidR="00B24C5D" w:rsidRDefault="00B24C5D" w:rsidP="00BE0B55">
      <w:pPr>
        <w:spacing w:after="0" w:line="240" w:lineRule="auto"/>
      </w:pPr>
      <w:r>
        <w:separator/>
      </w:r>
    </w:p>
  </w:footnote>
  <w:footnote w:type="continuationSeparator" w:id="0">
    <w:p w14:paraId="4BD42F91" w14:textId="77777777" w:rsidR="00B24C5D" w:rsidRDefault="00B24C5D" w:rsidP="00BE0B55">
      <w:pPr>
        <w:spacing w:after="0" w:line="240" w:lineRule="auto"/>
      </w:pPr>
      <w:r>
        <w:continuationSeparator/>
      </w:r>
    </w:p>
  </w:footnote>
  <w:footnote w:id="1">
    <w:p w14:paraId="33C1E366" w14:textId="469686F8" w:rsidR="00BE0B55" w:rsidRPr="0046390E" w:rsidRDefault="00BE0B55" w:rsidP="00BE0B55">
      <w:pPr>
        <w:pStyle w:val="BlockText"/>
        <w:ind w:left="0" w:right="32"/>
        <w:jc w:val="both"/>
        <w:rPr>
          <w:rFonts w:ascii="Perpetua" w:hAnsi="Perpetua"/>
          <w:sz w:val="16"/>
          <w:szCs w:val="16"/>
        </w:rPr>
      </w:pPr>
      <w:r w:rsidRPr="000B3D80">
        <w:rPr>
          <w:rStyle w:val="FootnoteReference"/>
          <w:rFonts w:ascii="Perpetua" w:hAnsi="Perpetua"/>
          <w:sz w:val="16"/>
          <w:szCs w:val="16"/>
        </w:rPr>
        <w:footnoteRef/>
      </w:r>
      <w:r w:rsidRPr="000B3D80">
        <w:rPr>
          <w:rFonts w:ascii="Perpetua" w:hAnsi="Perpetua"/>
          <w:sz w:val="16"/>
          <w:szCs w:val="16"/>
        </w:rPr>
        <w:t xml:space="preserve"> K. Goodpaster, ‘On Being Morally Considerable’, </w:t>
      </w:r>
      <w:r w:rsidRPr="000B3D80">
        <w:rPr>
          <w:rFonts w:ascii="Perpetua" w:hAnsi="Perpetua"/>
          <w:i/>
          <w:sz w:val="16"/>
          <w:szCs w:val="16"/>
        </w:rPr>
        <w:t>Journal of Philosophy</w:t>
      </w:r>
      <w:r w:rsidRPr="000B3D80">
        <w:rPr>
          <w:rFonts w:ascii="Perpetua" w:hAnsi="Perpetua"/>
          <w:sz w:val="16"/>
          <w:szCs w:val="16"/>
        </w:rPr>
        <w:t xml:space="preserve">, 75, (1978); </w:t>
      </w:r>
      <w:r w:rsidR="0046390E">
        <w:rPr>
          <w:rFonts w:ascii="Perpetua" w:hAnsi="Perpetua"/>
          <w:sz w:val="16"/>
          <w:szCs w:val="16"/>
        </w:rPr>
        <w:t>pp. 308 – 325.</w:t>
      </w:r>
    </w:p>
  </w:footnote>
  <w:footnote w:id="2">
    <w:p w14:paraId="44F846DD" w14:textId="21568F93" w:rsidR="00BE0B55" w:rsidRPr="0046390E" w:rsidRDefault="00BE0B55" w:rsidP="0046390E">
      <w:pPr>
        <w:autoSpaceDE w:val="0"/>
        <w:autoSpaceDN w:val="0"/>
        <w:adjustRightInd w:val="0"/>
        <w:spacing w:after="0" w:line="240" w:lineRule="auto"/>
        <w:jc w:val="both"/>
        <w:rPr>
          <w:rFonts w:ascii="Perpetua" w:hAnsi="Perpetua" w:cs="á⁄≈'22"/>
          <w:color w:val="2A2A2A"/>
          <w:kern w:val="0"/>
          <w:sz w:val="16"/>
          <w:szCs w:val="16"/>
        </w:rPr>
      </w:pPr>
      <w:r w:rsidRPr="000B3D80">
        <w:rPr>
          <w:rStyle w:val="FootnoteReference"/>
          <w:rFonts w:ascii="Perpetua" w:hAnsi="Perpetua"/>
          <w:sz w:val="16"/>
          <w:szCs w:val="16"/>
        </w:rPr>
        <w:footnoteRef/>
      </w:r>
      <w:r w:rsidRPr="000B3D80">
        <w:rPr>
          <w:rFonts w:ascii="Perpetua" w:hAnsi="Perpetua"/>
          <w:sz w:val="16"/>
          <w:szCs w:val="16"/>
        </w:rPr>
        <w:t xml:space="preserve"> J.B. </w:t>
      </w:r>
      <w:r w:rsidRPr="000B3D80">
        <w:rPr>
          <w:rStyle w:val="contributors"/>
          <w:rFonts w:ascii="Perpetua" w:hAnsi="Perpetua"/>
          <w:color w:val="2A2A2A"/>
          <w:sz w:val="16"/>
          <w:szCs w:val="16"/>
          <w:bdr w:val="none" w:sz="0" w:space="0" w:color="auto" w:frame="1"/>
          <w:shd w:val="clear" w:color="auto" w:fill="FFFFFF"/>
        </w:rPr>
        <w:t xml:space="preserve">Callicott, </w:t>
      </w:r>
      <w:r w:rsidRPr="000B3D80">
        <w:rPr>
          <w:rStyle w:val="Emphasis"/>
          <w:rFonts w:ascii="Perpetua" w:hAnsi="Perpetua"/>
          <w:color w:val="2A2A2A"/>
          <w:sz w:val="16"/>
          <w:szCs w:val="16"/>
          <w:bdr w:val="none" w:sz="0" w:space="0" w:color="auto" w:frame="1"/>
          <w:shd w:val="clear" w:color="auto" w:fill="FFFFFF"/>
        </w:rPr>
        <w:t>Thinking Like a Planet: The Land Ethic and the Earth Ethic</w:t>
      </w:r>
      <w:r w:rsidRPr="000B3D80">
        <w:rPr>
          <w:rFonts w:ascii="Perpetua" w:hAnsi="Perpetua"/>
          <w:color w:val="2A2A2A"/>
          <w:sz w:val="16"/>
          <w:szCs w:val="16"/>
          <w:shd w:val="clear" w:color="auto" w:fill="FFFFFF"/>
        </w:rPr>
        <w:t> (</w:t>
      </w:r>
      <w:r w:rsidRPr="000B3D80">
        <w:rPr>
          <w:rStyle w:val="publisher-location"/>
          <w:rFonts w:ascii="Perpetua" w:hAnsi="Perpetua"/>
          <w:color w:val="2A2A2A"/>
          <w:sz w:val="16"/>
          <w:szCs w:val="16"/>
          <w:bdr w:val="none" w:sz="0" w:space="0" w:color="auto" w:frame="1"/>
          <w:shd w:val="clear" w:color="auto" w:fill="FFFFFF"/>
        </w:rPr>
        <w:t>New York, </w:t>
      </w:r>
      <w:r w:rsidRPr="000B3D80">
        <w:rPr>
          <w:rStyle w:val="print-publication-date"/>
          <w:rFonts w:ascii="Perpetua" w:hAnsi="Perpetua"/>
          <w:color w:val="2A2A2A"/>
          <w:sz w:val="16"/>
          <w:szCs w:val="16"/>
          <w:bdr w:val="none" w:sz="0" w:space="0" w:color="auto" w:frame="1"/>
          <w:shd w:val="clear" w:color="auto" w:fill="FFFFFF"/>
        </w:rPr>
        <w:t>2014; </w:t>
      </w:r>
      <w:r w:rsidRPr="000B3D80">
        <w:rPr>
          <w:rStyle w:val="online-edition"/>
          <w:rFonts w:ascii="Perpetua" w:hAnsi="Perpetua"/>
          <w:color w:val="2A2A2A"/>
          <w:sz w:val="16"/>
          <w:szCs w:val="16"/>
          <w:bdr w:val="none" w:sz="0" w:space="0" w:color="auto" w:frame="1"/>
          <w:shd w:val="clear" w:color="auto" w:fill="FFFFFF"/>
        </w:rPr>
        <w:t xml:space="preserve">online </w:t>
      </w:r>
      <w:proofErr w:type="spellStart"/>
      <w:r w:rsidRPr="000B3D80">
        <w:rPr>
          <w:rStyle w:val="online-edition"/>
          <w:rFonts w:ascii="Perpetua" w:hAnsi="Perpetua"/>
          <w:color w:val="2A2A2A"/>
          <w:sz w:val="16"/>
          <w:szCs w:val="16"/>
          <w:bdr w:val="none" w:sz="0" w:space="0" w:color="auto" w:frame="1"/>
          <w:shd w:val="clear" w:color="auto" w:fill="FFFFFF"/>
        </w:rPr>
        <w:t>edn</w:t>
      </w:r>
      <w:proofErr w:type="spellEnd"/>
      <w:r w:rsidRPr="000B3D80">
        <w:rPr>
          <w:rStyle w:val="online-edition"/>
          <w:rFonts w:ascii="Perpetua" w:hAnsi="Perpetua"/>
          <w:color w:val="2A2A2A"/>
          <w:sz w:val="16"/>
          <w:szCs w:val="16"/>
          <w:bdr w:val="none" w:sz="0" w:space="0" w:color="auto" w:frame="1"/>
          <w:shd w:val="clear" w:color="auto" w:fill="FFFFFF"/>
        </w:rPr>
        <w:t>, </w:t>
      </w:r>
      <w:r w:rsidRPr="000B3D80">
        <w:rPr>
          <w:rStyle w:val="containing-site"/>
          <w:rFonts w:ascii="Perpetua" w:hAnsi="Perpetua"/>
          <w:color w:val="2A2A2A"/>
          <w:sz w:val="16"/>
          <w:szCs w:val="16"/>
          <w:bdr w:val="none" w:sz="0" w:space="0" w:color="auto" w:frame="1"/>
          <w:shd w:val="clear" w:color="auto" w:fill="FFFFFF"/>
        </w:rPr>
        <w:t>Oxford Academic</w:t>
      </w:r>
      <w:r w:rsidRPr="000B3D80">
        <w:rPr>
          <w:rStyle w:val="online-publication-date"/>
          <w:rFonts w:ascii="Perpetua" w:hAnsi="Perpetua"/>
          <w:color w:val="2A2A2A"/>
          <w:sz w:val="16"/>
          <w:szCs w:val="16"/>
          <w:bdr w:val="none" w:sz="0" w:space="0" w:color="auto" w:frame="1"/>
          <w:shd w:val="clear" w:color="auto" w:fill="FFFFFF"/>
        </w:rPr>
        <w:t>, 23 Jan. 2014</w:t>
      </w:r>
      <w:r w:rsidRPr="000B3D80">
        <w:rPr>
          <w:rFonts w:ascii="Perpetua" w:hAnsi="Perpetua"/>
          <w:color w:val="2A2A2A"/>
          <w:sz w:val="16"/>
          <w:szCs w:val="16"/>
          <w:shd w:val="clear" w:color="auto" w:fill="FFFFFF"/>
        </w:rPr>
        <w:t>), p.218. Available at: </w:t>
      </w:r>
      <w:r w:rsidRPr="000B3D80">
        <w:rPr>
          <w:rFonts w:ascii="Perpetua" w:hAnsi="Perpetua"/>
          <w:sz w:val="16"/>
          <w:szCs w:val="16"/>
          <w:bdr w:val="none" w:sz="0" w:space="0" w:color="auto" w:frame="1"/>
          <w:shd w:val="clear" w:color="auto" w:fill="FFFFFF"/>
        </w:rPr>
        <w:t>https://doi.org/10.1093/acprof:oso/9780199324880.001.0001</w:t>
      </w:r>
      <w:r w:rsidRPr="000B3D80">
        <w:rPr>
          <w:rFonts w:ascii="Perpetua" w:hAnsi="Perpetua"/>
          <w:color w:val="2A2A2A"/>
          <w:sz w:val="16"/>
          <w:szCs w:val="16"/>
          <w:shd w:val="clear" w:color="auto" w:fill="FFFFFF"/>
        </w:rPr>
        <w:t>, </w:t>
      </w:r>
      <w:r w:rsidRPr="000B3D80">
        <w:rPr>
          <w:rStyle w:val="accessed-date"/>
          <w:rFonts w:ascii="Perpetua" w:hAnsi="Perpetua"/>
          <w:color w:val="2A2A2A"/>
          <w:sz w:val="16"/>
          <w:szCs w:val="16"/>
          <w:bdr w:val="none" w:sz="0" w:space="0" w:color="auto" w:frame="1"/>
          <w:shd w:val="clear" w:color="auto" w:fill="FFFFFF"/>
        </w:rPr>
        <w:t>accessed 17 July 2026)</w:t>
      </w:r>
      <w:r w:rsidRPr="000B3D80">
        <w:rPr>
          <w:rFonts w:ascii="Perpetua" w:hAnsi="Perpetua" w:cs="á⁄≈'22"/>
          <w:color w:val="2A2A2A"/>
          <w:kern w:val="0"/>
          <w:sz w:val="16"/>
          <w:szCs w:val="16"/>
        </w:rPr>
        <w:t xml:space="preserve">. </w:t>
      </w:r>
    </w:p>
  </w:footnote>
  <w:footnote w:id="3">
    <w:p w14:paraId="03C3775D" w14:textId="77777777" w:rsidR="00BE0B55" w:rsidRPr="000B3D80" w:rsidRDefault="00BE0B55" w:rsidP="00BE0B55">
      <w:pPr>
        <w:autoSpaceDE w:val="0"/>
        <w:autoSpaceDN w:val="0"/>
        <w:adjustRightInd w:val="0"/>
        <w:spacing w:after="0" w:line="240" w:lineRule="auto"/>
        <w:jc w:val="both"/>
        <w:rPr>
          <w:rFonts w:ascii="Perpetua" w:hAnsi="Perpetua" w:cs="Times New Roman"/>
          <w:color w:val="2A2A2A"/>
          <w:kern w:val="0"/>
          <w:sz w:val="16"/>
          <w:szCs w:val="16"/>
        </w:rPr>
      </w:pPr>
      <w:r w:rsidRPr="000B3D80">
        <w:rPr>
          <w:rStyle w:val="FootnoteReference"/>
          <w:rFonts w:ascii="Perpetua" w:hAnsi="Perpetua"/>
          <w:sz w:val="16"/>
          <w:szCs w:val="16"/>
        </w:rPr>
        <w:footnoteRef/>
      </w:r>
      <w:r w:rsidRPr="000B3D80">
        <w:rPr>
          <w:rFonts w:ascii="Perpetua" w:hAnsi="Perpetua"/>
          <w:sz w:val="16"/>
          <w:szCs w:val="16"/>
        </w:rPr>
        <w:t xml:space="preserve"> J.B Callicott (2014): ‘</w:t>
      </w:r>
      <w:r w:rsidRPr="000B3D80">
        <w:rPr>
          <w:rFonts w:ascii="Perpetua" w:hAnsi="Perpetua" w:cs="Times New Roman"/>
          <w:color w:val="2A2A2A"/>
          <w:kern w:val="0"/>
          <w:sz w:val="16"/>
          <w:szCs w:val="16"/>
        </w:rPr>
        <w:t>It is clear, concise, linearly organized, elegantly written, creative, thoughtful, insightful, visionary, and intellectually honest’ p.218; ‘the most conceptually nuanced biocentric ethic’ p.206</w:t>
      </w:r>
      <w:r w:rsidRPr="000B3D80">
        <w:rPr>
          <w:rFonts w:ascii="Perpetua" w:hAnsi="Perpetua"/>
          <w:color w:val="2A2A2A"/>
          <w:sz w:val="16"/>
          <w:szCs w:val="16"/>
        </w:rPr>
        <w:t xml:space="preserve">. Callicott is altogether less kind about Joseph Feinberg. </w:t>
      </w:r>
      <w:r w:rsidRPr="000B3D80">
        <w:rPr>
          <w:rFonts w:ascii="Perpetua" w:hAnsi="Perpetua" w:cs="Times New Roman"/>
          <w:color w:val="2A2A2A"/>
          <w:kern w:val="0"/>
          <w:sz w:val="16"/>
          <w:szCs w:val="16"/>
        </w:rPr>
        <w:t xml:space="preserve">  </w:t>
      </w:r>
    </w:p>
  </w:footnote>
  <w:footnote w:id="4">
    <w:p w14:paraId="7CC6CD8C" w14:textId="77777777" w:rsidR="00BE0B55" w:rsidRPr="000B3D80" w:rsidRDefault="00BE0B55" w:rsidP="00BE0B55">
      <w:pPr>
        <w:autoSpaceDE w:val="0"/>
        <w:autoSpaceDN w:val="0"/>
        <w:adjustRightInd w:val="0"/>
        <w:spacing w:after="0" w:line="240" w:lineRule="auto"/>
        <w:jc w:val="both"/>
        <w:rPr>
          <w:rFonts w:ascii="Perpetua" w:hAnsi="Perpetua" w:cs="Times New Roman"/>
          <w:color w:val="2A2A2A"/>
          <w:kern w:val="0"/>
          <w:sz w:val="16"/>
          <w:szCs w:val="16"/>
        </w:rPr>
      </w:pPr>
      <w:r w:rsidRPr="000B3D80">
        <w:rPr>
          <w:rStyle w:val="FootnoteReference"/>
          <w:rFonts w:ascii="Perpetua" w:hAnsi="Perpetua"/>
          <w:sz w:val="16"/>
          <w:szCs w:val="16"/>
        </w:rPr>
        <w:footnoteRef/>
      </w:r>
      <w:r w:rsidRPr="000B3D80">
        <w:rPr>
          <w:rFonts w:ascii="Perpetua" w:hAnsi="Perpetua"/>
          <w:sz w:val="16"/>
          <w:szCs w:val="16"/>
        </w:rPr>
        <w:t xml:space="preserve"> ibid. p.219 (“</w:t>
      </w:r>
      <w:r w:rsidRPr="000B3D80">
        <w:rPr>
          <w:rFonts w:ascii="Perpetua" w:hAnsi="Perpetua" w:cs="Times New Roman"/>
          <w:color w:val="2A2A2A"/>
          <w:kern w:val="0"/>
          <w:sz w:val="16"/>
          <w:szCs w:val="16"/>
        </w:rPr>
        <w:t>Goodpaster extends the trail blazed by G. J. Warnock and Peter Singer much further into the terra incognita of</w:t>
      </w:r>
    </w:p>
    <w:p w14:paraId="71C87ED9" w14:textId="77777777" w:rsidR="00BE0B55" w:rsidRPr="000B3D80" w:rsidRDefault="00BE0B55" w:rsidP="00BE0B55">
      <w:pPr>
        <w:pStyle w:val="FootnoteText"/>
        <w:jc w:val="both"/>
        <w:rPr>
          <w:rFonts w:ascii="Perpetua" w:hAnsi="Perpetua"/>
          <w:sz w:val="16"/>
          <w:szCs w:val="16"/>
        </w:rPr>
      </w:pPr>
      <w:r w:rsidRPr="000B3D80">
        <w:rPr>
          <w:rFonts w:ascii="Perpetua" w:hAnsi="Perpetua" w:cs="Times New Roman"/>
          <w:color w:val="2A2A2A"/>
          <w:kern w:val="0"/>
          <w:sz w:val="16"/>
          <w:szCs w:val="16"/>
        </w:rPr>
        <w:t>moral philosophy”).</w:t>
      </w:r>
    </w:p>
  </w:footnote>
  <w:footnote w:id="5">
    <w:p w14:paraId="33B748F0" w14:textId="2E53AFCE" w:rsidR="00BE0B55" w:rsidRPr="000B3D80" w:rsidRDefault="00BE0B55" w:rsidP="00BE0B55">
      <w:pPr>
        <w:pStyle w:val="FootnoteText"/>
        <w:jc w:val="both"/>
        <w:rPr>
          <w:rFonts w:ascii="Perpetua" w:hAnsi="Perpetua"/>
          <w:sz w:val="16"/>
          <w:szCs w:val="16"/>
        </w:rPr>
      </w:pPr>
      <w:r w:rsidRPr="000B3D80">
        <w:rPr>
          <w:rStyle w:val="FootnoteReference"/>
          <w:rFonts w:ascii="Perpetua" w:hAnsi="Perpetua"/>
          <w:sz w:val="16"/>
          <w:szCs w:val="16"/>
        </w:rPr>
        <w:footnoteRef/>
      </w:r>
      <w:r w:rsidRPr="000B3D80">
        <w:rPr>
          <w:rFonts w:ascii="Perpetua" w:hAnsi="Perpetua"/>
          <w:sz w:val="16"/>
          <w:szCs w:val="16"/>
        </w:rPr>
        <w:t xml:space="preserve"> The familiar (and fair) criticism of an egalitarian biocentrism (e.g./esp. P. Taylor) </w:t>
      </w:r>
      <w:r w:rsidR="008D7E68">
        <w:rPr>
          <w:rFonts w:ascii="Perpetua" w:hAnsi="Perpetua"/>
          <w:sz w:val="16"/>
          <w:szCs w:val="16"/>
        </w:rPr>
        <w:t xml:space="preserve">as not </w:t>
      </w:r>
      <w:r w:rsidRPr="000B3D80">
        <w:rPr>
          <w:rFonts w:ascii="Perpetua" w:hAnsi="Perpetua"/>
          <w:sz w:val="16"/>
          <w:szCs w:val="16"/>
        </w:rPr>
        <w:t>being</w:t>
      </w:r>
      <w:r w:rsidR="008D7E68">
        <w:rPr>
          <w:rFonts w:ascii="Perpetua" w:hAnsi="Perpetua"/>
          <w:sz w:val="16"/>
          <w:szCs w:val="16"/>
        </w:rPr>
        <w:t xml:space="preserve"> viable because</w:t>
      </w:r>
      <w:r w:rsidRPr="000B3D80">
        <w:rPr>
          <w:rFonts w:ascii="Perpetua" w:hAnsi="Perpetua"/>
          <w:sz w:val="16"/>
          <w:szCs w:val="16"/>
        </w:rPr>
        <w:t xml:space="preserve"> </w:t>
      </w:r>
      <w:r w:rsidR="008D7E68">
        <w:rPr>
          <w:rFonts w:ascii="Perpetua" w:hAnsi="Perpetua"/>
          <w:sz w:val="16"/>
          <w:szCs w:val="16"/>
        </w:rPr>
        <w:t xml:space="preserve">of </w:t>
      </w:r>
      <w:r w:rsidRPr="000B3D80">
        <w:rPr>
          <w:rFonts w:ascii="Perpetua" w:hAnsi="Perpetua"/>
          <w:sz w:val="16"/>
          <w:szCs w:val="16"/>
        </w:rPr>
        <w:t xml:space="preserve">its supposed inability to weigh/adjudicate conflicts when the interests of all living entities are </w:t>
      </w:r>
      <w:r w:rsidR="00773E0E">
        <w:rPr>
          <w:rFonts w:ascii="Perpetua" w:hAnsi="Perpetua"/>
          <w:sz w:val="16"/>
          <w:szCs w:val="16"/>
        </w:rPr>
        <w:t xml:space="preserve">regarded </w:t>
      </w:r>
      <w:r w:rsidRPr="000B3D80">
        <w:rPr>
          <w:rFonts w:ascii="Perpetua" w:hAnsi="Perpetua"/>
          <w:sz w:val="16"/>
          <w:szCs w:val="16"/>
        </w:rPr>
        <w:t xml:space="preserve">equal. </w:t>
      </w:r>
    </w:p>
  </w:footnote>
  <w:footnote w:id="6">
    <w:p w14:paraId="1975EDA4" w14:textId="27E8545C" w:rsidR="00BE0B55" w:rsidRPr="00F10436" w:rsidRDefault="00BE0B55" w:rsidP="00F10436">
      <w:pPr>
        <w:pStyle w:val="FootnoteText"/>
        <w:jc w:val="both"/>
        <w:rPr>
          <w:rFonts w:ascii="Perpetua" w:hAnsi="Perpetua"/>
          <w:sz w:val="16"/>
          <w:szCs w:val="16"/>
        </w:rPr>
      </w:pPr>
      <w:r w:rsidRPr="00F10436">
        <w:rPr>
          <w:rStyle w:val="FootnoteReference"/>
          <w:rFonts w:ascii="Perpetua" w:hAnsi="Perpetua"/>
          <w:sz w:val="16"/>
          <w:szCs w:val="16"/>
        </w:rPr>
        <w:footnoteRef/>
      </w:r>
      <w:r w:rsidRPr="00F10436">
        <w:rPr>
          <w:rFonts w:ascii="Perpetua" w:hAnsi="Perpetua"/>
          <w:sz w:val="16"/>
          <w:szCs w:val="16"/>
        </w:rPr>
        <w:t xml:space="preserve"> R. Attfield, </w:t>
      </w:r>
      <w:r w:rsidRPr="00F10436">
        <w:rPr>
          <w:rFonts w:ascii="Perpetua" w:hAnsi="Perpetua"/>
          <w:i/>
          <w:iCs/>
          <w:sz w:val="16"/>
          <w:szCs w:val="16"/>
        </w:rPr>
        <w:t xml:space="preserve">Environmental Ethics </w:t>
      </w:r>
      <w:r w:rsidRPr="00F10436">
        <w:rPr>
          <w:rFonts w:ascii="Perpetua" w:hAnsi="Perpetua"/>
          <w:sz w:val="16"/>
          <w:szCs w:val="16"/>
        </w:rPr>
        <w:t>(Second Edition: Fully Revised and Expanded), (</w:t>
      </w:r>
      <w:r w:rsidR="008D7E68" w:rsidRPr="00F10436">
        <w:rPr>
          <w:rFonts w:ascii="Perpetua" w:hAnsi="Perpetua"/>
          <w:sz w:val="16"/>
          <w:szCs w:val="16"/>
        </w:rPr>
        <w:t xml:space="preserve">Cambridge: </w:t>
      </w:r>
      <w:proofErr w:type="gramStart"/>
      <w:r w:rsidRPr="00F10436">
        <w:rPr>
          <w:rFonts w:ascii="Perpetua" w:hAnsi="Perpetua"/>
          <w:sz w:val="16"/>
          <w:szCs w:val="16"/>
        </w:rPr>
        <w:t>Polity,  2014</w:t>
      </w:r>
      <w:proofErr w:type="gramEnd"/>
      <w:r w:rsidRPr="00F10436">
        <w:rPr>
          <w:rFonts w:ascii="Perpetua" w:hAnsi="Perpetua"/>
          <w:sz w:val="16"/>
          <w:szCs w:val="16"/>
        </w:rPr>
        <w:t xml:space="preserve">), p 11 (my bold). Further, ‘Goodpaster also raises (without settling) the question of whether ecosystems have a good of their own and are also to be included. If so, his theory is </w:t>
      </w:r>
      <w:proofErr w:type="spellStart"/>
      <w:r w:rsidRPr="00F10436">
        <w:rPr>
          <w:rFonts w:ascii="Perpetua" w:hAnsi="Perpetua"/>
          <w:sz w:val="16"/>
          <w:szCs w:val="16"/>
        </w:rPr>
        <w:t>ecocentric</w:t>
      </w:r>
      <w:proofErr w:type="spellEnd"/>
      <w:r w:rsidRPr="00F10436">
        <w:rPr>
          <w:rFonts w:ascii="Perpetua" w:hAnsi="Perpetua"/>
          <w:sz w:val="16"/>
          <w:szCs w:val="16"/>
        </w:rPr>
        <w:t>, and if not, it is biocentric’</w:t>
      </w:r>
      <w:r w:rsidR="00051FD0">
        <w:rPr>
          <w:rFonts w:ascii="Perpetua" w:hAnsi="Perpetua"/>
          <w:sz w:val="16"/>
          <w:szCs w:val="16"/>
        </w:rPr>
        <w:t xml:space="preserve">: R. </w:t>
      </w:r>
      <w:r w:rsidRPr="00F10436">
        <w:rPr>
          <w:rFonts w:ascii="Perpetua" w:hAnsi="Perpetua"/>
          <w:sz w:val="16"/>
          <w:szCs w:val="16"/>
        </w:rPr>
        <w:t>Attfield</w:t>
      </w:r>
      <w:r w:rsidR="00051FD0">
        <w:rPr>
          <w:rFonts w:ascii="Perpetua" w:hAnsi="Perpetua"/>
          <w:sz w:val="16"/>
          <w:szCs w:val="16"/>
        </w:rPr>
        <w:t xml:space="preserve"> (</w:t>
      </w:r>
      <w:r w:rsidRPr="00F10436">
        <w:rPr>
          <w:rFonts w:ascii="Perpetua" w:hAnsi="Perpetua"/>
          <w:sz w:val="16"/>
          <w:szCs w:val="16"/>
        </w:rPr>
        <w:t xml:space="preserve">2014) p 11.  </w:t>
      </w:r>
    </w:p>
  </w:footnote>
  <w:footnote w:id="7">
    <w:p w14:paraId="5C2A66DF" w14:textId="7485A6F0" w:rsidR="00BE0B55" w:rsidRPr="00F10436" w:rsidRDefault="00BE0B55" w:rsidP="00F10436">
      <w:pPr>
        <w:autoSpaceDE w:val="0"/>
        <w:autoSpaceDN w:val="0"/>
        <w:adjustRightInd w:val="0"/>
        <w:spacing w:after="0" w:line="240" w:lineRule="auto"/>
        <w:jc w:val="both"/>
        <w:rPr>
          <w:rFonts w:ascii="Perpetua" w:hAnsi="Perpetua" w:cs="Times New Roman"/>
          <w:color w:val="2A2A2A"/>
          <w:kern w:val="0"/>
          <w:sz w:val="16"/>
          <w:szCs w:val="16"/>
        </w:rPr>
      </w:pPr>
      <w:r w:rsidRPr="00F10436">
        <w:rPr>
          <w:rStyle w:val="FootnoteReference"/>
          <w:rFonts w:ascii="Perpetua" w:hAnsi="Perpetua"/>
          <w:sz w:val="16"/>
          <w:szCs w:val="16"/>
        </w:rPr>
        <w:footnoteRef/>
      </w:r>
      <w:r w:rsidRPr="00F10436">
        <w:rPr>
          <w:rFonts w:ascii="Perpetua" w:hAnsi="Perpetua"/>
          <w:sz w:val="16"/>
          <w:szCs w:val="16"/>
        </w:rPr>
        <w:t xml:space="preserve"> Explaining, perhaps, the holist Callicott’s perhaps surprising praise (R.B. Callicott (2014): ‘He did so whilst preserving the possibility of moral consideration being justifiably shown to the biosphere itself’</w:t>
      </w:r>
      <w:r w:rsidR="00773E0E" w:rsidRPr="00F10436">
        <w:rPr>
          <w:rFonts w:ascii="Perpetua" w:hAnsi="Perpetua"/>
          <w:sz w:val="16"/>
          <w:szCs w:val="16"/>
        </w:rPr>
        <w:t xml:space="preserve">. </w:t>
      </w:r>
      <w:r w:rsidRPr="00F10436">
        <w:rPr>
          <w:rFonts w:ascii="Perpetua" w:hAnsi="Perpetua"/>
          <w:sz w:val="16"/>
          <w:szCs w:val="16"/>
        </w:rPr>
        <w:t>N.B. For ease, I use today’s terms, e.g. biocentric/</w:t>
      </w:r>
      <w:proofErr w:type="spellStart"/>
      <w:r w:rsidRPr="00F10436">
        <w:rPr>
          <w:rFonts w:ascii="Perpetua" w:hAnsi="Perpetua"/>
          <w:sz w:val="16"/>
          <w:szCs w:val="16"/>
        </w:rPr>
        <w:t>biocentrist</w:t>
      </w:r>
      <w:proofErr w:type="spellEnd"/>
      <w:r w:rsidRPr="00F10436">
        <w:rPr>
          <w:rFonts w:ascii="Perpetua" w:hAnsi="Perpetua"/>
          <w:sz w:val="16"/>
          <w:szCs w:val="16"/>
        </w:rPr>
        <w:t xml:space="preserve">, </w:t>
      </w:r>
      <w:proofErr w:type="spellStart"/>
      <w:r w:rsidRPr="00F10436">
        <w:rPr>
          <w:rFonts w:ascii="Perpetua" w:hAnsi="Perpetua"/>
          <w:sz w:val="16"/>
          <w:szCs w:val="16"/>
        </w:rPr>
        <w:t>sentientist</w:t>
      </w:r>
      <w:proofErr w:type="spellEnd"/>
      <w:r w:rsidRPr="00F10436">
        <w:rPr>
          <w:rFonts w:ascii="Perpetua" w:hAnsi="Perpetua"/>
          <w:sz w:val="16"/>
          <w:szCs w:val="16"/>
        </w:rPr>
        <w:t xml:space="preserve"> etc. Goodpaster did not elaborate on OBMC to any real extent. A little mournful, Callicott (2014) notes, ‘</w:t>
      </w:r>
      <w:r w:rsidRPr="00F10436">
        <w:rPr>
          <w:rFonts w:ascii="Perpetua" w:hAnsi="Perpetua" w:cs="Times New Roman"/>
          <w:color w:val="2A2A2A"/>
          <w:kern w:val="0"/>
          <w:sz w:val="16"/>
          <w:szCs w:val="16"/>
        </w:rPr>
        <w:t>Goodpaster contributed only one other paper to environmental ethics, “From Egoism to Environmentalism,”</w:t>
      </w:r>
      <w:r w:rsidR="00DD7C70">
        <w:rPr>
          <w:rFonts w:ascii="Perpetua" w:hAnsi="Perpetua" w:cs="Times New Roman"/>
          <w:color w:val="2A2A2A"/>
          <w:kern w:val="0"/>
          <w:sz w:val="16"/>
          <w:szCs w:val="16"/>
        </w:rPr>
        <w:t xml:space="preserve"> </w:t>
      </w:r>
      <w:r w:rsidRPr="00F10436">
        <w:rPr>
          <w:rFonts w:ascii="Perpetua" w:hAnsi="Perpetua" w:cs="Times New Roman"/>
          <w:color w:val="2A2A2A"/>
          <w:kern w:val="0"/>
          <w:sz w:val="16"/>
          <w:szCs w:val="16"/>
        </w:rPr>
        <w:t>published in 1979, which is also a very fine piece of work. Unfortunately, he abandoned</w:t>
      </w:r>
      <w:r w:rsidRPr="00F10436">
        <w:rPr>
          <w:rFonts w:ascii="Perpetua" w:hAnsi="Perpetua"/>
          <w:color w:val="2A2A2A"/>
          <w:sz w:val="16"/>
          <w:szCs w:val="16"/>
        </w:rPr>
        <w:t xml:space="preserve"> </w:t>
      </w:r>
      <w:r w:rsidRPr="00F10436">
        <w:rPr>
          <w:rFonts w:ascii="Perpetua" w:hAnsi="Perpetua" w:cs="Times New Roman"/>
          <w:color w:val="2A2A2A"/>
          <w:kern w:val="0"/>
          <w:sz w:val="16"/>
          <w:szCs w:val="16"/>
        </w:rPr>
        <w:t xml:space="preserve">environmental ethics for the more pedestrian (but both more lucrative and professionally respectable) </w:t>
      </w:r>
      <w:r w:rsidRPr="00F10436">
        <w:rPr>
          <w:rFonts w:ascii="Perpetua" w:hAnsi="Perpetua"/>
          <w:color w:val="2A2A2A"/>
          <w:sz w:val="16"/>
          <w:szCs w:val="16"/>
        </w:rPr>
        <w:t>fi</w:t>
      </w:r>
      <w:r w:rsidRPr="00F10436">
        <w:rPr>
          <w:rFonts w:ascii="Perpetua" w:hAnsi="Perpetua" w:cs="Times New Roman"/>
          <w:color w:val="2A2A2A"/>
          <w:kern w:val="0"/>
          <w:sz w:val="16"/>
          <w:szCs w:val="16"/>
        </w:rPr>
        <w:t xml:space="preserve">eld </w:t>
      </w:r>
      <w:proofErr w:type="spellStart"/>
      <w:r w:rsidRPr="00F10436">
        <w:rPr>
          <w:rFonts w:ascii="Perpetua" w:hAnsi="Perpetua" w:cs="Times New Roman"/>
          <w:color w:val="2A2A2A"/>
          <w:kern w:val="0"/>
          <w:sz w:val="16"/>
          <w:szCs w:val="16"/>
        </w:rPr>
        <w:t>ofbusiness</w:t>
      </w:r>
      <w:proofErr w:type="spellEnd"/>
      <w:r w:rsidRPr="00F10436">
        <w:rPr>
          <w:rFonts w:ascii="Perpetua" w:hAnsi="Perpetua" w:cs="Times New Roman"/>
          <w:color w:val="2A2A2A"/>
          <w:kern w:val="0"/>
          <w:sz w:val="16"/>
          <w:szCs w:val="16"/>
        </w:rPr>
        <w:t xml:space="preserve"> ethics in 1980, when he joined the faculty of the Harvard Business School…’ (p.218). This is not entirely correct. There was also ‘On Stopping at Everything’ (see below) and ‘Moral Consideration and the Environment: Perception, Analysis,</w:t>
      </w:r>
      <w:r w:rsidR="008D7E68" w:rsidRPr="00F10436">
        <w:rPr>
          <w:rFonts w:ascii="Perpetua" w:hAnsi="Perpetua" w:cs="Times New Roman"/>
          <w:color w:val="2A2A2A"/>
          <w:kern w:val="0"/>
          <w:sz w:val="16"/>
          <w:szCs w:val="16"/>
        </w:rPr>
        <w:t xml:space="preserve"> </w:t>
      </w:r>
      <w:r w:rsidRPr="00F10436">
        <w:rPr>
          <w:rFonts w:ascii="Perpetua" w:hAnsi="Perpetua" w:cs="Times New Roman"/>
          <w:color w:val="2A2A2A"/>
          <w:kern w:val="0"/>
          <w:sz w:val="16"/>
          <w:szCs w:val="16"/>
        </w:rPr>
        <w:t xml:space="preserve">and Synthesis, </w:t>
      </w:r>
      <w:proofErr w:type="spellStart"/>
      <w:r w:rsidRPr="00F10436">
        <w:rPr>
          <w:rFonts w:ascii="Perpetua" w:hAnsi="Perpetua" w:cs="Times New Roman"/>
          <w:i/>
          <w:iCs/>
          <w:color w:val="2A2A2A"/>
          <w:kern w:val="0"/>
          <w:sz w:val="16"/>
          <w:szCs w:val="16"/>
        </w:rPr>
        <w:t>Topoi</w:t>
      </w:r>
      <w:proofErr w:type="spellEnd"/>
      <w:r w:rsidRPr="00F10436">
        <w:rPr>
          <w:rFonts w:ascii="Perpetua" w:hAnsi="Perpetua" w:cs="Times New Roman"/>
          <w:color w:val="2A2A2A"/>
          <w:kern w:val="0"/>
          <w:sz w:val="16"/>
          <w:szCs w:val="16"/>
        </w:rPr>
        <w:t>, 12(1) (1993), pp.5 – 20.</w:t>
      </w:r>
    </w:p>
  </w:footnote>
  <w:footnote w:id="8">
    <w:p w14:paraId="61B95EFD" w14:textId="77777777" w:rsidR="00BE0B55" w:rsidRPr="00F10436" w:rsidRDefault="00BE0B55" w:rsidP="00F10436">
      <w:pPr>
        <w:pStyle w:val="FootnoteText"/>
        <w:jc w:val="both"/>
        <w:rPr>
          <w:rFonts w:ascii="Perpetua" w:hAnsi="Perpetua"/>
          <w:sz w:val="16"/>
          <w:szCs w:val="16"/>
        </w:rPr>
      </w:pPr>
      <w:r w:rsidRPr="00F10436">
        <w:rPr>
          <w:rStyle w:val="FootnoteReference"/>
          <w:rFonts w:ascii="Perpetua" w:hAnsi="Perpetua"/>
          <w:sz w:val="16"/>
          <w:szCs w:val="16"/>
        </w:rPr>
        <w:footnoteRef/>
      </w:r>
      <w:r w:rsidRPr="00F10436">
        <w:rPr>
          <w:rFonts w:ascii="Perpetua" w:hAnsi="Perpetua"/>
          <w:sz w:val="16"/>
          <w:szCs w:val="16"/>
        </w:rPr>
        <w:t xml:space="preserve"> ‘OBMC’ p.310, p.323. </w:t>
      </w:r>
    </w:p>
  </w:footnote>
  <w:footnote w:id="9">
    <w:p w14:paraId="625C8669" w14:textId="112E8C0B" w:rsidR="008D7E68" w:rsidRPr="00F10436" w:rsidRDefault="008D7E68" w:rsidP="00F10436">
      <w:pPr>
        <w:pStyle w:val="FootnoteText"/>
        <w:jc w:val="both"/>
        <w:rPr>
          <w:rFonts w:ascii="Perpetua" w:hAnsi="Perpetua"/>
          <w:sz w:val="16"/>
          <w:szCs w:val="16"/>
        </w:rPr>
      </w:pPr>
      <w:r w:rsidRPr="00F10436">
        <w:rPr>
          <w:rStyle w:val="FootnoteReference"/>
          <w:rFonts w:ascii="Perpetua" w:hAnsi="Perpetua"/>
          <w:sz w:val="16"/>
          <w:szCs w:val="16"/>
        </w:rPr>
        <w:footnoteRef/>
      </w:r>
      <w:r w:rsidRPr="00F10436">
        <w:rPr>
          <w:rFonts w:ascii="Perpetua" w:hAnsi="Perpetua"/>
          <w:sz w:val="16"/>
          <w:szCs w:val="16"/>
        </w:rPr>
        <w:t xml:space="preserve"> ‘OBMC’ commences with an epigraph of A. Leopold’s famous phrase, ‘</w:t>
      </w:r>
      <w:r w:rsidRPr="00F10436">
        <w:rPr>
          <w:rFonts w:ascii="Perpetua" w:hAnsi="Perpetua"/>
          <w:sz w:val="16"/>
          <w:szCs w:val="16"/>
        </w:rPr>
        <w:t>A thing is right when it tends to preserve the integrity, stability, and beauty of the biotic community. It is wrong</w:t>
      </w:r>
      <w:r w:rsidRPr="00F10436">
        <w:rPr>
          <w:rFonts w:ascii="Perpetua" w:hAnsi="Perpetua"/>
          <w:sz w:val="16"/>
          <w:szCs w:val="16"/>
        </w:rPr>
        <w:t xml:space="preserve"> </w:t>
      </w:r>
      <w:r w:rsidRPr="00F10436">
        <w:rPr>
          <w:rFonts w:ascii="Perpetua" w:hAnsi="Perpetua"/>
          <w:sz w:val="16"/>
          <w:szCs w:val="16"/>
        </w:rPr>
        <w:t>when it tends otherwise</w:t>
      </w:r>
      <w:r w:rsidRPr="00F10436">
        <w:rPr>
          <w:rFonts w:ascii="Perpetua" w:hAnsi="Perpetua"/>
          <w:sz w:val="16"/>
          <w:szCs w:val="16"/>
        </w:rPr>
        <w:t>’</w:t>
      </w:r>
      <w:r w:rsidRPr="00F10436">
        <w:rPr>
          <w:rFonts w:ascii="Perpetua" w:hAnsi="Perpetua"/>
          <w:sz w:val="16"/>
          <w:szCs w:val="16"/>
        </w:rPr>
        <w:t>.</w:t>
      </w:r>
      <w:r w:rsidRPr="00F10436">
        <w:rPr>
          <w:rFonts w:ascii="Perpetua" w:hAnsi="Perpetua"/>
          <w:sz w:val="16"/>
          <w:szCs w:val="16"/>
        </w:rPr>
        <w:t xml:space="preserve"> It concludes, ‘Leopold’s ethical vision and its implications for modern society in the form of an environmental ethic are important – so we should proceed with care in assessing it’, p. 325. </w:t>
      </w:r>
    </w:p>
  </w:footnote>
  <w:footnote w:id="10">
    <w:p w14:paraId="1F7DF1EB" w14:textId="77777777" w:rsidR="00BE0B55" w:rsidRPr="00F10436" w:rsidRDefault="00BE0B55" w:rsidP="00F10436">
      <w:pPr>
        <w:pStyle w:val="FootnoteText"/>
        <w:jc w:val="both"/>
        <w:rPr>
          <w:rFonts w:ascii="Perpetua" w:hAnsi="Perpetua"/>
          <w:sz w:val="16"/>
          <w:szCs w:val="16"/>
        </w:rPr>
      </w:pPr>
      <w:r w:rsidRPr="00F10436">
        <w:rPr>
          <w:rStyle w:val="FootnoteReference"/>
          <w:rFonts w:ascii="Perpetua" w:hAnsi="Perpetua"/>
          <w:sz w:val="16"/>
          <w:szCs w:val="16"/>
        </w:rPr>
        <w:footnoteRef/>
      </w:r>
      <w:r w:rsidRPr="00F10436">
        <w:rPr>
          <w:rFonts w:ascii="Perpetua" w:hAnsi="Perpetua"/>
          <w:sz w:val="16"/>
          <w:szCs w:val="16"/>
        </w:rPr>
        <w:t xml:space="preserve"> ‘OBMC’ p.309.</w:t>
      </w:r>
    </w:p>
  </w:footnote>
  <w:footnote w:id="11">
    <w:p w14:paraId="3DB68E53" w14:textId="77777777" w:rsidR="00BE0B55" w:rsidRPr="00F10436" w:rsidRDefault="00BE0B55" w:rsidP="00F10436">
      <w:pPr>
        <w:pStyle w:val="FootnoteText"/>
        <w:jc w:val="both"/>
        <w:rPr>
          <w:rFonts w:ascii="Perpetua" w:hAnsi="Perpetua"/>
          <w:sz w:val="16"/>
          <w:szCs w:val="16"/>
        </w:rPr>
      </w:pPr>
      <w:r w:rsidRPr="00F10436">
        <w:rPr>
          <w:rStyle w:val="FootnoteReference"/>
          <w:rFonts w:ascii="Perpetua" w:hAnsi="Perpetua"/>
          <w:sz w:val="16"/>
          <w:szCs w:val="16"/>
        </w:rPr>
        <w:footnoteRef/>
      </w:r>
      <w:r w:rsidRPr="00F10436">
        <w:rPr>
          <w:rFonts w:ascii="Perpetua" w:hAnsi="Perpetua"/>
          <w:sz w:val="16"/>
          <w:szCs w:val="16"/>
        </w:rPr>
        <w:t xml:space="preserve"> ‘OBMC’ p.325, p.313.</w:t>
      </w:r>
    </w:p>
  </w:footnote>
  <w:footnote w:id="12">
    <w:p w14:paraId="1F7EEAB5" w14:textId="641B0691" w:rsidR="00BE0B55" w:rsidRPr="00F10436" w:rsidRDefault="00BE0B55" w:rsidP="00F10436">
      <w:pPr>
        <w:pStyle w:val="FootnoteText"/>
        <w:jc w:val="both"/>
        <w:rPr>
          <w:rFonts w:ascii="Perpetua" w:hAnsi="Perpetua"/>
          <w:sz w:val="16"/>
          <w:szCs w:val="16"/>
        </w:rPr>
      </w:pPr>
      <w:r w:rsidRPr="00F10436">
        <w:rPr>
          <w:rStyle w:val="FootnoteReference"/>
          <w:rFonts w:ascii="Perpetua" w:hAnsi="Perpetua"/>
          <w:sz w:val="16"/>
          <w:szCs w:val="16"/>
        </w:rPr>
        <w:footnoteRef/>
      </w:r>
      <w:r w:rsidRPr="00F10436">
        <w:rPr>
          <w:rFonts w:ascii="Perpetua" w:hAnsi="Perpetua"/>
          <w:sz w:val="16"/>
          <w:szCs w:val="16"/>
        </w:rPr>
        <w:t xml:space="preserve"> ‘OBMC’ p.309. We can take moral standing and MC to be equivalent.  </w:t>
      </w:r>
      <w:proofErr w:type="spellStart"/>
      <w:r w:rsidRPr="00F10436">
        <w:rPr>
          <w:rFonts w:ascii="Perpetua" w:hAnsi="Perpetua"/>
          <w:sz w:val="16"/>
          <w:szCs w:val="16"/>
        </w:rPr>
        <w:t>Considerability</w:t>
      </w:r>
      <w:proofErr w:type="spellEnd"/>
      <w:r w:rsidRPr="00F10436">
        <w:rPr>
          <w:rFonts w:ascii="Perpetua" w:hAnsi="Perpetua"/>
          <w:sz w:val="16"/>
          <w:szCs w:val="16"/>
        </w:rPr>
        <w:t xml:space="preserve"> is the ‘preferred term</w:t>
      </w:r>
      <w:proofErr w:type="gramStart"/>
      <w:r w:rsidRPr="00F10436">
        <w:rPr>
          <w:rFonts w:ascii="Perpetua" w:hAnsi="Perpetua"/>
          <w:sz w:val="16"/>
          <w:szCs w:val="16"/>
        </w:rPr>
        <w:t>’  of</w:t>
      </w:r>
      <w:proofErr w:type="gramEnd"/>
      <w:r w:rsidRPr="00F10436">
        <w:rPr>
          <w:rFonts w:ascii="Perpetua" w:hAnsi="Perpetua"/>
          <w:sz w:val="16"/>
          <w:szCs w:val="16"/>
        </w:rPr>
        <w:t xml:space="preserve"> utilitarians (A. </w:t>
      </w:r>
      <w:r w:rsidRPr="00F10436">
        <w:rPr>
          <w:rFonts w:ascii="Perpetua" w:hAnsi="Perpetua"/>
          <w:color w:val="1A1A1A"/>
          <w:sz w:val="16"/>
          <w:szCs w:val="16"/>
        </w:rPr>
        <w:t>Jaworska; J. Tannenbaum, "The Grounds of Moral Status", </w:t>
      </w:r>
      <w:r w:rsidRPr="00F10436">
        <w:rPr>
          <w:rStyle w:val="Emphasis"/>
          <w:rFonts w:ascii="Perpetua" w:hAnsi="Perpetua"/>
          <w:color w:val="1A1A1A"/>
          <w:sz w:val="16"/>
          <w:szCs w:val="16"/>
        </w:rPr>
        <w:t xml:space="preserve">The Stanford </w:t>
      </w:r>
      <w:proofErr w:type="spellStart"/>
      <w:r w:rsidRPr="00F10436">
        <w:rPr>
          <w:rStyle w:val="Emphasis"/>
          <w:rFonts w:ascii="Perpetua" w:hAnsi="Perpetua"/>
          <w:color w:val="1A1A1A"/>
          <w:sz w:val="16"/>
          <w:szCs w:val="16"/>
        </w:rPr>
        <w:t>Encyclopedia</w:t>
      </w:r>
      <w:proofErr w:type="spellEnd"/>
      <w:r w:rsidRPr="00F10436">
        <w:rPr>
          <w:rStyle w:val="Emphasis"/>
          <w:rFonts w:ascii="Perpetua" w:hAnsi="Perpetua"/>
          <w:color w:val="1A1A1A"/>
          <w:sz w:val="16"/>
          <w:szCs w:val="16"/>
        </w:rPr>
        <w:t xml:space="preserve"> of Philosophy (Fall 2018 Edition)</w:t>
      </w:r>
      <w:r w:rsidRPr="00F10436">
        <w:rPr>
          <w:rFonts w:ascii="Perpetua" w:hAnsi="Perpetua"/>
          <w:color w:val="1A1A1A"/>
          <w:sz w:val="16"/>
          <w:szCs w:val="16"/>
        </w:rPr>
        <w:t xml:space="preserve">, Edward N. Zalta (ed.), p.1). There </w:t>
      </w:r>
      <w:r w:rsidRPr="00F10436">
        <w:rPr>
          <w:rFonts w:ascii="Perpetua" w:hAnsi="Perpetua"/>
          <w:sz w:val="16"/>
          <w:szCs w:val="16"/>
        </w:rPr>
        <w:t xml:space="preserve">is good reason for non-consequentialists to prefer </w:t>
      </w:r>
      <w:proofErr w:type="gramStart"/>
      <w:r w:rsidRPr="00F10436">
        <w:rPr>
          <w:rFonts w:ascii="Perpetua" w:hAnsi="Perpetua"/>
          <w:sz w:val="16"/>
          <w:szCs w:val="16"/>
        </w:rPr>
        <w:t>MC .</w:t>
      </w:r>
      <w:proofErr w:type="gramEnd"/>
      <w:r w:rsidRPr="00F10436">
        <w:rPr>
          <w:rFonts w:ascii="Perpetua" w:hAnsi="Perpetua"/>
          <w:sz w:val="16"/>
          <w:szCs w:val="16"/>
        </w:rPr>
        <w:t xml:space="preserve"> The legalistic ‘moral standing’ cannot help but import unwelcome ‘rights’ connotations. If ‘standing’ is taken to mean something like ‘able to bring a claim’/’prosecute a claim’ is unlikely to cause difficulties for a deontological/rights-based ethic which defines a moral patient as a rights-bearer and, therefore, a ‘claimant’. It </w:t>
      </w:r>
      <w:proofErr w:type="gramStart"/>
      <w:r w:rsidRPr="00F10436">
        <w:rPr>
          <w:rFonts w:ascii="Perpetua" w:hAnsi="Perpetua"/>
          <w:sz w:val="16"/>
          <w:szCs w:val="16"/>
        </w:rPr>
        <w:t>is  not</w:t>
      </w:r>
      <w:proofErr w:type="gramEnd"/>
      <w:r w:rsidRPr="00F10436">
        <w:rPr>
          <w:rFonts w:ascii="Perpetua" w:hAnsi="Perpetua"/>
          <w:sz w:val="16"/>
          <w:szCs w:val="16"/>
        </w:rPr>
        <w:t xml:space="preserve"> obvious whether ‘standing’ can properly capture the idea of MC referring to a moral </w:t>
      </w:r>
      <w:r w:rsidRPr="00F10436">
        <w:rPr>
          <w:rFonts w:ascii="Perpetua" w:hAnsi="Perpetua"/>
          <w:i/>
          <w:iCs/>
          <w:sz w:val="16"/>
          <w:szCs w:val="16"/>
        </w:rPr>
        <w:t>patient</w:t>
      </w:r>
      <w:r w:rsidRPr="00F10436">
        <w:rPr>
          <w:rFonts w:ascii="Perpetua" w:hAnsi="Perpetua"/>
          <w:sz w:val="16"/>
          <w:szCs w:val="16"/>
        </w:rPr>
        <w:t>. Relatedly, we can note with Goodpaster how Kantian criterion for mattering morally and responsibility are conflated.  ‘Moral Status’ (</w:t>
      </w:r>
      <w:r w:rsidRPr="00F10436">
        <w:rPr>
          <w:rFonts w:ascii="Perpetua" w:hAnsi="Perpetua"/>
          <w:color w:val="1A1A1A"/>
          <w:sz w:val="16"/>
          <w:szCs w:val="16"/>
          <w:shd w:val="clear" w:color="auto" w:fill="FFFFFF"/>
        </w:rPr>
        <w:t xml:space="preserve">“something has moral status </w:t>
      </w:r>
      <w:proofErr w:type="spellStart"/>
      <w:r w:rsidRPr="00F10436">
        <w:rPr>
          <w:rFonts w:ascii="Perpetua" w:hAnsi="Perpetua"/>
          <w:color w:val="1A1A1A"/>
          <w:sz w:val="16"/>
          <w:szCs w:val="16"/>
          <w:shd w:val="clear" w:color="auto" w:fill="FFFFFF"/>
        </w:rPr>
        <w:t>iff</w:t>
      </w:r>
      <w:proofErr w:type="spellEnd"/>
      <w:r w:rsidRPr="00F10436">
        <w:rPr>
          <w:rFonts w:ascii="Perpetua" w:hAnsi="Perpetua"/>
          <w:color w:val="1A1A1A"/>
          <w:sz w:val="16"/>
          <w:szCs w:val="16"/>
          <w:shd w:val="clear" w:color="auto" w:fill="FFFFFF"/>
        </w:rPr>
        <w:t xml:space="preserve"> its interests morally matter to some degree for the entity’s own sake” A. Jaworska (2018), p.1) </w:t>
      </w:r>
      <w:r w:rsidRPr="00F10436">
        <w:rPr>
          <w:rFonts w:ascii="Perpetua" w:hAnsi="Perpetua"/>
          <w:sz w:val="16"/>
          <w:szCs w:val="16"/>
        </w:rPr>
        <w:t>has</w:t>
      </w:r>
      <w:r w:rsidR="008D7E68" w:rsidRPr="00F10436">
        <w:rPr>
          <w:rFonts w:ascii="Perpetua" w:hAnsi="Perpetua"/>
          <w:sz w:val="16"/>
          <w:szCs w:val="16"/>
        </w:rPr>
        <w:t xml:space="preserve"> the</w:t>
      </w:r>
      <w:r w:rsidRPr="00F10436">
        <w:rPr>
          <w:rFonts w:ascii="Perpetua" w:hAnsi="Perpetua"/>
          <w:sz w:val="16"/>
          <w:szCs w:val="16"/>
        </w:rPr>
        <w:t xml:space="preserve"> connotations </w:t>
      </w:r>
      <w:r w:rsidR="008D7E68" w:rsidRPr="00F10436">
        <w:rPr>
          <w:rFonts w:ascii="Perpetua" w:hAnsi="Perpetua"/>
          <w:sz w:val="16"/>
          <w:szCs w:val="16"/>
        </w:rPr>
        <w:t>of</w:t>
      </w:r>
      <w:r w:rsidRPr="00F10436">
        <w:rPr>
          <w:rFonts w:ascii="Perpetua" w:hAnsi="Perpetua"/>
          <w:sz w:val="16"/>
          <w:szCs w:val="16"/>
        </w:rPr>
        <w:t xml:space="preserve"> ‘status’</w:t>
      </w:r>
      <w:r w:rsidR="008D7E68" w:rsidRPr="00F10436">
        <w:rPr>
          <w:rFonts w:ascii="Perpetua" w:hAnsi="Perpetua"/>
          <w:sz w:val="16"/>
          <w:szCs w:val="16"/>
        </w:rPr>
        <w:t xml:space="preserve"> generally</w:t>
      </w:r>
      <w:r w:rsidRPr="00F10436">
        <w:rPr>
          <w:rFonts w:ascii="Perpetua" w:hAnsi="Perpetua"/>
          <w:sz w:val="16"/>
          <w:szCs w:val="16"/>
        </w:rPr>
        <w:t xml:space="preserve"> which may be no better. Usually, moral status, moral standing and MC are regarded as </w:t>
      </w:r>
      <w:proofErr w:type="gramStart"/>
      <w:r w:rsidRPr="00F10436">
        <w:rPr>
          <w:rFonts w:ascii="Perpetua" w:hAnsi="Perpetua"/>
          <w:sz w:val="16"/>
          <w:szCs w:val="16"/>
        </w:rPr>
        <w:t>interchangeable</w:t>
      </w:r>
      <w:proofErr w:type="gramEnd"/>
      <w:r w:rsidRPr="00F10436">
        <w:rPr>
          <w:rFonts w:ascii="Perpetua" w:hAnsi="Perpetua"/>
          <w:sz w:val="16"/>
          <w:szCs w:val="16"/>
        </w:rPr>
        <w:t xml:space="preserve"> and they capture the same idea. </w:t>
      </w:r>
      <w:r w:rsidRPr="00F10436">
        <w:rPr>
          <w:rFonts w:ascii="Perpetua" w:hAnsi="Perpetua"/>
          <w:color w:val="1A1A1A"/>
          <w:sz w:val="16"/>
          <w:szCs w:val="16"/>
          <w:shd w:val="clear" w:color="auto" w:fill="FFFFFF"/>
        </w:rPr>
        <w:t xml:space="preserve">Not everyone agrees that moral status and moral </w:t>
      </w:r>
      <w:proofErr w:type="spellStart"/>
      <w:r w:rsidRPr="00F10436">
        <w:rPr>
          <w:rFonts w:ascii="Perpetua" w:hAnsi="Perpetua"/>
          <w:color w:val="1A1A1A"/>
          <w:sz w:val="16"/>
          <w:szCs w:val="16"/>
          <w:shd w:val="clear" w:color="auto" w:fill="FFFFFF"/>
        </w:rPr>
        <w:t>considerability</w:t>
      </w:r>
      <w:proofErr w:type="spellEnd"/>
      <w:r w:rsidRPr="00F10436">
        <w:rPr>
          <w:rFonts w:ascii="Perpetua" w:hAnsi="Perpetua"/>
          <w:color w:val="1A1A1A"/>
          <w:sz w:val="16"/>
          <w:szCs w:val="16"/>
          <w:shd w:val="clear" w:color="auto" w:fill="FFFFFF"/>
        </w:rPr>
        <w:t xml:space="preserve"> are co-extensive: see J. </w:t>
      </w:r>
      <w:proofErr w:type="spellStart"/>
      <w:r w:rsidRPr="00F10436">
        <w:rPr>
          <w:rFonts w:ascii="Perpetua" w:hAnsi="Perpetua"/>
          <w:color w:val="1A1A1A"/>
          <w:sz w:val="16"/>
          <w:szCs w:val="16"/>
          <w:shd w:val="clear" w:color="auto" w:fill="FFFFFF"/>
        </w:rPr>
        <w:t>Basl</w:t>
      </w:r>
      <w:proofErr w:type="spellEnd"/>
      <w:r w:rsidRPr="00F10436">
        <w:rPr>
          <w:rFonts w:ascii="Perpetua" w:hAnsi="Perpetua"/>
          <w:color w:val="1A1A1A"/>
          <w:sz w:val="16"/>
          <w:szCs w:val="16"/>
          <w:shd w:val="clear" w:color="auto" w:fill="FFFFFF"/>
        </w:rPr>
        <w:t xml:space="preserve">, </w:t>
      </w:r>
      <w:r w:rsidRPr="00F10436">
        <w:rPr>
          <w:rFonts w:ascii="Perpetua" w:hAnsi="Perpetua"/>
          <w:i/>
          <w:iCs/>
          <w:color w:val="1A1A1A"/>
          <w:sz w:val="16"/>
          <w:szCs w:val="16"/>
          <w:shd w:val="clear" w:color="auto" w:fill="FFFFFF"/>
        </w:rPr>
        <w:t xml:space="preserve">The Death of the Ethic of Life </w:t>
      </w:r>
      <w:r w:rsidRPr="00F10436">
        <w:rPr>
          <w:rFonts w:ascii="Perpetua" w:hAnsi="Perpetua"/>
          <w:color w:val="1A1A1A"/>
          <w:sz w:val="16"/>
          <w:szCs w:val="16"/>
          <w:shd w:val="clear" w:color="auto" w:fill="FFFFFF"/>
        </w:rPr>
        <w:t xml:space="preserve">(Oxford: OUP, 2019) pp. 36 – 44. </w:t>
      </w:r>
    </w:p>
  </w:footnote>
  <w:footnote w:id="13">
    <w:p w14:paraId="62FEF273" w14:textId="77777777" w:rsidR="00BE0B55" w:rsidRPr="000B3D80" w:rsidRDefault="00BE0B55" w:rsidP="00F10436">
      <w:pPr>
        <w:pStyle w:val="FootnoteText"/>
        <w:jc w:val="both"/>
        <w:rPr>
          <w:rFonts w:ascii="Perpetua" w:hAnsi="Perpetua"/>
          <w:sz w:val="16"/>
          <w:szCs w:val="16"/>
        </w:rPr>
      </w:pPr>
      <w:r w:rsidRPr="00F10436">
        <w:rPr>
          <w:rStyle w:val="FootnoteReference"/>
          <w:rFonts w:ascii="Perpetua" w:hAnsi="Perpetua"/>
          <w:sz w:val="16"/>
          <w:szCs w:val="16"/>
        </w:rPr>
        <w:footnoteRef/>
      </w:r>
      <w:r w:rsidRPr="00F10436">
        <w:rPr>
          <w:rFonts w:ascii="Perpetua" w:hAnsi="Perpetua"/>
          <w:sz w:val="16"/>
          <w:szCs w:val="16"/>
        </w:rPr>
        <w:t xml:space="preserve"> ‘OBMC’ pp. 309 – 310.</w:t>
      </w:r>
    </w:p>
  </w:footnote>
  <w:footnote w:id="14">
    <w:p w14:paraId="69A817AB" w14:textId="03F1C26C" w:rsidR="00BE0B55" w:rsidRPr="000B3D80" w:rsidRDefault="00BE0B55" w:rsidP="00BE0B55">
      <w:pPr>
        <w:pStyle w:val="FootnoteText"/>
        <w:rPr>
          <w:rFonts w:ascii="Perpetua" w:hAnsi="Perpetua"/>
          <w:sz w:val="16"/>
          <w:szCs w:val="16"/>
        </w:rPr>
      </w:pPr>
      <w:r w:rsidRPr="000B3D80">
        <w:rPr>
          <w:rStyle w:val="FootnoteReference"/>
          <w:rFonts w:ascii="Perpetua" w:hAnsi="Perpetua"/>
          <w:sz w:val="16"/>
          <w:szCs w:val="16"/>
        </w:rPr>
        <w:footnoteRef/>
      </w:r>
      <w:r w:rsidRPr="000B3D80">
        <w:rPr>
          <w:rFonts w:ascii="Perpetua" w:hAnsi="Perpetua"/>
          <w:sz w:val="16"/>
          <w:szCs w:val="16"/>
        </w:rPr>
        <w:t xml:space="preserve"> p. 310.</w:t>
      </w:r>
    </w:p>
  </w:footnote>
  <w:footnote w:id="15">
    <w:p w14:paraId="70A0D88E" w14:textId="7466901D" w:rsidR="00BE0B55" w:rsidRPr="000B3D80" w:rsidRDefault="00BE0B55" w:rsidP="009422E2">
      <w:pPr>
        <w:pStyle w:val="FootnoteText"/>
        <w:jc w:val="both"/>
        <w:rPr>
          <w:rFonts w:ascii="Perpetua" w:hAnsi="Perpetua"/>
          <w:sz w:val="16"/>
          <w:szCs w:val="16"/>
        </w:rPr>
      </w:pPr>
      <w:r w:rsidRPr="000B3D80">
        <w:rPr>
          <w:rStyle w:val="FootnoteReference"/>
          <w:rFonts w:ascii="Perpetua" w:hAnsi="Perpetua"/>
          <w:sz w:val="16"/>
          <w:szCs w:val="16"/>
        </w:rPr>
        <w:footnoteRef/>
      </w:r>
      <w:r w:rsidRPr="000B3D80">
        <w:rPr>
          <w:rFonts w:ascii="Perpetua" w:hAnsi="Perpetua"/>
          <w:sz w:val="16"/>
          <w:szCs w:val="16"/>
        </w:rPr>
        <w:t xml:space="preserve"> p. 311 (‘The question of whether dogs deserve consideration is separate from the question of they should be given </w:t>
      </w:r>
      <w:proofErr w:type="gramStart"/>
      <w:r w:rsidRPr="000B3D80">
        <w:rPr>
          <w:rFonts w:ascii="Perpetua" w:hAnsi="Perpetua"/>
          <w:sz w:val="16"/>
          <w:szCs w:val="16"/>
        </w:rPr>
        <w:t>more or less consideration</w:t>
      </w:r>
      <w:proofErr w:type="gramEnd"/>
      <w:r w:rsidRPr="000B3D80">
        <w:rPr>
          <w:rFonts w:ascii="Perpetua" w:hAnsi="Perpetua"/>
          <w:sz w:val="16"/>
          <w:szCs w:val="16"/>
        </w:rPr>
        <w:t xml:space="preserve"> than humans’).</w:t>
      </w:r>
    </w:p>
  </w:footnote>
  <w:footnote w:id="16">
    <w:p w14:paraId="65A0ACD4" w14:textId="77777777" w:rsidR="00BE0B55" w:rsidRPr="000B3D80" w:rsidRDefault="00BE0B55" w:rsidP="009422E2">
      <w:pPr>
        <w:pStyle w:val="FootnoteText"/>
        <w:jc w:val="both"/>
        <w:rPr>
          <w:rFonts w:ascii="Perpetua" w:hAnsi="Perpetua"/>
          <w:sz w:val="16"/>
          <w:szCs w:val="16"/>
        </w:rPr>
      </w:pPr>
      <w:r w:rsidRPr="000B3D80">
        <w:rPr>
          <w:rStyle w:val="FootnoteReference"/>
          <w:rFonts w:ascii="Perpetua" w:hAnsi="Perpetua"/>
          <w:sz w:val="16"/>
          <w:szCs w:val="16"/>
        </w:rPr>
        <w:footnoteRef/>
      </w:r>
      <w:r w:rsidRPr="000B3D80">
        <w:rPr>
          <w:rFonts w:ascii="Perpetua" w:hAnsi="Perpetua"/>
          <w:sz w:val="16"/>
          <w:szCs w:val="16"/>
        </w:rPr>
        <w:t xml:space="preserve"> P. Singer, </w:t>
      </w:r>
      <w:r w:rsidRPr="000B3D80">
        <w:rPr>
          <w:rFonts w:ascii="Perpetua" w:hAnsi="Perpetua"/>
          <w:i/>
          <w:iCs/>
          <w:sz w:val="16"/>
          <w:szCs w:val="16"/>
        </w:rPr>
        <w:t>Practical Ethics</w:t>
      </w:r>
      <w:r w:rsidRPr="000B3D80">
        <w:rPr>
          <w:rFonts w:ascii="Perpetua" w:hAnsi="Perpetua"/>
          <w:sz w:val="16"/>
          <w:szCs w:val="16"/>
        </w:rPr>
        <w:t xml:space="preserve"> (3</w:t>
      </w:r>
      <w:r w:rsidRPr="000B3D80">
        <w:rPr>
          <w:rFonts w:ascii="Perpetua" w:hAnsi="Perpetua"/>
          <w:sz w:val="16"/>
          <w:szCs w:val="16"/>
          <w:vertAlign w:val="superscript"/>
        </w:rPr>
        <w:t>rd</w:t>
      </w:r>
      <w:r w:rsidRPr="000B3D80">
        <w:rPr>
          <w:rFonts w:ascii="Perpetua" w:hAnsi="Perpetua"/>
          <w:sz w:val="16"/>
          <w:szCs w:val="16"/>
        </w:rPr>
        <w:t xml:space="preserve"> edition) (Cambridge: University of Cambridge, 2011), pp. </w:t>
      </w:r>
      <w:proofErr w:type="gramStart"/>
      <w:r w:rsidRPr="000B3D80">
        <w:rPr>
          <w:rFonts w:ascii="Perpetua" w:hAnsi="Perpetua"/>
          <w:sz w:val="16"/>
          <w:szCs w:val="16"/>
        </w:rPr>
        <w:t>20  -</w:t>
      </w:r>
      <w:proofErr w:type="gramEnd"/>
      <w:r w:rsidRPr="000B3D80">
        <w:rPr>
          <w:rFonts w:ascii="Perpetua" w:hAnsi="Perpetua"/>
          <w:sz w:val="16"/>
          <w:szCs w:val="16"/>
        </w:rPr>
        <w:t xml:space="preserve"> 21. T. Regan’s rights-based approach to conflicting rights (e.g. </w:t>
      </w:r>
      <w:proofErr w:type="spellStart"/>
      <w:r w:rsidRPr="000B3D80">
        <w:rPr>
          <w:rFonts w:ascii="Perpetua" w:hAnsi="Perpetua"/>
          <w:sz w:val="16"/>
          <w:szCs w:val="16"/>
        </w:rPr>
        <w:t>miniride</w:t>
      </w:r>
      <w:proofErr w:type="spellEnd"/>
      <w:r w:rsidRPr="000B3D80">
        <w:rPr>
          <w:rFonts w:ascii="Perpetua" w:hAnsi="Perpetua"/>
          <w:sz w:val="16"/>
          <w:szCs w:val="16"/>
        </w:rPr>
        <w:t xml:space="preserve"> </w:t>
      </w:r>
      <w:proofErr w:type="gramStart"/>
      <w:r w:rsidRPr="000B3D80">
        <w:rPr>
          <w:rFonts w:ascii="Perpetua" w:hAnsi="Perpetua"/>
          <w:sz w:val="16"/>
          <w:szCs w:val="16"/>
        </w:rPr>
        <w:t>principle)  is</w:t>
      </w:r>
      <w:proofErr w:type="gramEnd"/>
      <w:r w:rsidRPr="000B3D80">
        <w:rPr>
          <w:rFonts w:ascii="Perpetua" w:hAnsi="Perpetua"/>
          <w:sz w:val="16"/>
          <w:szCs w:val="16"/>
        </w:rPr>
        <w:t xml:space="preserve"> at Chapter 8 of </w:t>
      </w:r>
      <w:r w:rsidRPr="000B3D80">
        <w:rPr>
          <w:rFonts w:ascii="Perpetua" w:hAnsi="Perpetua"/>
          <w:i/>
          <w:iCs/>
          <w:sz w:val="16"/>
          <w:szCs w:val="16"/>
        </w:rPr>
        <w:t xml:space="preserve">The Case for Animal Rights </w:t>
      </w:r>
      <w:r w:rsidRPr="000B3D80">
        <w:rPr>
          <w:rFonts w:ascii="Perpetua" w:hAnsi="Perpetua"/>
          <w:sz w:val="16"/>
          <w:szCs w:val="16"/>
        </w:rPr>
        <w:t>(London: Routledge, 1983).</w:t>
      </w:r>
    </w:p>
  </w:footnote>
  <w:footnote w:id="17">
    <w:p w14:paraId="5CC29E23" w14:textId="6918A043" w:rsidR="00BE0B55" w:rsidRPr="000B3D80" w:rsidRDefault="00BE0B55" w:rsidP="009422E2">
      <w:pPr>
        <w:pStyle w:val="FootnoteText"/>
        <w:jc w:val="both"/>
        <w:rPr>
          <w:rFonts w:ascii="Perpetua" w:hAnsi="Perpetua"/>
          <w:sz w:val="16"/>
          <w:szCs w:val="16"/>
        </w:rPr>
      </w:pPr>
      <w:r w:rsidRPr="000B3D80">
        <w:rPr>
          <w:rStyle w:val="FootnoteReference"/>
          <w:rFonts w:ascii="Perpetua" w:hAnsi="Perpetua"/>
          <w:sz w:val="16"/>
          <w:szCs w:val="16"/>
        </w:rPr>
        <w:footnoteRef/>
      </w:r>
      <w:r w:rsidRPr="000B3D80">
        <w:rPr>
          <w:rFonts w:ascii="Perpetua" w:hAnsi="Perpetua"/>
          <w:sz w:val="16"/>
          <w:szCs w:val="16"/>
        </w:rPr>
        <w:t xml:space="preserve"> ‘OBMC’ p.313. Goodpaster suggests questions of </w:t>
      </w:r>
      <w:r w:rsidRPr="000B3D80">
        <w:rPr>
          <w:rFonts w:ascii="Perpetua" w:hAnsi="Perpetua"/>
          <w:i/>
          <w:iCs/>
          <w:sz w:val="16"/>
          <w:szCs w:val="16"/>
        </w:rPr>
        <w:t>intelligibility</w:t>
      </w:r>
      <w:r w:rsidR="009422E2">
        <w:rPr>
          <w:rFonts w:ascii="Perpetua" w:hAnsi="Perpetua"/>
          <w:sz w:val="16"/>
          <w:szCs w:val="16"/>
        </w:rPr>
        <w:t xml:space="preserve"> </w:t>
      </w:r>
      <w:r w:rsidRPr="000B3D80">
        <w:rPr>
          <w:rFonts w:ascii="Perpetua" w:hAnsi="Perpetua"/>
          <w:sz w:val="16"/>
          <w:szCs w:val="16"/>
        </w:rPr>
        <w:t xml:space="preserve">and </w:t>
      </w:r>
      <w:r w:rsidRPr="000B3D80">
        <w:rPr>
          <w:rFonts w:ascii="Perpetua" w:hAnsi="Perpetua"/>
          <w:i/>
          <w:iCs/>
          <w:sz w:val="16"/>
          <w:szCs w:val="16"/>
        </w:rPr>
        <w:t xml:space="preserve">normativity </w:t>
      </w:r>
      <w:r w:rsidRPr="000B3D80">
        <w:rPr>
          <w:rFonts w:ascii="Perpetua" w:hAnsi="Perpetua"/>
          <w:sz w:val="16"/>
          <w:szCs w:val="16"/>
        </w:rPr>
        <w:t>are not as easy to separate, expressing doubt about any strict partition between metaethics and normative ethics. He intends his article to be normative as opposed to conceptual but recognising that he is setting out a ‘framework’. ‘Regulative’ being ‘defensible on all grounds independent of operativity’ (i.e. not psychologically operative, p. 313).</w:t>
      </w:r>
    </w:p>
  </w:footnote>
  <w:footnote w:id="18">
    <w:p w14:paraId="3139873F" w14:textId="77777777" w:rsidR="00BE0B55" w:rsidRPr="000B3D80" w:rsidRDefault="00BE0B55" w:rsidP="009422E2">
      <w:pPr>
        <w:pStyle w:val="FootnoteText"/>
        <w:jc w:val="both"/>
        <w:rPr>
          <w:rFonts w:ascii="Perpetua" w:hAnsi="Perpetua"/>
          <w:sz w:val="16"/>
          <w:szCs w:val="16"/>
        </w:rPr>
      </w:pPr>
      <w:r w:rsidRPr="000B3D80">
        <w:rPr>
          <w:rStyle w:val="FootnoteReference"/>
          <w:rFonts w:ascii="Perpetua" w:hAnsi="Perpetua"/>
          <w:sz w:val="16"/>
          <w:szCs w:val="16"/>
        </w:rPr>
        <w:footnoteRef/>
      </w:r>
      <w:r w:rsidRPr="000B3D80">
        <w:rPr>
          <w:rFonts w:ascii="Perpetua" w:hAnsi="Perpetua"/>
          <w:sz w:val="16"/>
          <w:szCs w:val="16"/>
        </w:rPr>
        <w:t xml:space="preserve"> ‘OBMC’ p. 313.</w:t>
      </w:r>
    </w:p>
  </w:footnote>
  <w:footnote w:id="19">
    <w:p w14:paraId="2CC9FBE5" w14:textId="77FC9BD4" w:rsidR="00BE0B55" w:rsidRPr="000B3D80" w:rsidRDefault="00BE0B55" w:rsidP="009422E2">
      <w:pPr>
        <w:spacing w:after="0" w:line="240" w:lineRule="auto"/>
        <w:jc w:val="both"/>
        <w:rPr>
          <w:rFonts w:ascii="Perpetua" w:hAnsi="Perpetua"/>
          <w:sz w:val="16"/>
          <w:szCs w:val="16"/>
        </w:rPr>
      </w:pPr>
      <w:r w:rsidRPr="000B3D80">
        <w:rPr>
          <w:rStyle w:val="FootnoteReference"/>
          <w:rFonts w:ascii="Perpetua" w:hAnsi="Perpetua"/>
          <w:sz w:val="16"/>
          <w:szCs w:val="16"/>
        </w:rPr>
        <w:footnoteRef/>
      </w:r>
      <w:r w:rsidRPr="000B3D80">
        <w:rPr>
          <w:rFonts w:ascii="Perpetua" w:hAnsi="Perpetua"/>
          <w:sz w:val="16"/>
          <w:szCs w:val="16"/>
        </w:rPr>
        <w:t xml:space="preserve"> ‘OBMC’ p. 314. As to ‘potentiality’, approving G.J Warnock (first cited at footnote 1, p.310), Goodpaster writes, ‘Infants and imbeciles are no doubt potentially rational, but this does not appear to be the reason why we should not maltreat them’. ‘Potentiality’ </w:t>
      </w:r>
      <w:r w:rsidR="008B36C7">
        <w:rPr>
          <w:rFonts w:ascii="Perpetua" w:hAnsi="Perpetua"/>
          <w:sz w:val="16"/>
          <w:szCs w:val="16"/>
        </w:rPr>
        <w:t xml:space="preserve">nets in one swoop </w:t>
      </w:r>
      <w:r w:rsidRPr="000B3D80">
        <w:rPr>
          <w:rFonts w:ascii="Perpetua" w:hAnsi="Perpetua"/>
          <w:sz w:val="16"/>
          <w:szCs w:val="16"/>
        </w:rPr>
        <w:t>several billion</w:t>
      </w:r>
      <w:r w:rsidR="008B36C7">
        <w:rPr>
          <w:rFonts w:ascii="Perpetua" w:hAnsi="Perpetua"/>
          <w:sz w:val="16"/>
          <w:szCs w:val="16"/>
        </w:rPr>
        <w:t xml:space="preserve"> </w:t>
      </w:r>
      <w:proofErr w:type="gramStart"/>
      <w:r w:rsidR="008B36C7">
        <w:rPr>
          <w:rFonts w:ascii="Perpetua" w:hAnsi="Perpetua"/>
          <w:sz w:val="16"/>
          <w:szCs w:val="16"/>
        </w:rPr>
        <w:t xml:space="preserve">of </w:t>
      </w:r>
      <w:r w:rsidRPr="000B3D80">
        <w:rPr>
          <w:rFonts w:ascii="Perpetua" w:hAnsi="Perpetua"/>
          <w:sz w:val="16"/>
          <w:szCs w:val="16"/>
        </w:rPr>
        <w:t xml:space="preserve"> humans</w:t>
      </w:r>
      <w:proofErr w:type="gramEnd"/>
      <w:r w:rsidRPr="000B3D80">
        <w:rPr>
          <w:rFonts w:ascii="Perpetua" w:hAnsi="Perpetua"/>
          <w:sz w:val="16"/>
          <w:szCs w:val="16"/>
        </w:rPr>
        <w:t xml:space="preserve"> that </w:t>
      </w:r>
      <w:r w:rsidR="009422E2">
        <w:rPr>
          <w:rFonts w:ascii="Perpetua" w:hAnsi="Perpetua"/>
          <w:sz w:val="16"/>
          <w:szCs w:val="16"/>
        </w:rPr>
        <w:t>reason failed to include</w:t>
      </w:r>
      <w:r w:rsidRPr="000B3D80">
        <w:rPr>
          <w:rFonts w:ascii="Perpetua" w:hAnsi="Perpetua"/>
          <w:sz w:val="16"/>
          <w:szCs w:val="16"/>
        </w:rPr>
        <w:t>. Hopefully,</w:t>
      </w:r>
      <w:r w:rsidR="009422E2">
        <w:rPr>
          <w:rFonts w:ascii="Perpetua" w:hAnsi="Perpetua"/>
          <w:sz w:val="16"/>
          <w:szCs w:val="16"/>
        </w:rPr>
        <w:t xml:space="preserve"> however,</w:t>
      </w:r>
      <w:r w:rsidRPr="000B3D80">
        <w:rPr>
          <w:rFonts w:ascii="Perpetua" w:hAnsi="Perpetua"/>
          <w:sz w:val="16"/>
          <w:szCs w:val="16"/>
        </w:rPr>
        <w:t xml:space="preserve"> we do not refrain from harming children because they will become </w:t>
      </w:r>
      <w:r w:rsidR="009422E2">
        <w:rPr>
          <w:rFonts w:ascii="Perpetua" w:hAnsi="Perpetua"/>
          <w:sz w:val="16"/>
          <w:szCs w:val="16"/>
        </w:rPr>
        <w:t>rational adults</w:t>
      </w:r>
    </w:p>
  </w:footnote>
  <w:footnote w:id="20">
    <w:p w14:paraId="5BD1596E" w14:textId="2EA78439" w:rsidR="00BE0B55" w:rsidRPr="000B3D80" w:rsidRDefault="00BE0B55" w:rsidP="009422E2">
      <w:pPr>
        <w:pStyle w:val="FootnoteText"/>
        <w:jc w:val="both"/>
        <w:rPr>
          <w:rFonts w:ascii="Perpetua" w:hAnsi="Perpetua"/>
          <w:sz w:val="16"/>
          <w:szCs w:val="16"/>
        </w:rPr>
      </w:pPr>
      <w:r w:rsidRPr="000B3D80">
        <w:rPr>
          <w:rStyle w:val="FootnoteReference"/>
          <w:rFonts w:ascii="Perpetua" w:hAnsi="Perpetua"/>
          <w:sz w:val="16"/>
          <w:szCs w:val="16"/>
        </w:rPr>
        <w:footnoteRef/>
      </w:r>
      <w:r w:rsidRPr="000B3D80">
        <w:rPr>
          <w:rFonts w:ascii="Perpetua" w:hAnsi="Perpetua"/>
          <w:sz w:val="16"/>
          <w:szCs w:val="16"/>
        </w:rPr>
        <w:t xml:space="preserve"> In fact, Goodpaster did not believe that the border for responsibility should be drawn here</w:t>
      </w:r>
      <w:r w:rsidR="009422E2">
        <w:rPr>
          <w:rFonts w:ascii="Perpetua" w:hAnsi="Perpetua"/>
          <w:sz w:val="16"/>
          <w:szCs w:val="16"/>
        </w:rPr>
        <w:t xml:space="preserve">. He cites his own work: </w:t>
      </w:r>
      <w:r w:rsidRPr="000B3D80">
        <w:rPr>
          <w:rFonts w:ascii="Perpetua" w:hAnsi="Perpetua"/>
          <w:sz w:val="16"/>
          <w:szCs w:val="16"/>
        </w:rPr>
        <w:t xml:space="preserve">K.E. Goodpaster, ‘Morality and Organizations’ in </w:t>
      </w:r>
      <w:r w:rsidRPr="000B3D80">
        <w:rPr>
          <w:rFonts w:ascii="Perpetua" w:hAnsi="Perpetua"/>
          <w:i/>
          <w:iCs/>
          <w:sz w:val="16"/>
          <w:szCs w:val="16"/>
        </w:rPr>
        <w:t xml:space="preserve">Proceedings of the Second National Conference on Business Ethics </w:t>
      </w:r>
      <w:r w:rsidRPr="000B3D80">
        <w:rPr>
          <w:rFonts w:ascii="Perpetua" w:hAnsi="Perpetua"/>
          <w:sz w:val="16"/>
          <w:szCs w:val="16"/>
        </w:rPr>
        <w:t xml:space="preserve">(Waltham, Mass: Bentley College, 1978). </w:t>
      </w:r>
    </w:p>
  </w:footnote>
  <w:footnote w:id="21">
    <w:p w14:paraId="0960B79E" w14:textId="77777777" w:rsidR="00BE0B55" w:rsidRPr="000B3D80" w:rsidRDefault="00BE0B55" w:rsidP="009422E2">
      <w:pPr>
        <w:pStyle w:val="FootnoteText"/>
        <w:jc w:val="both"/>
        <w:rPr>
          <w:rFonts w:ascii="Perpetua" w:hAnsi="Perpetua"/>
          <w:sz w:val="16"/>
          <w:szCs w:val="16"/>
        </w:rPr>
      </w:pPr>
      <w:r w:rsidRPr="000B3D80">
        <w:rPr>
          <w:rStyle w:val="FootnoteReference"/>
          <w:rFonts w:ascii="Perpetua" w:hAnsi="Perpetua"/>
          <w:sz w:val="16"/>
          <w:szCs w:val="16"/>
        </w:rPr>
        <w:footnoteRef/>
      </w:r>
      <w:r w:rsidRPr="000B3D80">
        <w:rPr>
          <w:rFonts w:ascii="Perpetua" w:hAnsi="Perpetua"/>
          <w:sz w:val="16"/>
          <w:szCs w:val="16"/>
        </w:rPr>
        <w:t xml:space="preserve"> ‘OBMC’ p. 310.</w:t>
      </w:r>
    </w:p>
  </w:footnote>
  <w:footnote w:id="22">
    <w:p w14:paraId="5E70D607" w14:textId="147240E4" w:rsidR="00BE0B55" w:rsidRPr="000B3D80" w:rsidRDefault="00BE0B55" w:rsidP="00BE0B55">
      <w:pPr>
        <w:pStyle w:val="FootnoteText"/>
        <w:rPr>
          <w:rFonts w:ascii="Perpetua" w:hAnsi="Perpetua"/>
          <w:sz w:val="16"/>
          <w:szCs w:val="16"/>
        </w:rPr>
      </w:pPr>
      <w:r w:rsidRPr="000B3D80">
        <w:rPr>
          <w:rStyle w:val="FootnoteReference"/>
          <w:rFonts w:ascii="Perpetua" w:hAnsi="Perpetua"/>
          <w:sz w:val="16"/>
          <w:szCs w:val="16"/>
        </w:rPr>
        <w:footnoteRef/>
      </w:r>
      <w:r w:rsidRPr="000B3D80">
        <w:rPr>
          <w:rFonts w:ascii="Perpetua" w:hAnsi="Perpetua"/>
          <w:sz w:val="16"/>
          <w:szCs w:val="16"/>
        </w:rPr>
        <w:t xml:space="preserve"> Again, the use of ‘</w:t>
      </w:r>
      <w:proofErr w:type="spellStart"/>
      <w:r w:rsidRPr="000B3D80">
        <w:rPr>
          <w:rFonts w:ascii="Perpetua" w:hAnsi="Perpetua"/>
          <w:sz w:val="16"/>
          <w:szCs w:val="16"/>
        </w:rPr>
        <w:t>sentientis</w:t>
      </w:r>
      <w:r w:rsidR="00C6093A">
        <w:rPr>
          <w:rFonts w:ascii="Perpetua" w:hAnsi="Perpetua"/>
          <w:sz w:val="16"/>
          <w:szCs w:val="16"/>
        </w:rPr>
        <w:t>m</w:t>
      </w:r>
      <w:proofErr w:type="spellEnd"/>
      <w:r w:rsidRPr="000B3D80">
        <w:rPr>
          <w:rFonts w:ascii="Perpetua" w:hAnsi="Perpetua"/>
          <w:sz w:val="16"/>
          <w:szCs w:val="16"/>
        </w:rPr>
        <w:t>’ is mine. Goodpaster addresses Warnock, Singer and W.K. Frankena, pp. 314 – 317.</w:t>
      </w:r>
    </w:p>
  </w:footnote>
  <w:footnote w:id="23">
    <w:p w14:paraId="29CFBC23" w14:textId="77777777" w:rsidR="00BE0B55" w:rsidRPr="00E33B39" w:rsidRDefault="00BE0B55" w:rsidP="00E33B39">
      <w:pPr>
        <w:pStyle w:val="FootnoteText"/>
        <w:jc w:val="both"/>
        <w:rPr>
          <w:rFonts w:ascii="Perpetua" w:hAnsi="Perpetua"/>
          <w:sz w:val="16"/>
          <w:szCs w:val="16"/>
        </w:rPr>
      </w:pPr>
      <w:r w:rsidRPr="00E33B39">
        <w:rPr>
          <w:rStyle w:val="FootnoteReference"/>
          <w:rFonts w:ascii="Perpetua" w:hAnsi="Perpetua"/>
          <w:sz w:val="16"/>
          <w:szCs w:val="16"/>
        </w:rPr>
        <w:footnoteRef/>
      </w:r>
      <w:r w:rsidRPr="00E33B39">
        <w:rPr>
          <w:rFonts w:ascii="Perpetua" w:hAnsi="Perpetua"/>
          <w:sz w:val="16"/>
          <w:szCs w:val="16"/>
        </w:rPr>
        <w:t xml:space="preserve"> By contrast to the considerable philosophising directed at extending the sphere beyond human (e.g. speciesism, equal consideration of interests, personhood etc.).  </w:t>
      </w:r>
    </w:p>
  </w:footnote>
  <w:footnote w:id="24">
    <w:p w14:paraId="21714C47" w14:textId="77777777" w:rsidR="00BE0B55" w:rsidRPr="00E33B39" w:rsidRDefault="00BE0B55" w:rsidP="00E33B39">
      <w:pPr>
        <w:pStyle w:val="FootnoteText"/>
        <w:jc w:val="both"/>
        <w:rPr>
          <w:rFonts w:ascii="Perpetua" w:hAnsi="Perpetua"/>
          <w:sz w:val="16"/>
          <w:szCs w:val="16"/>
        </w:rPr>
      </w:pPr>
      <w:r w:rsidRPr="00E33B39">
        <w:rPr>
          <w:rStyle w:val="FootnoteReference"/>
          <w:rFonts w:ascii="Perpetua" w:hAnsi="Perpetua"/>
          <w:sz w:val="16"/>
          <w:szCs w:val="16"/>
        </w:rPr>
        <w:footnoteRef/>
      </w:r>
      <w:r w:rsidRPr="00E33B39">
        <w:rPr>
          <w:rFonts w:ascii="Perpetua" w:hAnsi="Perpetua"/>
          <w:sz w:val="16"/>
          <w:szCs w:val="16"/>
        </w:rPr>
        <w:t xml:space="preserve"> p. 316. Quoting P. Singer in ‘</w:t>
      </w:r>
      <w:r w:rsidRPr="00E33B39">
        <w:rPr>
          <w:rFonts w:ascii="Perpetua" w:hAnsi="Perpetua"/>
          <w:i/>
          <w:iCs/>
          <w:sz w:val="16"/>
          <w:szCs w:val="16"/>
        </w:rPr>
        <w:t xml:space="preserve">All Animals Are Equal’ </w:t>
      </w:r>
      <w:r w:rsidRPr="00E33B39">
        <w:rPr>
          <w:rFonts w:ascii="Perpetua" w:hAnsi="Perpetua"/>
          <w:sz w:val="16"/>
          <w:szCs w:val="16"/>
        </w:rPr>
        <w:t xml:space="preserve">in T. Regan and P. Singer (eds.), </w:t>
      </w:r>
      <w:r w:rsidRPr="00E33B39">
        <w:rPr>
          <w:rFonts w:ascii="Perpetua" w:hAnsi="Perpetua"/>
          <w:i/>
          <w:iCs/>
          <w:sz w:val="16"/>
          <w:szCs w:val="16"/>
        </w:rPr>
        <w:t xml:space="preserve">Animal Rights and Human Obligations </w:t>
      </w:r>
      <w:r w:rsidRPr="00E33B39">
        <w:rPr>
          <w:rFonts w:ascii="Perpetua" w:hAnsi="Perpetua"/>
          <w:sz w:val="16"/>
          <w:szCs w:val="16"/>
        </w:rPr>
        <w:t>(Englewood Cliff</w:t>
      </w:r>
      <w:r w:rsidRPr="00E33B39">
        <w:rPr>
          <w:rFonts w:ascii="Perpetua" w:hAnsi="Perpetua"/>
          <w:i/>
          <w:iCs/>
          <w:sz w:val="16"/>
          <w:szCs w:val="16"/>
        </w:rPr>
        <w:t xml:space="preserve">s, </w:t>
      </w:r>
      <w:r w:rsidRPr="00E33B39">
        <w:rPr>
          <w:rFonts w:ascii="Perpetua" w:hAnsi="Perpetua"/>
          <w:sz w:val="16"/>
          <w:szCs w:val="16"/>
        </w:rPr>
        <w:t xml:space="preserve">New Jersey: Prentice-Hall, 1976), p.154. </w:t>
      </w:r>
    </w:p>
  </w:footnote>
  <w:footnote w:id="25">
    <w:p w14:paraId="1288172A" w14:textId="77777777" w:rsidR="00BE0B55" w:rsidRPr="00E33B39" w:rsidRDefault="00BE0B55" w:rsidP="00E33B39">
      <w:pPr>
        <w:pStyle w:val="FootnoteText"/>
        <w:jc w:val="both"/>
        <w:rPr>
          <w:rFonts w:ascii="Perpetua" w:hAnsi="Perpetua"/>
          <w:sz w:val="16"/>
          <w:szCs w:val="16"/>
        </w:rPr>
      </w:pPr>
      <w:r w:rsidRPr="00E33B39">
        <w:rPr>
          <w:rStyle w:val="FootnoteReference"/>
          <w:rFonts w:ascii="Perpetua" w:hAnsi="Perpetua"/>
          <w:sz w:val="16"/>
          <w:szCs w:val="16"/>
        </w:rPr>
        <w:footnoteRef/>
      </w:r>
      <w:r w:rsidRPr="00E33B39">
        <w:rPr>
          <w:rFonts w:ascii="Perpetua" w:hAnsi="Perpetua"/>
          <w:sz w:val="16"/>
          <w:szCs w:val="16"/>
        </w:rPr>
        <w:t xml:space="preserve"> p. 321.</w:t>
      </w:r>
    </w:p>
  </w:footnote>
  <w:footnote w:id="26">
    <w:p w14:paraId="09ED51CB" w14:textId="77777777" w:rsidR="00BE0B55" w:rsidRPr="00E33B39" w:rsidRDefault="00BE0B55" w:rsidP="00E33B39">
      <w:pPr>
        <w:pStyle w:val="BlockText"/>
        <w:widowControl w:val="0"/>
        <w:ind w:left="0" w:right="0"/>
        <w:jc w:val="both"/>
        <w:rPr>
          <w:rFonts w:ascii="Perpetua" w:hAnsi="Perpetua"/>
          <w:color w:val="000000" w:themeColor="text1"/>
          <w:sz w:val="16"/>
          <w:szCs w:val="16"/>
        </w:rPr>
      </w:pPr>
      <w:r w:rsidRPr="00E33B39">
        <w:rPr>
          <w:rStyle w:val="FootnoteReference"/>
          <w:rFonts w:ascii="Perpetua" w:hAnsi="Perpetua"/>
          <w:color w:val="000000" w:themeColor="text1"/>
          <w:sz w:val="16"/>
          <w:szCs w:val="16"/>
        </w:rPr>
        <w:footnoteRef/>
      </w:r>
      <w:r w:rsidRPr="00E33B39">
        <w:rPr>
          <w:rFonts w:ascii="Perpetua" w:hAnsi="Perpetua"/>
          <w:color w:val="000000" w:themeColor="text1"/>
          <w:sz w:val="16"/>
          <w:szCs w:val="16"/>
        </w:rPr>
        <w:t xml:space="preserve"> p. 317. Noting Feinberg’s very broad use of ‘</w:t>
      </w:r>
      <w:proofErr w:type="gramStart"/>
      <w:r w:rsidRPr="00E33B39">
        <w:rPr>
          <w:rFonts w:ascii="Perpetua" w:hAnsi="Perpetua"/>
          <w:color w:val="000000" w:themeColor="text1"/>
          <w:sz w:val="16"/>
          <w:szCs w:val="16"/>
        </w:rPr>
        <w:t>rights’</w:t>
      </w:r>
      <w:proofErr w:type="gramEnd"/>
      <w:r w:rsidRPr="00E33B39">
        <w:rPr>
          <w:rFonts w:ascii="Perpetua" w:hAnsi="Perpetua"/>
          <w:color w:val="000000" w:themeColor="text1"/>
          <w:sz w:val="16"/>
          <w:szCs w:val="16"/>
        </w:rPr>
        <w:t xml:space="preserve">. J. Feinberg, ‘The Rights of Animals and Unborn Generations’ in </w:t>
      </w:r>
      <w:r w:rsidRPr="00E33B39">
        <w:rPr>
          <w:rFonts w:ascii="Perpetua" w:hAnsi="Perpetua"/>
          <w:i/>
          <w:color w:val="000000" w:themeColor="text1"/>
          <w:sz w:val="16"/>
          <w:szCs w:val="16"/>
        </w:rPr>
        <w:t>Philosophy and Environmental Crisis</w:t>
      </w:r>
      <w:r w:rsidRPr="00E33B39">
        <w:rPr>
          <w:rFonts w:ascii="Perpetua" w:hAnsi="Perpetua"/>
          <w:color w:val="000000" w:themeColor="text1"/>
          <w:sz w:val="16"/>
          <w:szCs w:val="16"/>
        </w:rPr>
        <w:t>, ed. William T. Blackstone (Athens: University of Georgia Press, 1974). [Accessed through UWTSD at: http://bibliodroitsanimaux.voila.net/pdf/FeinbergTheRightsofAnimalsandFutureGenerations.pdf].</w:t>
      </w:r>
    </w:p>
  </w:footnote>
  <w:footnote w:id="27">
    <w:p w14:paraId="7067A0AD" w14:textId="77777777" w:rsidR="00BE0B55" w:rsidRPr="00E33B39" w:rsidRDefault="00BE0B55" w:rsidP="00E33B39">
      <w:pPr>
        <w:pStyle w:val="FootnoteText"/>
        <w:jc w:val="both"/>
        <w:rPr>
          <w:rFonts w:ascii="Perpetua" w:hAnsi="Perpetua"/>
          <w:color w:val="000000" w:themeColor="text1"/>
          <w:sz w:val="16"/>
          <w:szCs w:val="16"/>
        </w:rPr>
      </w:pPr>
      <w:r w:rsidRPr="00E33B39">
        <w:rPr>
          <w:rStyle w:val="FootnoteReference"/>
          <w:rFonts w:ascii="Perpetua" w:hAnsi="Perpetua"/>
          <w:color w:val="000000" w:themeColor="text1"/>
          <w:sz w:val="16"/>
          <w:szCs w:val="16"/>
        </w:rPr>
        <w:footnoteRef/>
      </w:r>
      <w:r w:rsidRPr="00E33B39">
        <w:rPr>
          <w:rFonts w:ascii="Perpetua" w:hAnsi="Perpetua"/>
          <w:color w:val="000000" w:themeColor="text1"/>
          <w:sz w:val="16"/>
          <w:szCs w:val="16"/>
        </w:rPr>
        <w:t xml:space="preserve"> p. 318. </w:t>
      </w:r>
    </w:p>
  </w:footnote>
  <w:footnote w:id="28">
    <w:p w14:paraId="528BF512" w14:textId="77777777" w:rsidR="00BE0B55" w:rsidRPr="00E33B39" w:rsidRDefault="00BE0B55" w:rsidP="00E33B39">
      <w:pPr>
        <w:pStyle w:val="FootnoteText"/>
        <w:jc w:val="both"/>
        <w:rPr>
          <w:rFonts w:ascii="Perpetua" w:hAnsi="Perpetua"/>
          <w:color w:val="000000" w:themeColor="text1"/>
          <w:sz w:val="16"/>
          <w:szCs w:val="16"/>
        </w:rPr>
      </w:pPr>
      <w:r w:rsidRPr="00E33B39">
        <w:rPr>
          <w:rStyle w:val="FootnoteReference"/>
          <w:rFonts w:ascii="Perpetua" w:hAnsi="Perpetua"/>
          <w:color w:val="000000" w:themeColor="text1"/>
          <w:sz w:val="16"/>
          <w:szCs w:val="16"/>
        </w:rPr>
        <w:footnoteRef/>
      </w:r>
      <w:r w:rsidRPr="00E33B39">
        <w:rPr>
          <w:rFonts w:ascii="Perpetua" w:hAnsi="Perpetua"/>
          <w:color w:val="000000" w:themeColor="text1"/>
          <w:sz w:val="16"/>
          <w:szCs w:val="16"/>
        </w:rPr>
        <w:t xml:space="preserve"> Goodpaster formalises Feinberg’s two arguments (being represented/being benefited). As to benefit: Premise 1 becomes: ‘Only beings capable of being beneficiaries can deserve MC’ which is granted. Premise 2: ‘Only beings who have (or can have) interests are capable of being </w:t>
      </w:r>
      <w:proofErr w:type="gramStart"/>
      <w:r w:rsidRPr="00E33B39">
        <w:rPr>
          <w:rFonts w:ascii="Perpetua" w:hAnsi="Perpetua"/>
          <w:color w:val="000000" w:themeColor="text1"/>
          <w:sz w:val="16"/>
          <w:szCs w:val="16"/>
        </w:rPr>
        <w:t>beneficiaries’</w:t>
      </w:r>
      <w:proofErr w:type="gramEnd"/>
      <w:r w:rsidRPr="00E33B39">
        <w:rPr>
          <w:rFonts w:ascii="Perpetua" w:hAnsi="Perpetua"/>
          <w:color w:val="000000" w:themeColor="text1"/>
          <w:sz w:val="16"/>
          <w:szCs w:val="16"/>
        </w:rPr>
        <w:t xml:space="preserve">. This is ‘equivocal’. The conclusion being: ‘Therefore, only beings who have (or can have) interests can deserve MC’ (p. 318).  </w:t>
      </w:r>
    </w:p>
  </w:footnote>
  <w:footnote w:id="29">
    <w:p w14:paraId="5E45A6DA" w14:textId="77777777" w:rsidR="00BE0B55" w:rsidRPr="000B3D80" w:rsidRDefault="00BE0B55" w:rsidP="00E33B39">
      <w:pPr>
        <w:pStyle w:val="FootnoteText"/>
        <w:jc w:val="both"/>
        <w:rPr>
          <w:rFonts w:ascii="Perpetua" w:hAnsi="Perpetua"/>
          <w:sz w:val="16"/>
          <w:szCs w:val="16"/>
        </w:rPr>
      </w:pPr>
      <w:r w:rsidRPr="00E33B39">
        <w:rPr>
          <w:rStyle w:val="FootnoteReference"/>
          <w:rFonts w:ascii="Perpetua" w:hAnsi="Perpetua"/>
          <w:color w:val="000000" w:themeColor="text1"/>
          <w:sz w:val="16"/>
          <w:szCs w:val="16"/>
        </w:rPr>
        <w:footnoteRef/>
      </w:r>
      <w:r w:rsidRPr="00E33B39">
        <w:rPr>
          <w:rFonts w:ascii="Perpetua" w:hAnsi="Perpetua"/>
          <w:color w:val="000000" w:themeColor="text1"/>
          <w:sz w:val="16"/>
          <w:szCs w:val="16"/>
        </w:rPr>
        <w:t xml:space="preserve"> J. Feinberg (1974), pp. 51 – 52 (trees are not mere things and have a good of their own but do not have interests); (a mere thing not having a good of its own) p.49.</w:t>
      </w:r>
      <w:r w:rsidRPr="000B3D80">
        <w:rPr>
          <w:rFonts w:ascii="Perpetua" w:hAnsi="Perpetua"/>
          <w:color w:val="000000" w:themeColor="text1"/>
          <w:sz w:val="16"/>
          <w:szCs w:val="16"/>
        </w:rPr>
        <w:t xml:space="preserve"> </w:t>
      </w:r>
    </w:p>
  </w:footnote>
  <w:footnote w:id="30">
    <w:p w14:paraId="449F64E6" w14:textId="75ED4A34" w:rsidR="00DD7C70" w:rsidRPr="00E0548F" w:rsidRDefault="00DD7C70" w:rsidP="00E0548F">
      <w:pPr>
        <w:pStyle w:val="FootnoteText"/>
        <w:rPr>
          <w:rFonts w:ascii="Perpetua" w:hAnsi="Perpetua"/>
          <w:sz w:val="16"/>
          <w:szCs w:val="16"/>
        </w:rPr>
      </w:pPr>
      <w:r w:rsidRPr="00E0548F">
        <w:rPr>
          <w:rStyle w:val="FootnoteReference"/>
          <w:rFonts w:ascii="Perpetua" w:hAnsi="Perpetua"/>
          <w:sz w:val="16"/>
          <w:szCs w:val="16"/>
        </w:rPr>
        <w:footnoteRef/>
      </w:r>
      <w:r w:rsidRPr="00E0548F">
        <w:rPr>
          <w:rFonts w:ascii="Perpetua" w:hAnsi="Perpetua"/>
          <w:sz w:val="16"/>
          <w:szCs w:val="16"/>
        </w:rPr>
        <w:t xml:space="preserve"> J. Feinberg (1974), p. 53.</w:t>
      </w:r>
    </w:p>
  </w:footnote>
  <w:footnote w:id="31">
    <w:p w14:paraId="311EE7F1" w14:textId="2B44AE85" w:rsidR="00BE0B55" w:rsidRPr="00E0548F" w:rsidRDefault="00BE0B55" w:rsidP="00E0548F">
      <w:pPr>
        <w:pStyle w:val="FootnoteText"/>
        <w:jc w:val="both"/>
        <w:rPr>
          <w:rFonts w:ascii="Perpetua" w:hAnsi="Perpetua"/>
          <w:sz w:val="16"/>
          <w:szCs w:val="16"/>
        </w:rPr>
      </w:pPr>
      <w:r w:rsidRPr="00E0548F">
        <w:rPr>
          <w:rStyle w:val="FootnoteReference"/>
          <w:rFonts w:ascii="Perpetua" w:hAnsi="Perpetua"/>
          <w:sz w:val="16"/>
          <w:szCs w:val="16"/>
        </w:rPr>
        <w:footnoteRef/>
      </w:r>
      <w:r w:rsidRPr="00E0548F">
        <w:rPr>
          <w:rFonts w:ascii="Perpetua" w:hAnsi="Perpetua"/>
          <w:sz w:val="16"/>
          <w:szCs w:val="16"/>
        </w:rPr>
        <w:t xml:space="preserve"> p. 319. ‘Mindless Creatures’, Goodpaster notes, presumably includes some humans. </w:t>
      </w:r>
    </w:p>
  </w:footnote>
  <w:footnote w:id="32">
    <w:p w14:paraId="09B4CDDD" w14:textId="1F652E7E" w:rsidR="00BE0B55" w:rsidRPr="00E0548F" w:rsidRDefault="00BE0B55" w:rsidP="00E0548F">
      <w:pPr>
        <w:pStyle w:val="FootnoteText"/>
        <w:jc w:val="both"/>
        <w:rPr>
          <w:rFonts w:ascii="Perpetua" w:hAnsi="Perpetua"/>
          <w:sz w:val="16"/>
          <w:szCs w:val="16"/>
        </w:rPr>
      </w:pPr>
      <w:r w:rsidRPr="00E0548F">
        <w:rPr>
          <w:rStyle w:val="FootnoteReference"/>
          <w:rFonts w:ascii="Perpetua" w:hAnsi="Perpetua"/>
          <w:sz w:val="16"/>
          <w:szCs w:val="16"/>
        </w:rPr>
        <w:footnoteRef/>
      </w:r>
      <w:r w:rsidRPr="00E0548F">
        <w:rPr>
          <w:rFonts w:ascii="Perpetua" w:hAnsi="Perpetua"/>
          <w:sz w:val="16"/>
          <w:szCs w:val="16"/>
        </w:rPr>
        <w:t xml:space="preserve"> p.320 (citing J. Feinberg at p. 49). R. Attfield: ‘[Moral Standing], as both Goodpaster and I later argued against Feinberg, can be held to include non-sentient living creatures such as trees and other plants, partly on the basis that they have inbuilt, inherited natural tendencies and a related good of their own, with respect to which they can be benefited…’ (R. Attfield, </w:t>
      </w:r>
      <w:r w:rsidRPr="00E0548F">
        <w:rPr>
          <w:rFonts w:ascii="Perpetua" w:hAnsi="Perpetua"/>
          <w:i/>
          <w:iCs/>
          <w:sz w:val="16"/>
          <w:szCs w:val="16"/>
        </w:rPr>
        <w:t xml:space="preserve">Environmental Ethics </w:t>
      </w:r>
      <w:r w:rsidRPr="00E0548F">
        <w:rPr>
          <w:rFonts w:ascii="Perpetua" w:hAnsi="Perpetua"/>
          <w:sz w:val="16"/>
          <w:szCs w:val="16"/>
        </w:rPr>
        <w:t xml:space="preserve">(2014), p.39). See also R. Attfield, ‘The Good of Trees’ in </w:t>
      </w:r>
      <w:r w:rsidRPr="00E0548F">
        <w:rPr>
          <w:rFonts w:ascii="Perpetua" w:hAnsi="Perpetua"/>
          <w:i/>
          <w:iCs/>
          <w:sz w:val="16"/>
          <w:szCs w:val="16"/>
        </w:rPr>
        <w:t>Environmental Philosophy: Principles and Prospects</w:t>
      </w:r>
      <w:r w:rsidRPr="00E0548F">
        <w:rPr>
          <w:rFonts w:ascii="Perpetua" w:hAnsi="Perpetua"/>
          <w:sz w:val="16"/>
          <w:szCs w:val="16"/>
        </w:rPr>
        <w:t xml:space="preserve"> (Aldershot: Avebury, 1994</w:t>
      </w:r>
      <w:r w:rsidR="0044242D" w:rsidRPr="00E0548F">
        <w:rPr>
          <w:rFonts w:ascii="Perpetua" w:hAnsi="Perpetua"/>
          <w:sz w:val="16"/>
          <w:szCs w:val="16"/>
        </w:rPr>
        <w:t>)</w:t>
      </w:r>
      <w:r w:rsidRPr="00E0548F">
        <w:rPr>
          <w:rFonts w:ascii="Perpetua" w:hAnsi="Perpetua"/>
          <w:sz w:val="16"/>
          <w:szCs w:val="16"/>
        </w:rPr>
        <w:t>: ‘All individual animals and plants have interests…all have a direction of growth, and all can flourish…There is no need to hold that trees have unconscious goals to reach the conclusion that trees have interests…The growth and thriving of trees does not need to be regarded as a kind of wanting…for us to recognise they have a good of their own’</w:t>
      </w:r>
      <w:r w:rsidR="0044242D" w:rsidRPr="00E0548F">
        <w:rPr>
          <w:rFonts w:ascii="Perpetua" w:hAnsi="Perpetua"/>
          <w:sz w:val="16"/>
          <w:szCs w:val="16"/>
        </w:rPr>
        <w:t xml:space="preserve">, </w:t>
      </w:r>
      <w:r w:rsidRPr="00E0548F">
        <w:rPr>
          <w:rFonts w:ascii="Perpetua" w:hAnsi="Perpetua"/>
          <w:sz w:val="16"/>
          <w:szCs w:val="16"/>
        </w:rPr>
        <w:t xml:space="preserve">p. 157. For the avoidance of doubt, ‘sentience’ and the ‘conative’ are not identical. </w:t>
      </w:r>
    </w:p>
  </w:footnote>
  <w:footnote w:id="33">
    <w:p w14:paraId="784A4B6F" w14:textId="57413AC0" w:rsidR="00BE0B55" w:rsidRPr="00E0548F" w:rsidRDefault="00BE0B55" w:rsidP="00E0548F">
      <w:pPr>
        <w:autoSpaceDE w:val="0"/>
        <w:autoSpaceDN w:val="0"/>
        <w:adjustRightInd w:val="0"/>
        <w:spacing w:after="0" w:line="240" w:lineRule="auto"/>
        <w:rPr>
          <w:rFonts w:ascii="Perpetua" w:hAnsi="Perpetua" w:cs="Times New Roman"/>
          <w:color w:val="2A2A2A"/>
          <w:kern w:val="0"/>
          <w:sz w:val="16"/>
          <w:szCs w:val="16"/>
        </w:rPr>
      </w:pPr>
      <w:r w:rsidRPr="00E0548F">
        <w:rPr>
          <w:rStyle w:val="FootnoteReference"/>
          <w:rFonts w:ascii="Perpetua" w:hAnsi="Perpetua"/>
          <w:sz w:val="16"/>
          <w:szCs w:val="16"/>
        </w:rPr>
        <w:footnoteRef/>
      </w:r>
      <w:r w:rsidRPr="00E0548F">
        <w:rPr>
          <w:rFonts w:ascii="Perpetua" w:hAnsi="Perpetua"/>
          <w:sz w:val="16"/>
          <w:szCs w:val="16"/>
        </w:rPr>
        <w:t xml:space="preserve"> </w:t>
      </w:r>
      <w:r w:rsidRPr="00E0548F">
        <w:rPr>
          <w:rFonts w:ascii="Perpetua" w:hAnsi="Perpetua"/>
          <w:color w:val="2A2A2A"/>
          <w:sz w:val="16"/>
          <w:szCs w:val="16"/>
        </w:rPr>
        <w:t xml:space="preserve">As to ‘intelligibility’, its problematic relation to </w:t>
      </w:r>
      <w:r w:rsidRPr="00E0548F">
        <w:rPr>
          <w:rFonts w:ascii="Perpetua" w:hAnsi="Perpetua" w:cs="Times New Roman"/>
          <w:color w:val="2A2A2A"/>
          <w:kern w:val="0"/>
          <w:sz w:val="16"/>
          <w:szCs w:val="16"/>
        </w:rPr>
        <w:t>normativity of MC</w:t>
      </w:r>
      <w:r w:rsidRPr="00E0548F">
        <w:rPr>
          <w:rFonts w:ascii="Perpetua" w:hAnsi="Perpetua"/>
          <w:color w:val="2A2A2A"/>
          <w:sz w:val="16"/>
          <w:szCs w:val="16"/>
        </w:rPr>
        <w:t xml:space="preserve">, and Feinberg’s difficulties: pp. 311 – 312 and p. </w:t>
      </w:r>
      <w:r w:rsidRPr="00E0548F">
        <w:rPr>
          <w:rFonts w:ascii="Perpetua" w:hAnsi="Perpetua" w:cs="Times New Roman"/>
          <w:color w:val="2A2A2A"/>
          <w:kern w:val="0"/>
          <w:sz w:val="16"/>
          <w:szCs w:val="16"/>
        </w:rPr>
        <w:t>317</w:t>
      </w:r>
      <w:r w:rsidRPr="00E0548F">
        <w:rPr>
          <w:rFonts w:ascii="Perpetua" w:hAnsi="Perpetua"/>
          <w:color w:val="2A2A2A"/>
          <w:sz w:val="16"/>
          <w:szCs w:val="16"/>
        </w:rPr>
        <w:t>.</w:t>
      </w:r>
    </w:p>
  </w:footnote>
  <w:footnote w:id="34">
    <w:p w14:paraId="553CCB59" w14:textId="48613114" w:rsidR="00BE0B55" w:rsidRPr="00E0548F" w:rsidRDefault="00BE0B55" w:rsidP="00E0548F">
      <w:pPr>
        <w:pStyle w:val="FootnoteText"/>
        <w:jc w:val="both"/>
        <w:rPr>
          <w:rFonts w:ascii="Perpetua" w:hAnsi="Perpetua"/>
          <w:sz w:val="16"/>
          <w:szCs w:val="16"/>
        </w:rPr>
      </w:pPr>
      <w:r w:rsidRPr="00E0548F">
        <w:rPr>
          <w:rStyle w:val="FootnoteReference"/>
          <w:rFonts w:ascii="Perpetua" w:hAnsi="Perpetua"/>
          <w:sz w:val="16"/>
          <w:szCs w:val="16"/>
        </w:rPr>
        <w:footnoteRef/>
      </w:r>
      <w:r w:rsidRPr="00E0548F">
        <w:rPr>
          <w:rFonts w:ascii="Perpetua" w:hAnsi="Perpetua"/>
          <w:sz w:val="16"/>
          <w:szCs w:val="16"/>
        </w:rPr>
        <w:t xml:space="preserve"> </w:t>
      </w:r>
      <w:r w:rsidR="0044242D" w:rsidRPr="00E0548F">
        <w:rPr>
          <w:rFonts w:ascii="Perpetua" w:hAnsi="Perpetua"/>
          <w:sz w:val="16"/>
          <w:szCs w:val="16"/>
        </w:rPr>
        <w:t>And barely coherent when</w:t>
      </w:r>
      <w:r w:rsidRPr="00E0548F">
        <w:rPr>
          <w:rFonts w:ascii="Perpetua" w:hAnsi="Perpetua"/>
          <w:sz w:val="16"/>
          <w:szCs w:val="16"/>
        </w:rPr>
        <w:t xml:space="preserve"> </w:t>
      </w:r>
      <w:r w:rsidR="0044242D" w:rsidRPr="00E0548F">
        <w:rPr>
          <w:rFonts w:ascii="Perpetua" w:hAnsi="Perpetua"/>
          <w:sz w:val="16"/>
          <w:szCs w:val="16"/>
        </w:rPr>
        <w:t xml:space="preserve">Feinberg correctly notes that </w:t>
      </w:r>
      <w:r w:rsidRPr="00E0548F">
        <w:rPr>
          <w:rFonts w:ascii="Perpetua" w:hAnsi="Perpetua"/>
          <w:sz w:val="16"/>
          <w:szCs w:val="16"/>
        </w:rPr>
        <w:t>trees have ‘inherited biological propensities’ and ‘natural growth’</w:t>
      </w:r>
      <w:r w:rsidR="0044242D" w:rsidRPr="00E0548F">
        <w:rPr>
          <w:rFonts w:ascii="Perpetua" w:hAnsi="Perpetua"/>
          <w:sz w:val="16"/>
          <w:szCs w:val="16"/>
        </w:rPr>
        <w:t>, p. 51.</w:t>
      </w:r>
    </w:p>
  </w:footnote>
  <w:footnote w:id="35">
    <w:p w14:paraId="28B9EFF2" w14:textId="05401F40" w:rsidR="00E0548F" w:rsidRPr="00E0548F" w:rsidRDefault="00E0548F" w:rsidP="00E0548F">
      <w:pPr>
        <w:pStyle w:val="FootnoteText"/>
        <w:rPr>
          <w:rFonts w:ascii="Perpetua" w:hAnsi="Perpetua"/>
          <w:sz w:val="16"/>
          <w:szCs w:val="16"/>
        </w:rPr>
      </w:pPr>
      <w:r w:rsidRPr="00E0548F">
        <w:rPr>
          <w:rStyle w:val="FootnoteReference"/>
          <w:rFonts w:ascii="Perpetua" w:hAnsi="Perpetua"/>
          <w:sz w:val="16"/>
          <w:szCs w:val="16"/>
        </w:rPr>
        <w:footnoteRef/>
      </w:r>
      <w:r w:rsidRPr="00E0548F">
        <w:rPr>
          <w:rFonts w:ascii="Perpetua" w:hAnsi="Perpetua"/>
          <w:sz w:val="16"/>
          <w:szCs w:val="16"/>
        </w:rPr>
        <w:t xml:space="preserve"> p. 320.</w:t>
      </w:r>
    </w:p>
  </w:footnote>
  <w:footnote w:id="36">
    <w:p w14:paraId="1851F013" w14:textId="2651C8A2" w:rsidR="00BE0B55" w:rsidRPr="0044242D" w:rsidRDefault="00BE0B55" w:rsidP="00E0548F">
      <w:pPr>
        <w:pStyle w:val="FootnoteText"/>
        <w:jc w:val="both"/>
        <w:rPr>
          <w:rFonts w:ascii="Perpetua" w:hAnsi="Perpetua"/>
          <w:color w:val="000000" w:themeColor="text1"/>
          <w:sz w:val="16"/>
          <w:szCs w:val="16"/>
        </w:rPr>
      </w:pPr>
      <w:r w:rsidRPr="00E0548F">
        <w:rPr>
          <w:rStyle w:val="FootnoteReference"/>
          <w:rFonts w:ascii="Perpetua" w:hAnsi="Perpetua"/>
          <w:color w:val="000000" w:themeColor="text1"/>
          <w:sz w:val="16"/>
          <w:szCs w:val="16"/>
        </w:rPr>
        <w:footnoteRef/>
      </w:r>
      <w:r w:rsidRPr="00E0548F">
        <w:rPr>
          <w:rFonts w:ascii="Perpetua" w:hAnsi="Perpetua"/>
          <w:color w:val="000000" w:themeColor="text1"/>
          <w:sz w:val="16"/>
          <w:szCs w:val="16"/>
        </w:rPr>
        <w:t xml:space="preserve"> </w:t>
      </w:r>
      <w:r w:rsidR="0044242D" w:rsidRPr="00E0548F">
        <w:rPr>
          <w:rFonts w:ascii="Perpetua" w:hAnsi="Perpetua"/>
          <w:color w:val="000000" w:themeColor="text1"/>
          <w:sz w:val="16"/>
          <w:szCs w:val="16"/>
        </w:rPr>
        <w:t xml:space="preserve">p. 322. Goodpaster referring to </w:t>
      </w:r>
      <w:r w:rsidRPr="00E0548F">
        <w:rPr>
          <w:rFonts w:ascii="Perpetua" w:hAnsi="Perpetua"/>
          <w:color w:val="000000" w:themeColor="text1"/>
          <w:sz w:val="16"/>
          <w:szCs w:val="16"/>
        </w:rPr>
        <w:t>Albert Schweitzer</w:t>
      </w:r>
      <w:r w:rsidR="0044242D" w:rsidRPr="00E0548F">
        <w:rPr>
          <w:rFonts w:ascii="Perpetua" w:hAnsi="Perpetua"/>
          <w:color w:val="000000" w:themeColor="text1"/>
          <w:sz w:val="16"/>
          <w:szCs w:val="16"/>
        </w:rPr>
        <w:t>,</w:t>
      </w:r>
      <w:r w:rsidRPr="00E0548F">
        <w:rPr>
          <w:rFonts w:ascii="Perpetua" w:hAnsi="Perpetua"/>
          <w:color w:val="000000" w:themeColor="text1"/>
          <w:sz w:val="16"/>
          <w:szCs w:val="16"/>
        </w:rPr>
        <w:t xml:space="preserve"> </w:t>
      </w:r>
      <w:r w:rsidRPr="00E0548F">
        <w:rPr>
          <w:rFonts w:ascii="Perpetua" w:hAnsi="Perpetua"/>
          <w:i/>
          <w:iCs/>
          <w:color w:val="000000" w:themeColor="text1"/>
          <w:sz w:val="16"/>
          <w:szCs w:val="16"/>
        </w:rPr>
        <w:t xml:space="preserve">Philosophy of Civilization </w:t>
      </w:r>
      <w:r w:rsidRPr="00E0548F">
        <w:rPr>
          <w:rFonts w:ascii="Perpetua" w:hAnsi="Perpetua"/>
          <w:color w:val="000000" w:themeColor="text1"/>
          <w:sz w:val="16"/>
          <w:szCs w:val="16"/>
        </w:rPr>
        <w:t>(1923).</w:t>
      </w:r>
    </w:p>
  </w:footnote>
  <w:footnote w:id="37">
    <w:p w14:paraId="1A73BB1B" w14:textId="65E32CF9" w:rsidR="00BE0B55" w:rsidRPr="006116C3" w:rsidRDefault="00BE0B55" w:rsidP="00BE0B55">
      <w:pPr>
        <w:pStyle w:val="FootnoteText"/>
        <w:jc w:val="both"/>
        <w:rPr>
          <w:rFonts w:ascii="Perpetua" w:hAnsi="Perpetua"/>
          <w:color w:val="000000" w:themeColor="text1"/>
          <w:sz w:val="16"/>
          <w:szCs w:val="16"/>
        </w:rPr>
      </w:pPr>
      <w:r w:rsidRPr="0044242D">
        <w:rPr>
          <w:rStyle w:val="FootnoteReference"/>
          <w:rFonts w:ascii="Perpetua" w:hAnsi="Perpetua"/>
          <w:color w:val="000000" w:themeColor="text1"/>
          <w:sz w:val="16"/>
          <w:szCs w:val="16"/>
        </w:rPr>
        <w:footnoteRef/>
      </w:r>
      <w:r w:rsidRPr="0044242D">
        <w:rPr>
          <w:rFonts w:ascii="Perpetua" w:hAnsi="Perpetua"/>
          <w:color w:val="000000" w:themeColor="text1"/>
          <w:sz w:val="16"/>
          <w:szCs w:val="16"/>
        </w:rPr>
        <w:t xml:space="preserve"> Goodpaster’s thermodynamic definition of life: </w:t>
      </w:r>
      <w:r w:rsidR="0044242D" w:rsidRPr="0044242D">
        <w:rPr>
          <w:rFonts w:ascii="Perpetua" w:hAnsi="Perpetua"/>
          <w:color w:val="000000" w:themeColor="text1"/>
          <w:sz w:val="16"/>
          <w:szCs w:val="16"/>
        </w:rPr>
        <w:t>‘</w:t>
      </w:r>
      <w:r w:rsidRPr="0044242D">
        <w:rPr>
          <w:rFonts w:ascii="Perpetua" w:hAnsi="Perpetua"/>
          <w:color w:val="000000" w:themeColor="text1"/>
          <w:sz w:val="16"/>
          <w:szCs w:val="16"/>
        </w:rPr>
        <w:t>The typifying mark of a living system…appears to be its persistent state of low entropy, sustained by metabolic processes for accumulating energy, and maintained in equilibrium with its environment by homeostatic…</w:t>
      </w:r>
      <w:r w:rsidR="0044242D" w:rsidRPr="0044242D">
        <w:rPr>
          <w:rFonts w:ascii="Perpetua" w:hAnsi="Perpetua"/>
          <w:color w:val="000000" w:themeColor="text1"/>
          <w:sz w:val="16"/>
          <w:szCs w:val="16"/>
        </w:rPr>
        <w:t>’, p. 323</w:t>
      </w:r>
      <w:r w:rsidRPr="0044242D">
        <w:rPr>
          <w:rFonts w:ascii="Perpetua" w:hAnsi="Perpetua"/>
          <w:color w:val="000000" w:themeColor="text1"/>
          <w:sz w:val="16"/>
          <w:szCs w:val="16"/>
        </w:rPr>
        <w:t>.</w:t>
      </w:r>
    </w:p>
  </w:footnote>
  <w:footnote w:id="38">
    <w:p w14:paraId="64DDC91B" w14:textId="77777777" w:rsidR="00BE0B55" w:rsidRPr="006116C3" w:rsidRDefault="00BE0B55" w:rsidP="00051FD0">
      <w:pPr>
        <w:widowControl w:val="0"/>
        <w:autoSpaceDE w:val="0"/>
        <w:autoSpaceDN w:val="0"/>
        <w:adjustRightInd w:val="0"/>
        <w:spacing w:after="0" w:line="240" w:lineRule="auto"/>
        <w:jc w:val="both"/>
        <w:rPr>
          <w:rFonts w:ascii="Perpetua" w:hAnsi="Perpetua"/>
          <w:color w:val="000000" w:themeColor="text1"/>
          <w:sz w:val="16"/>
          <w:szCs w:val="16"/>
        </w:rPr>
      </w:pPr>
      <w:r w:rsidRPr="006116C3">
        <w:rPr>
          <w:rStyle w:val="FootnoteReference"/>
          <w:rFonts w:ascii="Perpetua" w:hAnsi="Perpetua"/>
          <w:color w:val="000000" w:themeColor="text1"/>
          <w:sz w:val="16"/>
          <w:szCs w:val="16"/>
        </w:rPr>
        <w:footnoteRef/>
      </w:r>
      <w:r w:rsidRPr="006116C3">
        <w:rPr>
          <w:rFonts w:ascii="Perpetua" w:hAnsi="Perpetua"/>
          <w:color w:val="000000" w:themeColor="text1"/>
          <w:sz w:val="16"/>
          <w:szCs w:val="16"/>
        </w:rPr>
        <w:t xml:space="preserve"> M.W. Hunt, ‘Are </w:t>
      </w:r>
      <w:r w:rsidRPr="006116C3">
        <w:rPr>
          <w:rFonts w:ascii="Perpetua" w:hAnsi="Perpetua"/>
          <w:i/>
          <w:color w:val="000000" w:themeColor="text1"/>
          <w:sz w:val="16"/>
          <w:szCs w:val="16"/>
        </w:rPr>
        <w:t>Mere Things</w:t>
      </w:r>
      <w:r w:rsidRPr="006116C3">
        <w:rPr>
          <w:rFonts w:ascii="Perpetua" w:hAnsi="Perpetua"/>
          <w:color w:val="000000" w:themeColor="text1"/>
          <w:sz w:val="16"/>
          <w:szCs w:val="16"/>
        </w:rPr>
        <w:t xml:space="preserve"> Morally </w:t>
      </w:r>
      <w:proofErr w:type="gramStart"/>
      <w:r w:rsidRPr="006116C3">
        <w:rPr>
          <w:rFonts w:ascii="Perpetua" w:hAnsi="Perpetua"/>
          <w:color w:val="000000" w:themeColor="text1"/>
          <w:sz w:val="16"/>
          <w:szCs w:val="16"/>
        </w:rPr>
        <w:t>Considerable?,</w:t>
      </w:r>
      <w:proofErr w:type="gramEnd"/>
      <w:r w:rsidRPr="006116C3">
        <w:rPr>
          <w:rFonts w:ascii="Perpetua" w:hAnsi="Perpetua"/>
          <w:color w:val="000000" w:themeColor="text1"/>
          <w:sz w:val="16"/>
          <w:szCs w:val="16"/>
        </w:rPr>
        <w:t xml:space="preserve"> </w:t>
      </w:r>
      <w:r w:rsidRPr="006116C3">
        <w:rPr>
          <w:rFonts w:ascii="Perpetua" w:hAnsi="Perpetua"/>
          <w:i/>
          <w:color w:val="000000" w:themeColor="text1"/>
          <w:sz w:val="16"/>
          <w:szCs w:val="16"/>
        </w:rPr>
        <w:t>Environmental Ethics</w:t>
      </w:r>
      <w:r w:rsidRPr="006116C3">
        <w:rPr>
          <w:rFonts w:ascii="Perpetua" w:hAnsi="Perpetua"/>
          <w:color w:val="000000" w:themeColor="text1"/>
          <w:sz w:val="16"/>
          <w:szCs w:val="16"/>
        </w:rPr>
        <w:t xml:space="preserve">, Vol.2, No.1, 1980, pp.59 - 65. </w:t>
      </w:r>
    </w:p>
  </w:footnote>
  <w:footnote w:id="39">
    <w:p w14:paraId="2B7909E5" w14:textId="77777777" w:rsidR="00BE0B55" w:rsidRPr="006116C3" w:rsidRDefault="00BE0B55" w:rsidP="00051FD0">
      <w:pPr>
        <w:pStyle w:val="FootnoteText"/>
        <w:jc w:val="both"/>
        <w:rPr>
          <w:rFonts w:ascii="Perpetua" w:hAnsi="Perpetua"/>
          <w:color w:val="000000" w:themeColor="text1"/>
          <w:sz w:val="16"/>
          <w:szCs w:val="16"/>
        </w:rPr>
      </w:pPr>
      <w:r w:rsidRPr="006116C3">
        <w:rPr>
          <w:rStyle w:val="FootnoteReference"/>
          <w:rFonts w:ascii="Perpetua" w:hAnsi="Perpetua"/>
          <w:color w:val="000000" w:themeColor="text1"/>
          <w:sz w:val="16"/>
          <w:szCs w:val="16"/>
        </w:rPr>
        <w:footnoteRef/>
      </w:r>
      <w:r w:rsidRPr="006116C3">
        <w:rPr>
          <w:rFonts w:ascii="Perpetua" w:hAnsi="Perpetua"/>
          <w:color w:val="000000" w:themeColor="text1"/>
          <w:sz w:val="16"/>
          <w:szCs w:val="16"/>
        </w:rPr>
        <w:t xml:space="preserve"> K.E. Goodpaster, ‘On Stopping at Everything’, </w:t>
      </w:r>
      <w:r w:rsidRPr="006116C3">
        <w:rPr>
          <w:rFonts w:ascii="Perpetua" w:hAnsi="Perpetua"/>
          <w:i/>
          <w:iCs/>
          <w:color w:val="000000" w:themeColor="text1"/>
          <w:sz w:val="16"/>
          <w:szCs w:val="16"/>
        </w:rPr>
        <w:t xml:space="preserve">Environmental Ethics </w:t>
      </w:r>
      <w:r w:rsidRPr="006116C3">
        <w:rPr>
          <w:rFonts w:ascii="Perpetua" w:hAnsi="Perpetua"/>
          <w:color w:val="000000" w:themeColor="text1"/>
          <w:sz w:val="16"/>
          <w:szCs w:val="16"/>
        </w:rPr>
        <w:t xml:space="preserve">2, 3 (1980), pp. 281 – 284. </w:t>
      </w:r>
    </w:p>
  </w:footnote>
  <w:footnote w:id="40">
    <w:p w14:paraId="5D7D5E0C" w14:textId="77777777" w:rsidR="00BE0B55" w:rsidRDefault="00BE0B55" w:rsidP="00BE0B55">
      <w:pPr>
        <w:pStyle w:val="FootnoteText"/>
        <w:jc w:val="both"/>
      </w:pPr>
      <w:r w:rsidRPr="006116C3">
        <w:rPr>
          <w:rStyle w:val="FootnoteReference"/>
          <w:rFonts w:ascii="Perpetua" w:hAnsi="Perpetua"/>
          <w:color w:val="000000" w:themeColor="text1"/>
          <w:sz w:val="16"/>
          <w:szCs w:val="16"/>
        </w:rPr>
        <w:footnoteRef/>
      </w:r>
      <w:r w:rsidRPr="006116C3">
        <w:rPr>
          <w:rFonts w:ascii="Perpetua" w:hAnsi="Perpetua"/>
          <w:color w:val="000000" w:themeColor="text1"/>
          <w:sz w:val="16"/>
          <w:szCs w:val="16"/>
        </w:rPr>
        <w:t xml:space="preserve"> P. Singer, </w:t>
      </w:r>
      <w:r w:rsidRPr="006116C3">
        <w:rPr>
          <w:rFonts w:ascii="Perpetua" w:eastAsia="Times New Roman" w:hAnsi="Perpetua" w:cs="Times New Roman"/>
          <w:color w:val="000000" w:themeColor="text1"/>
          <w:kern w:val="0"/>
          <w:sz w:val="16"/>
          <w:szCs w:val="16"/>
          <w:lang w:eastAsia="en-GB"/>
          <w14:ligatures w14:val="none"/>
        </w:rPr>
        <w:t>'The Place of Nonhumans' in K.M. Sayre and K.E. Goodpaster (eds.) </w:t>
      </w:r>
      <w:r w:rsidRPr="006116C3">
        <w:rPr>
          <w:rFonts w:ascii="Perpetua" w:eastAsia="Times New Roman" w:hAnsi="Perpetua" w:cs="Times New Roman"/>
          <w:i/>
          <w:iCs/>
          <w:color w:val="000000" w:themeColor="text1"/>
          <w:kern w:val="0"/>
          <w:sz w:val="16"/>
          <w:szCs w:val="16"/>
          <w:lang w:eastAsia="en-GB"/>
          <w14:ligatures w14:val="none"/>
        </w:rPr>
        <w:t>Ethics and Problems of the 21st Century</w:t>
      </w:r>
      <w:r w:rsidRPr="006116C3">
        <w:rPr>
          <w:rFonts w:ascii="Perpetua" w:eastAsia="Times New Roman" w:hAnsi="Perpetua" w:cs="Times New Roman"/>
          <w:color w:val="000000" w:themeColor="text1"/>
          <w:kern w:val="0"/>
          <w:sz w:val="16"/>
          <w:szCs w:val="16"/>
          <w:lang w:eastAsia="en-GB"/>
          <w14:ligatures w14:val="none"/>
        </w:rPr>
        <w:t> (Notre Dame: University of Notre Dame Press,1979) (‘we may as well say that it is in the interests of a car to be lubricated regularly because the car needs lubrication if it is to run properly’).</w:t>
      </w:r>
    </w:p>
  </w:footnote>
  <w:footnote w:id="41">
    <w:p w14:paraId="2D8DD39E" w14:textId="6CDE1CAB" w:rsidR="00BE0B55" w:rsidRPr="00255C7A" w:rsidRDefault="00BE0B55" w:rsidP="00BE0B55">
      <w:pPr>
        <w:pStyle w:val="FootnoteText"/>
        <w:rPr>
          <w:rFonts w:ascii="Perpetua" w:hAnsi="Perpetua"/>
          <w:iCs/>
          <w:sz w:val="16"/>
          <w:szCs w:val="16"/>
        </w:rPr>
      </w:pPr>
      <w:r w:rsidRPr="00255C7A">
        <w:rPr>
          <w:rStyle w:val="FootnoteReference"/>
          <w:rFonts w:ascii="Perpetua" w:hAnsi="Perpetua"/>
          <w:sz w:val="16"/>
          <w:szCs w:val="16"/>
        </w:rPr>
        <w:footnoteRef/>
      </w:r>
      <w:r w:rsidRPr="00255C7A">
        <w:rPr>
          <w:rFonts w:ascii="Perpetua" w:hAnsi="Perpetua"/>
          <w:sz w:val="16"/>
          <w:szCs w:val="16"/>
        </w:rPr>
        <w:t xml:space="preserve"> For early demarcation critique: see J. Thompson, ‘A Refutation of Environmental Ethics’, </w:t>
      </w:r>
      <w:r w:rsidRPr="00255C7A">
        <w:rPr>
          <w:rFonts w:ascii="Perpetua" w:hAnsi="Perpetua"/>
          <w:i/>
          <w:sz w:val="16"/>
          <w:szCs w:val="16"/>
        </w:rPr>
        <w:t xml:space="preserve">Environmental Ethics 12 </w:t>
      </w:r>
      <w:r w:rsidRPr="00255C7A">
        <w:rPr>
          <w:rFonts w:ascii="Perpetua" w:hAnsi="Perpetua"/>
          <w:iCs/>
          <w:sz w:val="16"/>
          <w:szCs w:val="16"/>
        </w:rPr>
        <w:t>(1990), pp. 147 – 60.</w:t>
      </w:r>
      <w:r w:rsidR="002F6C27">
        <w:rPr>
          <w:rFonts w:ascii="Perpetua" w:hAnsi="Perpetua"/>
          <w:iCs/>
          <w:sz w:val="16"/>
          <w:szCs w:val="16"/>
        </w:rPr>
        <w:t xml:space="preserve"> </w:t>
      </w:r>
    </w:p>
  </w:footnote>
  <w:footnote w:id="42">
    <w:p w14:paraId="2A98EF00" w14:textId="7783FB85" w:rsidR="00BE0B55" w:rsidRPr="00BF5880" w:rsidRDefault="00BE0B55" w:rsidP="00BF5880">
      <w:pPr>
        <w:pStyle w:val="FootnoteText"/>
        <w:jc w:val="both"/>
        <w:rPr>
          <w:rFonts w:ascii="Perpetua" w:hAnsi="Perpetua" w:cs="Times New Roman"/>
          <w:color w:val="2A2A2A"/>
          <w:kern w:val="0"/>
          <w:sz w:val="16"/>
          <w:szCs w:val="16"/>
        </w:rPr>
      </w:pPr>
      <w:r w:rsidRPr="00BF5880">
        <w:rPr>
          <w:rStyle w:val="FootnoteReference"/>
          <w:rFonts w:ascii="Perpetua" w:hAnsi="Perpetua"/>
          <w:sz w:val="16"/>
          <w:szCs w:val="16"/>
        </w:rPr>
        <w:footnoteRef/>
      </w:r>
      <w:r w:rsidRPr="00BF5880">
        <w:rPr>
          <w:rFonts w:ascii="Perpetua" w:hAnsi="Perpetua"/>
          <w:sz w:val="16"/>
          <w:szCs w:val="16"/>
        </w:rPr>
        <w:t xml:space="preserve"> K. McShane, ‘Environmental Ethics’, </w:t>
      </w:r>
      <w:r w:rsidRPr="00BF5880">
        <w:rPr>
          <w:rFonts w:ascii="Perpetua" w:hAnsi="Perpetua"/>
          <w:i/>
          <w:iCs/>
          <w:sz w:val="16"/>
          <w:szCs w:val="16"/>
        </w:rPr>
        <w:t xml:space="preserve">Philosophy Compass </w:t>
      </w:r>
      <w:r w:rsidRPr="00BF5880">
        <w:rPr>
          <w:rFonts w:ascii="Perpetua" w:hAnsi="Perpetua"/>
          <w:sz w:val="16"/>
          <w:szCs w:val="16"/>
        </w:rPr>
        <w:t>4/3</w:t>
      </w:r>
      <w:r w:rsidRPr="00BF5880">
        <w:rPr>
          <w:rFonts w:ascii="Perpetua" w:hAnsi="Perpetua" w:cs="Times New Roman"/>
          <w:color w:val="2A2A2A"/>
          <w:kern w:val="0"/>
          <w:sz w:val="16"/>
          <w:szCs w:val="16"/>
        </w:rPr>
        <w:t xml:space="preserve"> (2009): p. 407. For the distinction between normative and metaphysical/teleological anthropocentrism: R. Attfield (2014), pp. 30 -31. By such definition, anthropocentrism is the belief that only humans have moral standing/matter morally in their own right. (cf. ‘human chauvinism’ per </w:t>
      </w:r>
      <w:proofErr w:type="spellStart"/>
      <w:r w:rsidRPr="00BF5880">
        <w:rPr>
          <w:rFonts w:ascii="Perpetua" w:hAnsi="Perpetua" w:cs="Times New Roman"/>
          <w:color w:val="2A2A2A"/>
          <w:kern w:val="0"/>
          <w:sz w:val="16"/>
          <w:szCs w:val="16"/>
        </w:rPr>
        <w:t>Routleys</w:t>
      </w:r>
      <w:proofErr w:type="spellEnd"/>
      <w:r w:rsidRPr="00BF5880">
        <w:rPr>
          <w:rFonts w:ascii="Perpetua" w:hAnsi="Perpetua" w:cs="Times New Roman"/>
          <w:color w:val="2A2A2A"/>
          <w:kern w:val="0"/>
          <w:sz w:val="16"/>
          <w:szCs w:val="16"/>
        </w:rPr>
        <w:t xml:space="preserve">). For alternative schema of ontological, ethical and conceptual anthropocentrism, see A. Thompson, ‘Anthropocentrism: Humanity as Peril and Promise’ in S.M. Gardiner and A. Thompson (eds.), </w:t>
      </w:r>
      <w:r w:rsidRPr="00BF5880">
        <w:rPr>
          <w:rFonts w:ascii="Perpetua" w:hAnsi="Perpetua" w:cs="Times New Roman"/>
          <w:i/>
          <w:iCs/>
          <w:color w:val="2A2A2A"/>
          <w:kern w:val="0"/>
          <w:sz w:val="16"/>
          <w:szCs w:val="16"/>
        </w:rPr>
        <w:t xml:space="preserve">The Oxford Handbook of Environmental Ethics </w:t>
      </w:r>
      <w:r w:rsidRPr="00BF5880">
        <w:rPr>
          <w:rFonts w:ascii="Perpetua" w:hAnsi="Perpetua" w:cs="Times New Roman"/>
          <w:color w:val="2A2A2A"/>
          <w:kern w:val="0"/>
          <w:sz w:val="16"/>
          <w:szCs w:val="16"/>
        </w:rPr>
        <w:t>(Oxford: OUP, 2015), pp. 77 - 90. For summary treatment of intellectual history of Environmental Ethics: see J. Kawall</w:t>
      </w:r>
      <w:r w:rsidR="003563B4" w:rsidRPr="00BF5880">
        <w:rPr>
          <w:rStyle w:val="contributors"/>
          <w:rFonts w:ascii="Perpetua" w:hAnsi="Perpetua"/>
          <w:color w:val="2A2A2A"/>
          <w:sz w:val="16"/>
          <w:szCs w:val="16"/>
          <w:bdr w:val="none" w:sz="0" w:space="0" w:color="auto" w:frame="1"/>
          <w:shd w:val="clear" w:color="auto" w:fill="FFFFFF"/>
        </w:rPr>
        <w:t>, </w:t>
      </w:r>
      <w:r w:rsidR="003563B4" w:rsidRPr="00BF5880">
        <w:rPr>
          <w:rStyle w:val="maintitle"/>
          <w:rFonts w:ascii="Perpetua" w:hAnsi="Perpetua"/>
          <w:color w:val="2A2A2A"/>
          <w:sz w:val="16"/>
          <w:szCs w:val="16"/>
          <w:bdr w:val="none" w:sz="0" w:space="0" w:color="auto" w:frame="1"/>
          <w:shd w:val="clear" w:color="auto" w:fill="FFFFFF"/>
        </w:rPr>
        <w:t>'A History of Environmental Ethics'</w:t>
      </w:r>
      <w:r w:rsidR="003563B4" w:rsidRPr="00BF5880">
        <w:rPr>
          <w:rFonts w:ascii="Perpetua" w:hAnsi="Perpetua"/>
          <w:color w:val="2A2A2A"/>
          <w:sz w:val="16"/>
          <w:szCs w:val="16"/>
          <w:shd w:val="clear" w:color="auto" w:fill="FFFFFF"/>
        </w:rPr>
        <w:t>,</w:t>
      </w:r>
      <w:r w:rsidR="003563B4" w:rsidRPr="00BF5880">
        <w:rPr>
          <w:rStyle w:val="editors"/>
          <w:rFonts w:ascii="Perpetua" w:hAnsi="Perpetua"/>
          <w:color w:val="2A2A2A"/>
          <w:sz w:val="16"/>
          <w:szCs w:val="16"/>
          <w:bdr w:val="none" w:sz="0" w:space="0" w:color="auto" w:frame="1"/>
          <w:shd w:val="clear" w:color="auto" w:fill="FFFFFF"/>
        </w:rPr>
        <w:t> in Stephen M. Gardiner, and Allen Thompson (eds</w:t>
      </w:r>
      <w:r w:rsidR="003563B4" w:rsidRPr="00BF5880">
        <w:rPr>
          <w:rStyle w:val="editors"/>
          <w:rFonts w:ascii="Perpetua" w:hAnsi="Perpetua"/>
          <w:color w:val="2A2A2A"/>
          <w:sz w:val="16"/>
          <w:szCs w:val="16"/>
          <w:bdr w:val="none" w:sz="0" w:space="0" w:color="auto" w:frame="1"/>
          <w:shd w:val="clear" w:color="auto" w:fill="FFFFFF"/>
        </w:rPr>
        <w:t>.</w:t>
      </w:r>
      <w:r w:rsidR="003563B4" w:rsidRPr="00BF5880">
        <w:rPr>
          <w:rStyle w:val="editors"/>
          <w:rFonts w:ascii="Perpetua" w:hAnsi="Perpetua"/>
          <w:color w:val="2A2A2A"/>
          <w:sz w:val="16"/>
          <w:szCs w:val="16"/>
          <w:bdr w:val="none" w:sz="0" w:space="0" w:color="auto" w:frame="1"/>
          <w:shd w:val="clear" w:color="auto" w:fill="FFFFFF"/>
        </w:rPr>
        <w:t>)</w:t>
      </w:r>
      <w:r w:rsidR="003563B4" w:rsidRPr="00BF5880">
        <w:rPr>
          <w:rFonts w:ascii="Perpetua" w:hAnsi="Perpetua"/>
          <w:color w:val="2A2A2A"/>
          <w:sz w:val="16"/>
          <w:szCs w:val="16"/>
          <w:shd w:val="clear" w:color="auto" w:fill="FFFFFF"/>
        </w:rPr>
        <w:t>, </w:t>
      </w:r>
      <w:r w:rsidR="003563B4" w:rsidRPr="00BF5880">
        <w:rPr>
          <w:rStyle w:val="Emphasis"/>
          <w:rFonts w:ascii="Perpetua" w:hAnsi="Perpetua"/>
          <w:color w:val="2A2A2A"/>
          <w:sz w:val="16"/>
          <w:szCs w:val="16"/>
          <w:bdr w:val="none" w:sz="0" w:space="0" w:color="auto" w:frame="1"/>
          <w:shd w:val="clear" w:color="auto" w:fill="FFFFFF"/>
        </w:rPr>
        <w:t>The Oxford Handbook of Environmental Ethics</w:t>
      </w:r>
      <w:r w:rsidR="003563B4" w:rsidRPr="00BF5880">
        <w:rPr>
          <w:rStyle w:val="series-title"/>
          <w:rFonts w:ascii="Perpetua" w:hAnsi="Perpetua"/>
          <w:color w:val="2A2A2A"/>
          <w:sz w:val="16"/>
          <w:szCs w:val="16"/>
          <w:bdr w:val="none" w:sz="0" w:space="0" w:color="auto" w:frame="1"/>
          <w:shd w:val="clear" w:color="auto" w:fill="FFFFFF"/>
        </w:rPr>
        <w:t>, Oxford Handbooks</w:t>
      </w:r>
      <w:r w:rsidR="003563B4" w:rsidRPr="00BF5880">
        <w:rPr>
          <w:rFonts w:ascii="Perpetua" w:hAnsi="Perpetua"/>
          <w:color w:val="2A2A2A"/>
          <w:sz w:val="16"/>
          <w:szCs w:val="16"/>
          <w:shd w:val="clear" w:color="auto" w:fill="FFFFFF"/>
        </w:rPr>
        <w:t> (</w:t>
      </w:r>
      <w:proofErr w:type="gramStart"/>
      <w:r w:rsidR="003563B4" w:rsidRPr="00BF5880">
        <w:rPr>
          <w:rStyle w:val="print-publication-date"/>
          <w:rFonts w:ascii="Perpetua" w:hAnsi="Perpetua"/>
          <w:color w:val="2A2A2A"/>
          <w:sz w:val="16"/>
          <w:szCs w:val="16"/>
          <w:bdr w:val="none" w:sz="0" w:space="0" w:color="auto" w:frame="1"/>
          <w:shd w:val="clear" w:color="auto" w:fill="FFFFFF"/>
        </w:rPr>
        <w:t>2017; </w:t>
      </w:r>
      <w:r w:rsidR="00BF5880" w:rsidRPr="00BF5880">
        <w:rPr>
          <w:rStyle w:val="containing-site"/>
          <w:rFonts w:ascii="Perpetua" w:hAnsi="Perpetua"/>
          <w:color w:val="2A2A2A"/>
          <w:sz w:val="16"/>
          <w:szCs w:val="16"/>
          <w:bdr w:val="none" w:sz="0" w:space="0" w:color="auto" w:frame="1"/>
          <w:shd w:val="clear" w:color="auto" w:fill="FFFFFF"/>
        </w:rPr>
        <w:t xml:space="preserve"> </w:t>
      </w:r>
      <w:r w:rsidR="003563B4" w:rsidRPr="00BF5880">
        <w:rPr>
          <w:rStyle w:val="containing-site"/>
          <w:rFonts w:ascii="Perpetua" w:hAnsi="Perpetua"/>
          <w:color w:val="2A2A2A"/>
          <w:sz w:val="16"/>
          <w:szCs w:val="16"/>
          <w:bdr w:val="none" w:sz="0" w:space="0" w:color="auto" w:frame="1"/>
          <w:shd w:val="clear" w:color="auto" w:fill="FFFFFF"/>
        </w:rPr>
        <w:t>Oxford</w:t>
      </w:r>
      <w:proofErr w:type="gramEnd"/>
      <w:r w:rsidR="003563B4" w:rsidRPr="00BF5880">
        <w:rPr>
          <w:rStyle w:val="containing-site"/>
          <w:rFonts w:ascii="Perpetua" w:hAnsi="Perpetua"/>
          <w:color w:val="2A2A2A"/>
          <w:sz w:val="16"/>
          <w:szCs w:val="16"/>
          <w:bdr w:val="none" w:sz="0" w:space="0" w:color="auto" w:frame="1"/>
          <w:shd w:val="clear" w:color="auto" w:fill="FFFFFF"/>
        </w:rPr>
        <w:t xml:space="preserve"> Academic</w:t>
      </w:r>
      <w:r w:rsidR="003563B4" w:rsidRPr="00BF5880">
        <w:rPr>
          <w:rStyle w:val="online-publication-date"/>
          <w:rFonts w:ascii="Perpetua" w:hAnsi="Perpetua"/>
          <w:color w:val="2A2A2A"/>
          <w:sz w:val="16"/>
          <w:szCs w:val="16"/>
          <w:bdr w:val="none" w:sz="0" w:space="0" w:color="auto" w:frame="1"/>
          <w:shd w:val="clear" w:color="auto" w:fill="FFFFFF"/>
        </w:rPr>
        <w:t>, 12 Nov. 2015</w:t>
      </w:r>
      <w:r w:rsidR="003563B4" w:rsidRPr="00BF5880">
        <w:rPr>
          <w:rFonts w:ascii="Perpetua" w:hAnsi="Perpetua"/>
          <w:color w:val="2A2A2A"/>
          <w:sz w:val="16"/>
          <w:szCs w:val="16"/>
          <w:shd w:val="clear" w:color="auto" w:fill="FFFFFF"/>
        </w:rPr>
        <w:t>)</w:t>
      </w:r>
      <w:r w:rsidR="00BF5880" w:rsidRPr="00BF5880">
        <w:rPr>
          <w:rFonts w:ascii="Perpetua" w:hAnsi="Perpetua"/>
          <w:color w:val="2A2A2A"/>
          <w:sz w:val="16"/>
          <w:szCs w:val="16"/>
          <w:shd w:val="clear" w:color="auto" w:fill="FFFFFF"/>
        </w:rPr>
        <w:t xml:space="preserve"> [</w:t>
      </w:r>
      <w:r w:rsidR="00BF5880" w:rsidRPr="00BF5880">
        <w:rPr>
          <w:rFonts w:ascii="Perpetua" w:hAnsi="Perpetua"/>
          <w:sz w:val="16"/>
          <w:szCs w:val="16"/>
          <w:bdr w:val="none" w:sz="0" w:space="0" w:color="auto" w:frame="1"/>
          <w:shd w:val="clear" w:color="auto" w:fill="FFFFFF"/>
        </w:rPr>
        <w:t>https://doi-org.uwtsd.idm.oclc.org/10.1093/oxfordhb/9780199941339.013.6</w:t>
      </w:r>
      <w:r w:rsidR="003563B4" w:rsidRPr="00BF5880">
        <w:rPr>
          <w:rFonts w:ascii="Perpetua" w:hAnsi="Perpetua"/>
          <w:color w:val="2A2A2A"/>
          <w:sz w:val="16"/>
          <w:szCs w:val="16"/>
          <w:shd w:val="clear" w:color="auto" w:fill="FFFFFF"/>
        </w:rPr>
        <w:t>, </w:t>
      </w:r>
      <w:r w:rsidR="003563B4" w:rsidRPr="00BF5880">
        <w:rPr>
          <w:rStyle w:val="accessed-date"/>
          <w:rFonts w:ascii="Perpetua" w:hAnsi="Perpetua"/>
          <w:color w:val="2A2A2A"/>
          <w:sz w:val="16"/>
          <w:szCs w:val="16"/>
          <w:bdr w:val="none" w:sz="0" w:space="0" w:color="auto" w:frame="1"/>
          <w:shd w:val="clear" w:color="auto" w:fill="FFFFFF"/>
        </w:rPr>
        <w:t xml:space="preserve">accessed </w:t>
      </w:r>
      <w:r w:rsidR="00BF5880" w:rsidRPr="00BF5880">
        <w:rPr>
          <w:rStyle w:val="accessed-date"/>
          <w:rFonts w:ascii="Perpetua" w:hAnsi="Perpetua"/>
          <w:color w:val="2A2A2A"/>
          <w:sz w:val="16"/>
          <w:szCs w:val="16"/>
          <w:bdr w:val="none" w:sz="0" w:space="0" w:color="auto" w:frame="1"/>
          <w:shd w:val="clear" w:color="auto" w:fill="FFFFFF"/>
        </w:rPr>
        <w:t>June</w:t>
      </w:r>
      <w:r w:rsidR="003563B4" w:rsidRPr="00BF5880">
        <w:rPr>
          <w:rStyle w:val="accessed-date"/>
          <w:rFonts w:ascii="Perpetua" w:hAnsi="Perpetua"/>
          <w:color w:val="2A2A2A"/>
          <w:sz w:val="16"/>
          <w:szCs w:val="16"/>
          <w:bdr w:val="none" w:sz="0" w:space="0" w:color="auto" w:frame="1"/>
          <w:shd w:val="clear" w:color="auto" w:fill="FFFFFF"/>
        </w:rPr>
        <w:t xml:space="preserve"> 2026</w:t>
      </w:r>
      <w:r w:rsidR="00BF5880" w:rsidRPr="00BF5880">
        <w:rPr>
          <w:rStyle w:val="accessed-date"/>
          <w:rFonts w:ascii="Perpetua" w:hAnsi="Perpetua"/>
          <w:color w:val="2A2A2A"/>
          <w:sz w:val="16"/>
          <w:szCs w:val="16"/>
          <w:bdr w:val="none" w:sz="0" w:space="0" w:color="auto" w:frame="1"/>
          <w:shd w:val="clear" w:color="auto" w:fill="FFFFFF"/>
        </w:rPr>
        <w:t>], pp. 13 – 26</w:t>
      </w:r>
      <w:r w:rsidR="003563B4" w:rsidRPr="00BF5880">
        <w:rPr>
          <w:rStyle w:val="accessed-date"/>
          <w:rFonts w:ascii="Perpetua" w:hAnsi="Perpetua"/>
          <w:color w:val="2A2A2A"/>
          <w:sz w:val="16"/>
          <w:szCs w:val="16"/>
          <w:bdr w:val="none" w:sz="0" w:space="0" w:color="auto" w:frame="1"/>
          <w:shd w:val="clear" w:color="auto" w:fill="FFFFFF"/>
        </w:rPr>
        <w:t>.</w:t>
      </w:r>
      <w:r w:rsidR="00BF5880" w:rsidRPr="00BF5880">
        <w:rPr>
          <w:rStyle w:val="accessed-date"/>
          <w:rFonts w:ascii="Perpetua" w:hAnsi="Perpetua"/>
          <w:color w:val="2A2A2A"/>
          <w:sz w:val="16"/>
          <w:szCs w:val="16"/>
          <w:bdr w:val="none" w:sz="0" w:space="0" w:color="auto" w:frame="1"/>
          <w:shd w:val="clear" w:color="auto" w:fill="FFFFFF"/>
        </w:rPr>
        <w:t xml:space="preserve"> </w:t>
      </w:r>
      <w:r w:rsidR="00BF5880" w:rsidRPr="00BF5880">
        <w:rPr>
          <w:rFonts w:ascii="Perpetua" w:hAnsi="Perpetua" w:cs="Times New Roman"/>
          <w:color w:val="2A2A2A"/>
          <w:kern w:val="0"/>
          <w:sz w:val="16"/>
          <w:szCs w:val="16"/>
        </w:rPr>
        <w:t xml:space="preserve">See also </w:t>
      </w:r>
      <w:r w:rsidRPr="00BF5880">
        <w:rPr>
          <w:rFonts w:ascii="Perpetua" w:hAnsi="Perpetua" w:cs="Times New Roman"/>
          <w:color w:val="2A2A2A"/>
          <w:kern w:val="0"/>
          <w:sz w:val="16"/>
          <w:szCs w:val="16"/>
        </w:rPr>
        <w:t>K. McShane</w:t>
      </w:r>
      <w:r w:rsidR="00BF5880" w:rsidRPr="00BF5880">
        <w:rPr>
          <w:rFonts w:ascii="Perpetua" w:hAnsi="Perpetua" w:cs="Times New Roman"/>
          <w:color w:val="2A2A2A"/>
          <w:kern w:val="0"/>
          <w:sz w:val="16"/>
          <w:szCs w:val="16"/>
        </w:rPr>
        <w:t xml:space="preserve"> (2009)</w:t>
      </w:r>
      <w:r w:rsidRPr="00BF5880">
        <w:rPr>
          <w:rFonts w:ascii="Perpetua" w:hAnsi="Perpetua" w:cs="Times New Roman"/>
          <w:color w:val="2A2A2A"/>
          <w:kern w:val="0"/>
          <w:sz w:val="16"/>
          <w:szCs w:val="16"/>
        </w:rPr>
        <w:t xml:space="preserve">; </w:t>
      </w:r>
      <w:r w:rsidR="00BF5880">
        <w:rPr>
          <w:rFonts w:ascii="Perpetua" w:hAnsi="Perpetua" w:cs="Times New Roman"/>
          <w:color w:val="2A2A2A"/>
          <w:kern w:val="0"/>
          <w:sz w:val="16"/>
          <w:szCs w:val="16"/>
        </w:rPr>
        <w:t>A.</w:t>
      </w:r>
      <w:r w:rsidR="00BF5880" w:rsidRPr="00BF5880">
        <w:rPr>
          <w:rFonts w:ascii="Perpetua" w:hAnsi="Perpetua" w:cs="Times New Roman"/>
          <w:color w:val="2A2A2A"/>
          <w:kern w:val="0"/>
          <w:sz w:val="16"/>
          <w:szCs w:val="16"/>
        </w:rPr>
        <w:t xml:space="preserve"> </w:t>
      </w:r>
      <w:r w:rsidR="00BF5880" w:rsidRPr="00BF5880">
        <w:rPr>
          <w:rFonts w:ascii="Perpetua" w:hAnsi="Perpetua" w:cs="Times New Roman"/>
          <w:color w:val="2A2A2A"/>
          <w:kern w:val="0"/>
          <w:sz w:val="16"/>
          <w:szCs w:val="16"/>
        </w:rPr>
        <w:t xml:space="preserve">Light, A. ‘Contemporary Environmental Ethics </w:t>
      </w:r>
      <w:proofErr w:type="gramStart"/>
      <w:r w:rsidR="00BF5880" w:rsidRPr="00BF5880">
        <w:rPr>
          <w:rFonts w:ascii="Perpetua" w:hAnsi="Perpetua" w:cs="Times New Roman"/>
          <w:color w:val="2A2A2A"/>
          <w:kern w:val="0"/>
          <w:sz w:val="16"/>
          <w:szCs w:val="16"/>
        </w:rPr>
        <w:t>From</w:t>
      </w:r>
      <w:proofErr w:type="gramEnd"/>
      <w:r w:rsidR="00BF5880" w:rsidRPr="00BF5880">
        <w:rPr>
          <w:rFonts w:ascii="Perpetua" w:hAnsi="Perpetua" w:cs="Times New Roman"/>
          <w:color w:val="2A2A2A"/>
          <w:kern w:val="0"/>
          <w:sz w:val="16"/>
          <w:szCs w:val="16"/>
        </w:rPr>
        <w:t xml:space="preserve"> Metaethics to Public Philosophy’, </w:t>
      </w:r>
      <w:proofErr w:type="spellStart"/>
      <w:r w:rsidR="00BF5880" w:rsidRPr="00BF5880">
        <w:rPr>
          <w:rStyle w:val="Emphasis"/>
          <w:rFonts w:ascii="Perpetua" w:hAnsi="Perpetua" w:cs="Arial"/>
          <w:sz w:val="16"/>
          <w:szCs w:val="16"/>
        </w:rPr>
        <w:t>Metaphilosophy</w:t>
      </w:r>
      <w:proofErr w:type="spellEnd"/>
      <w:r w:rsidR="00BF5880" w:rsidRPr="00BF5880">
        <w:rPr>
          <w:rFonts w:ascii="Perpetua" w:hAnsi="Perpetua"/>
          <w:sz w:val="16"/>
          <w:szCs w:val="16"/>
        </w:rPr>
        <w:t>, 33 [4] (2002)</w:t>
      </w:r>
      <w:r w:rsidR="00BF5880">
        <w:rPr>
          <w:rFonts w:ascii="Perpetua" w:hAnsi="Perpetua"/>
          <w:sz w:val="16"/>
          <w:szCs w:val="16"/>
        </w:rPr>
        <w:t xml:space="preserve">, </w:t>
      </w:r>
      <w:r w:rsidR="00BF5880" w:rsidRPr="00BF5880">
        <w:rPr>
          <w:rFonts w:ascii="Perpetua" w:hAnsi="Perpetua"/>
          <w:sz w:val="16"/>
          <w:szCs w:val="16"/>
        </w:rPr>
        <w:t>pp. 426–449</w:t>
      </w:r>
      <w:r w:rsidR="00BF5880" w:rsidRPr="00BF5880">
        <w:rPr>
          <w:rFonts w:ascii="Perpetua" w:hAnsi="Perpetua"/>
          <w:sz w:val="16"/>
          <w:szCs w:val="16"/>
        </w:rPr>
        <w:t>.</w:t>
      </w:r>
    </w:p>
  </w:footnote>
  <w:footnote w:id="43">
    <w:p w14:paraId="4815A6FF" w14:textId="2E6255B9" w:rsidR="00BE0B55" w:rsidRPr="00204FBF" w:rsidRDefault="00BE0B55" w:rsidP="00BF5880">
      <w:pPr>
        <w:autoSpaceDE w:val="0"/>
        <w:autoSpaceDN w:val="0"/>
        <w:adjustRightInd w:val="0"/>
        <w:spacing w:after="0" w:line="240" w:lineRule="auto"/>
        <w:jc w:val="both"/>
        <w:rPr>
          <w:rFonts w:ascii="Perpetua" w:hAnsi="Perpetua" w:cs="Times New Roman"/>
          <w:color w:val="2A2A2A"/>
          <w:kern w:val="0"/>
          <w:sz w:val="16"/>
          <w:szCs w:val="16"/>
        </w:rPr>
      </w:pPr>
      <w:r w:rsidRPr="00204FBF">
        <w:rPr>
          <w:rStyle w:val="FootnoteReference"/>
          <w:rFonts w:ascii="Perpetua" w:hAnsi="Perpetua"/>
          <w:sz w:val="16"/>
          <w:szCs w:val="16"/>
        </w:rPr>
        <w:footnoteRef/>
      </w:r>
      <w:r w:rsidRPr="00204FBF">
        <w:rPr>
          <w:rFonts w:ascii="Perpetua" w:hAnsi="Perpetua"/>
          <w:sz w:val="16"/>
          <w:szCs w:val="16"/>
        </w:rPr>
        <w:t xml:space="preserve"> </w:t>
      </w:r>
      <w:r w:rsidRPr="00204FBF">
        <w:rPr>
          <w:rFonts w:ascii="Perpetua" w:hAnsi="Perpetua" w:cs="Times New Roman"/>
          <w:color w:val="2A2A2A"/>
          <w:kern w:val="0"/>
          <w:sz w:val="16"/>
          <w:szCs w:val="16"/>
        </w:rPr>
        <w:t xml:space="preserve">A. Light, ‘Contemporary Environmental Ethics </w:t>
      </w:r>
      <w:proofErr w:type="gramStart"/>
      <w:r w:rsidRPr="00204FBF">
        <w:rPr>
          <w:rFonts w:ascii="Perpetua" w:hAnsi="Perpetua" w:cs="Times New Roman"/>
          <w:color w:val="2A2A2A"/>
          <w:kern w:val="0"/>
          <w:sz w:val="16"/>
          <w:szCs w:val="16"/>
        </w:rPr>
        <w:t>From</w:t>
      </w:r>
      <w:proofErr w:type="gramEnd"/>
      <w:r w:rsidRPr="00204FBF">
        <w:rPr>
          <w:rFonts w:ascii="Perpetua" w:hAnsi="Perpetua" w:cs="Times New Roman"/>
          <w:color w:val="2A2A2A"/>
          <w:kern w:val="0"/>
          <w:sz w:val="16"/>
          <w:szCs w:val="16"/>
        </w:rPr>
        <w:t xml:space="preserve"> Metaethics to Public Philosophy’</w:t>
      </w:r>
      <w:r w:rsidR="00BF5880" w:rsidRPr="00204FBF">
        <w:rPr>
          <w:rFonts w:ascii="Perpetua" w:hAnsi="Perpetua" w:cs="Times New Roman"/>
          <w:color w:val="2A2A2A"/>
          <w:kern w:val="0"/>
          <w:sz w:val="16"/>
          <w:szCs w:val="16"/>
        </w:rPr>
        <w:t xml:space="preserve"> (2002)</w:t>
      </w:r>
      <w:r w:rsidRPr="00204FBF">
        <w:rPr>
          <w:rFonts w:ascii="Perpetua" w:hAnsi="Perpetua" w:cs="Times New Roman"/>
          <w:color w:val="2A2A2A"/>
          <w:kern w:val="0"/>
          <w:sz w:val="16"/>
          <w:szCs w:val="16"/>
        </w:rPr>
        <w:t xml:space="preserve">, p. 429. Rejection of anthropocentrism as one of the two ‘dogmas’ of EE: G. Varner, </w:t>
      </w:r>
      <w:r w:rsidRPr="00204FBF">
        <w:rPr>
          <w:rFonts w:ascii="Perpetua" w:hAnsi="Perpetua" w:cs="Times New Roman"/>
          <w:i/>
          <w:iCs/>
          <w:color w:val="2A2A2A"/>
          <w:kern w:val="0"/>
          <w:sz w:val="16"/>
          <w:szCs w:val="16"/>
        </w:rPr>
        <w:t xml:space="preserve">In Nature’s Interests </w:t>
      </w:r>
      <w:r w:rsidRPr="00204FBF">
        <w:rPr>
          <w:rFonts w:ascii="Perpetua" w:hAnsi="Perpetua" w:cs="Times New Roman"/>
          <w:color w:val="2A2A2A"/>
          <w:kern w:val="0"/>
          <w:sz w:val="16"/>
          <w:szCs w:val="16"/>
        </w:rPr>
        <w:t xml:space="preserve">(Oxford: OUP, 1998). </w:t>
      </w:r>
    </w:p>
  </w:footnote>
  <w:footnote w:id="44">
    <w:p w14:paraId="01B44FDE" w14:textId="006CA22F" w:rsidR="00BE0B55" w:rsidRPr="00204FBF" w:rsidRDefault="00BE0B55" w:rsidP="00BF5880">
      <w:pPr>
        <w:widowControl w:val="0"/>
        <w:autoSpaceDE w:val="0"/>
        <w:autoSpaceDN w:val="0"/>
        <w:adjustRightInd w:val="0"/>
        <w:spacing w:after="0" w:line="240" w:lineRule="auto"/>
        <w:jc w:val="both"/>
        <w:rPr>
          <w:rFonts w:ascii="Perpetua" w:hAnsi="Perpetua"/>
          <w:color w:val="000000" w:themeColor="text1"/>
          <w:sz w:val="16"/>
          <w:szCs w:val="16"/>
          <w:lang w:val="en-US"/>
        </w:rPr>
      </w:pPr>
      <w:r w:rsidRPr="00204FBF">
        <w:rPr>
          <w:rStyle w:val="FootnoteReference"/>
          <w:rFonts w:ascii="Perpetua" w:hAnsi="Perpetua"/>
          <w:sz w:val="16"/>
          <w:szCs w:val="16"/>
        </w:rPr>
        <w:footnoteRef/>
      </w:r>
      <w:r w:rsidRPr="00204FBF">
        <w:rPr>
          <w:rFonts w:ascii="Perpetua" w:hAnsi="Perpetua"/>
          <w:sz w:val="16"/>
          <w:szCs w:val="16"/>
        </w:rPr>
        <w:t xml:space="preserve"> B. Norton</w:t>
      </w:r>
      <w:r w:rsidRPr="00204FBF">
        <w:rPr>
          <w:rFonts w:ascii="Perpetua" w:hAnsi="Perpetua"/>
          <w:color w:val="000000" w:themeColor="text1"/>
          <w:sz w:val="16"/>
          <w:szCs w:val="16"/>
          <w:lang w:val="en-US"/>
        </w:rPr>
        <w:t xml:space="preserve"> (1984).</w:t>
      </w:r>
    </w:p>
  </w:footnote>
  <w:footnote w:id="45">
    <w:p w14:paraId="7D68B935" w14:textId="77777777" w:rsidR="00BE0B55" w:rsidRPr="00204FBF" w:rsidRDefault="00BE0B55" w:rsidP="00BF5880">
      <w:pPr>
        <w:pStyle w:val="FootnoteText"/>
        <w:jc w:val="both"/>
        <w:rPr>
          <w:rFonts w:ascii="Perpetua" w:hAnsi="Perpetua"/>
          <w:sz w:val="16"/>
          <w:szCs w:val="16"/>
        </w:rPr>
      </w:pPr>
      <w:r w:rsidRPr="00204FBF">
        <w:rPr>
          <w:rStyle w:val="FootnoteReference"/>
          <w:rFonts w:ascii="Perpetua" w:hAnsi="Perpetua"/>
          <w:sz w:val="16"/>
          <w:szCs w:val="16"/>
        </w:rPr>
        <w:footnoteRef/>
      </w:r>
      <w:r w:rsidRPr="00204FBF">
        <w:rPr>
          <w:rFonts w:ascii="Perpetua" w:hAnsi="Perpetua"/>
          <w:sz w:val="16"/>
          <w:szCs w:val="16"/>
        </w:rPr>
        <w:t xml:space="preserve"> B. Norton (1984), p. 132. He notes that anthropocentrism is used by both sides to mean humans as only ‘loci’ of value (cf. ‘source’). </w:t>
      </w:r>
      <w:r w:rsidRPr="00204FBF">
        <w:rPr>
          <w:rFonts w:ascii="Perpetua" w:hAnsi="Perpetua" w:cs="Times New Roman"/>
          <w:color w:val="2A2A2A"/>
          <w:kern w:val="0"/>
          <w:sz w:val="16"/>
          <w:szCs w:val="16"/>
        </w:rPr>
        <w:t xml:space="preserve"> </w:t>
      </w:r>
    </w:p>
  </w:footnote>
  <w:footnote w:id="46">
    <w:p w14:paraId="726AF1B7" w14:textId="4233754D" w:rsidR="00204FBF" w:rsidRDefault="00204FBF">
      <w:pPr>
        <w:pStyle w:val="FootnoteText"/>
      </w:pPr>
      <w:r w:rsidRPr="00204FBF">
        <w:rPr>
          <w:rStyle w:val="FootnoteReference"/>
          <w:rFonts w:ascii="Perpetua" w:hAnsi="Perpetua"/>
          <w:sz w:val="16"/>
          <w:szCs w:val="16"/>
        </w:rPr>
        <w:footnoteRef/>
      </w:r>
      <w:r w:rsidRPr="00204FBF">
        <w:rPr>
          <w:rFonts w:ascii="Perpetua" w:hAnsi="Perpetua"/>
          <w:sz w:val="16"/>
          <w:szCs w:val="16"/>
        </w:rPr>
        <w:t xml:space="preserve"> p. 133.</w:t>
      </w:r>
    </w:p>
  </w:footnote>
  <w:footnote w:id="47">
    <w:p w14:paraId="359623FD" w14:textId="131610AB" w:rsidR="00BE0B55" w:rsidRPr="00C73E28" w:rsidRDefault="00BE0B55" w:rsidP="00C73E28">
      <w:pPr>
        <w:pStyle w:val="FootnoteText"/>
        <w:jc w:val="both"/>
        <w:rPr>
          <w:rFonts w:ascii="Perpetua" w:hAnsi="Perpetua"/>
          <w:sz w:val="16"/>
          <w:szCs w:val="16"/>
        </w:rPr>
      </w:pPr>
      <w:r w:rsidRPr="00C73E28">
        <w:rPr>
          <w:rStyle w:val="FootnoteReference"/>
          <w:rFonts w:ascii="Perpetua" w:hAnsi="Perpetua"/>
          <w:sz w:val="16"/>
          <w:szCs w:val="16"/>
        </w:rPr>
        <w:footnoteRef/>
      </w:r>
      <w:r w:rsidRPr="00C73E28">
        <w:rPr>
          <w:rFonts w:ascii="Perpetua" w:hAnsi="Perpetua"/>
          <w:sz w:val="16"/>
          <w:szCs w:val="16"/>
        </w:rPr>
        <w:t xml:space="preserve"> </w:t>
      </w:r>
      <w:r w:rsidR="00204FBF" w:rsidRPr="00C73E28">
        <w:rPr>
          <w:rFonts w:ascii="Perpetua" w:hAnsi="Perpetua"/>
          <w:sz w:val="16"/>
          <w:szCs w:val="16"/>
        </w:rPr>
        <w:t xml:space="preserve">p. 133. </w:t>
      </w:r>
      <w:r w:rsidRPr="00C73E28">
        <w:rPr>
          <w:rFonts w:ascii="Perpetua" w:hAnsi="Perpetua"/>
          <w:sz w:val="16"/>
          <w:szCs w:val="16"/>
        </w:rPr>
        <w:t xml:space="preserve">Norton notes how Callicott sees humans as being the source of all value but capable of designating nonhuman objects as loci of fundamental value. For the distinction between anthropocentric and anthropogenic: see Attfield (2014) and McShane </w:t>
      </w:r>
      <w:r w:rsidR="00204FBF" w:rsidRPr="00C73E28">
        <w:rPr>
          <w:rFonts w:ascii="Perpetua" w:hAnsi="Perpetua"/>
          <w:sz w:val="16"/>
          <w:szCs w:val="16"/>
        </w:rPr>
        <w:t>(2015</w:t>
      </w:r>
      <w:r w:rsidRPr="00C73E28">
        <w:rPr>
          <w:rFonts w:ascii="Perpetua" w:hAnsi="Perpetua"/>
          <w:sz w:val="16"/>
          <w:szCs w:val="16"/>
        </w:rPr>
        <w:t>). For ‘conceptual anthropocentrism’: see Thompson</w:t>
      </w:r>
      <w:r w:rsidR="00204FBF" w:rsidRPr="00C73E28">
        <w:rPr>
          <w:rFonts w:ascii="Perpetua" w:hAnsi="Perpetua"/>
          <w:sz w:val="16"/>
          <w:szCs w:val="16"/>
        </w:rPr>
        <w:t xml:space="preserve"> (2015)</w:t>
      </w:r>
      <w:r w:rsidRPr="00C73E28">
        <w:rPr>
          <w:rFonts w:ascii="Perpetua" w:hAnsi="Perpetua"/>
          <w:sz w:val="16"/>
          <w:szCs w:val="16"/>
        </w:rPr>
        <w:t>. Norton is unconvinced that ‘Last Man’ examples show what is claimed</w:t>
      </w:r>
      <w:r w:rsidR="00204FBF" w:rsidRPr="00C73E28">
        <w:rPr>
          <w:rFonts w:ascii="Perpetua" w:hAnsi="Perpetua"/>
          <w:sz w:val="16"/>
          <w:szCs w:val="16"/>
        </w:rPr>
        <w:t xml:space="preserve">. He </w:t>
      </w:r>
      <w:r w:rsidRPr="00C73E28">
        <w:rPr>
          <w:rFonts w:ascii="Perpetua" w:hAnsi="Perpetua"/>
          <w:sz w:val="16"/>
          <w:szCs w:val="16"/>
        </w:rPr>
        <w:t xml:space="preserve">denies that thinking the last man does wrong entails </w:t>
      </w:r>
      <w:proofErr w:type="spellStart"/>
      <w:r w:rsidRPr="00C73E28">
        <w:rPr>
          <w:rFonts w:ascii="Perpetua" w:hAnsi="Perpetua"/>
          <w:sz w:val="16"/>
          <w:szCs w:val="16"/>
        </w:rPr>
        <w:t>nonanthropocentrism</w:t>
      </w:r>
      <w:proofErr w:type="spellEnd"/>
      <w:r w:rsidRPr="00C73E28">
        <w:rPr>
          <w:rFonts w:ascii="Perpetua" w:hAnsi="Perpetua"/>
          <w:sz w:val="16"/>
          <w:szCs w:val="16"/>
        </w:rPr>
        <w:t>. N</w:t>
      </w:r>
      <w:r w:rsidR="00204FBF" w:rsidRPr="00C73E28">
        <w:rPr>
          <w:rFonts w:ascii="Perpetua" w:hAnsi="Perpetua"/>
          <w:sz w:val="16"/>
          <w:szCs w:val="16"/>
        </w:rPr>
        <w:t xml:space="preserve">.B. </w:t>
      </w:r>
      <w:r w:rsidRPr="00C73E28">
        <w:rPr>
          <w:rFonts w:ascii="Perpetua" w:hAnsi="Perpetua"/>
          <w:sz w:val="16"/>
          <w:szCs w:val="16"/>
        </w:rPr>
        <w:t xml:space="preserve">nature having intrinsic value may well be the best explanation of our intuitive response but then, having concluded there is intrinsic value in nature a non-anthropocentric ethic </w:t>
      </w:r>
      <w:r w:rsidR="00204FBF" w:rsidRPr="00C73E28">
        <w:rPr>
          <w:rFonts w:ascii="Perpetua" w:hAnsi="Perpetua"/>
          <w:sz w:val="16"/>
          <w:szCs w:val="16"/>
        </w:rPr>
        <w:t xml:space="preserve">is necessarily required </w:t>
      </w:r>
      <w:r w:rsidRPr="00C73E28">
        <w:rPr>
          <w:rFonts w:ascii="Perpetua" w:hAnsi="Perpetua"/>
          <w:sz w:val="16"/>
          <w:szCs w:val="16"/>
        </w:rPr>
        <w:t xml:space="preserve">(which is what Norton denies).  </w:t>
      </w:r>
    </w:p>
  </w:footnote>
  <w:footnote w:id="48">
    <w:p w14:paraId="144009BE" w14:textId="63BEE795" w:rsidR="00BF5880" w:rsidRPr="00C73E28" w:rsidRDefault="00BF5880" w:rsidP="00C73E28">
      <w:pPr>
        <w:pStyle w:val="FootnoteText"/>
        <w:jc w:val="both"/>
        <w:rPr>
          <w:rFonts w:ascii="Perpetua" w:hAnsi="Perpetua"/>
          <w:sz w:val="16"/>
          <w:szCs w:val="16"/>
        </w:rPr>
      </w:pPr>
      <w:r w:rsidRPr="00C73E28">
        <w:rPr>
          <w:rStyle w:val="FootnoteReference"/>
          <w:rFonts w:ascii="Perpetua" w:hAnsi="Perpetua"/>
          <w:sz w:val="16"/>
          <w:szCs w:val="16"/>
        </w:rPr>
        <w:footnoteRef/>
      </w:r>
      <w:r w:rsidRPr="00C73E28">
        <w:rPr>
          <w:rFonts w:ascii="Perpetua" w:hAnsi="Perpetua"/>
          <w:sz w:val="16"/>
          <w:szCs w:val="16"/>
        </w:rPr>
        <w:t xml:space="preserve"> i.e. the need for a new ethic and the intrinsic value of nature. The latter being </w:t>
      </w:r>
      <w:r w:rsidR="00204FBF" w:rsidRPr="00C73E28">
        <w:rPr>
          <w:rFonts w:ascii="Perpetua" w:hAnsi="Perpetua"/>
          <w:sz w:val="16"/>
          <w:szCs w:val="16"/>
        </w:rPr>
        <w:t>Routley’s answer to his own question.</w:t>
      </w:r>
    </w:p>
  </w:footnote>
  <w:footnote w:id="49">
    <w:p w14:paraId="5BEF635F" w14:textId="54E9E85A" w:rsidR="00BE0B55" w:rsidRPr="00C73E28" w:rsidRDefault="00BE0B55" w:rsidP="00C73E28">
      <w:pPr>
        <w:pStyle w:val="FootnoteText"/>
        <w:jc w:val="both"/>
        <w:rPr>
          <w:rFonts w:ascii="Perpetua" w:hAnsi="Perpetua"/>
          <w:sz w:val="16"/>
          <w:szCs w:val="16"/>
        </w:rPr>
      </w:pPr>
      <w:r w:rsidRPr="00C73E28">
        <w:rPr>
          <w:rStyle w:val="FootnoteReference"/>
          <w:rFonts w:ascii="Perpetua" w:hAnsi="Perpetua"/>
          <w:sz w:val="16"/>
          <w:szCs w:val="16"/>
        </w:rPr>
        <w:footnoteRef/>
      </w:r>
      <w:r w:rsidRPr="00C73E28">
        <w:rPr>
          <w:rFonts w:ascii="Perpetua" w:hAnsi="Perpetua"/>
          <w:sz w:val="16"/>
          <w:szCs w:val="16"/>
        </w:rPr>
        <w:t xml:space="preserve"> </w:t>
      </w:r>
      <w:r w:rsidR="00204FBF" w:rsidRPr="00C73E28">
        <w:rPr>
          <w:rFonts w:ascii="Perpetua" w:hAnsi="Perpetua"/>
          <w:sz w:val="16"/>
          <w:szCs w:val="16"/>
        </w:rPr>
        <w:t>p. 132.</w:t>
      </w:r>
    </w:p>
  </w:footnote>
  <w:footnote w:id="50">
    <w:p w14:paraId="09C411C6" w14:textId="0FCAB64B" w:rsidR="00BE0B55" w:rsidRPr="00C73E28" w:rsidRDefault="00BE0B55" w:rsidP="00C73E28">
      <w:pPr>
        <w:pStyle w:val="FootnoteText"/>
        <w:jc w:val="both"/>
        <w:rPr>
          <w:rFonts w:ascii="Perpetua" w:hAnsi="Perpetua"/>
          <w:sz w:val="16"/>
          <w:szCs w:val="16"/>
        </w:rPr>
      </w:pPr>
      <w:r w:rsidRPr="00C73E28">
        <w:rPr>
          <w:rStyle w:val="FootnoteReference"/>
          <w:rFonts w:ascii="Perpetua" w:hAnsi="Perpetua"/>
          <w:sz w:val="16"/>
          <w:szCs w:val="16"/>
        </w:rPr>
        <w:footnoteRef/>
      </w:r>
      <w:r w:rsidRPr="00C73E28">
        <w:rPr>
          <w:rFonts w:ascii="Perpetua" w:hAnsi="Perpetua"/>
          <w:sz w:val="16"/>
          <w:szCs w:val="16"/>
        </w:rPr>
        <w:t xml:space="preserve"> Already the pragmatist, he does not look to prove the truth of his proposal. For test of adequacy: see p</w:t>
      </w:r>
      <w:r w:rsidR="00204FBF" w:rsidRPr="00C73E28">
        <w:rPr>
          <w:rFonts w:ascii="Perpetua" w:hAnsi="Perpetua"/>
          <w:sz w:val="16"/>
          <w:szCs w:val="16"/>
        </w:rPr>
        <w:t>p. 132 – 133</w:t>
      </w:r>
      <w:r w:rsidRPr="00C73E28">
        <w:rPr>
          <w:rFonts w:ascii="Perpetua" w:hAnsi="Perpetua"/>
          <w:sz w:val="16"/>
          <w:szCs w:val="16"/>
        </w:rPr>
        <w:t xml:space="preserve">. Norton acknowledges the philosophical merit in pursuing theories of nonhuman value. Foreshadowing the pluralism welcomed by the weak anthropocentrism he developed. </w:t>
      </w:r>
    </w:p>
  </w:footnote>
  <w:footnote w:id="51">
    <w:p w14:paraId="60FEE216" w14:textId="358E1420" w:rsidR="00BE0B55" w:rsidRPr="00C73E28" w:rsidRDefault="00BE0B55" w:rsidP="00C73E28">
      <w:pPr>
        <w:pStyle w:val="FootnoteText"/>
        <w:jc w:val="both"/>
        <w:rPr>
          <w:rFonts w:ascii="Perpetua" w:hAnsi="Perpetua"/>
          <w:sz w:val="16"/>
          <w:szCs w:val="16"/>
        </w:rPr>
      </w:pPr>
      <w:r w:rsidRPr="00C73E28">
        <w:rPr>
          <w:rStyle w:val="FootnoteReference"/>
          <w:rFonts w:ascii="Perpetua" w:hAnsi="Perpetua"/>
          <w:sz w:val="16"/>
          <w:szCs w:val="16"/>
        </w:rPr>
        <w:footnoteRef/>
      </w:r>
      <w:r w:rsidRPr="00C73E28">
        <w:rPr>
          <w:rFonts w:ascii="Perpetua" w:hAnsi="Perpetua"/>
          <w:sz w:val="16"/>
          <w:szCs w:val="16"/>
        </w:rPr>
        <w:t xml:space="preserve"> </w:t>
      </w:r>
      <w:r w:rsidRPr="00C73E28">
        <w:rPr>
          <w:rFonts w:ascii="Perpetua" w:hAnsi="Perpetua" w:cs="Times New Roman"/>
          <w:color w:val="2A2A2A"/>
          <w:kern w:val="0"/>
          <w:sz w:val="16"/>
          <w:szCs w:val="16"/>
        </w:rPr>
        <w:t xml:space="preserve">A </w:t>
      </w:r>
      <w:r w:rsidR="00204FBF" w:rsidRPr="00C73E28">
        <w:rPr>
          <w:rFonts w:ascii="Perpetua" w:hAnsi="Perpetua" w:cs="Times New Roman"/>
          <w:color w:val="2A2A2A"/>
          <w:kern w:val="0"/>
          <w:sz w:val="16"/>
          <w:szCs w:val="16"/>
        </w:rPr>
        <w:t>‘</w:t>
      </w:r>
      <w:r w:rsidRPr="00C73E28">
        <w:rPr>
          <w:rFonts w:ascii="Perpetua" w:hAnsi="Perpetua" w:cs="Times New Roman"/>
          <w:color w:val="2A2A2A"/>
          <w:kern w:val="0"/>
          <w:sz w:val="16"/>
          <w:szCs w:val="16"/>
        </w:rPr>
        <w:t>felt</w:t>
      </w:r>
      <w:r w:rsidR="00204FBF" w:rsidRPr="00C73E28">
        <w:rPr>
          <w:rFonts w:ascii="Perpetua" w:hAnsi="Perpetua" w:cs="Times New Roman"/>
          <w:color w:val="2A2A2A"/>
          <w:kern w:val="0"/>
          <w:sz w:val="16"/>
          <w:szCs w:val="16"/>
        </w:rPr>
        <w:t>’</w:t>
      </w:r>
      <w:r w:rsidRPr="00C73E28">
        <w:rPr>
          <w:rFonts w:ascii="Perpetua" w:hAnsi="Perpetua" w:cs="Times New Roman"/>
          <w:color w:val="2A2A2A"/>
          <w:kern w:val="0"/>
          <w:sz w:val="16"/>
          <w:szCs w:val="16"/>
        </w:rPr>
        <w:t xml:space="preserve"> preference being a desire, need etc.</w:t>
      </w:r>
    </w:p>
  </w:footnote>
  <w:footnote w:id="52">
    <w:p w14:paraId="4B054BCB" w14:textId="77777777" w:rsidR="00C73E28" w:rsidRPr="00611165" w:rsidRDefault="00C73E28" w:rsidP="00C73E28">
      <w:pPr>
        <w:pStyle w:val="FootnoteText"/>
        <w:jc w:val="both"/>
        <w:rPr>
          <w:rFonts w:ascii="Perpetua" w:hAnsi="Perpetua"/>
          <w:sz w:val="16"/>
          <w:szCs w:val="16"/>
        </w:rPr>
      </w:pPr>
      <w:r w:rsidRPr="00C73E28">
        <w:rPr>
          <w:rStyle w:val="FootnoteReference"/>
          <w:rFonts w:ascii="Perpetua" w:hAnsi="Perpetua"/>
          <w:sz w:val="16"/>
          <w:szCs w:val="16"/>
        </w:rPr>
        <w:footnoteRef/>
      </w:r>
      <w:r w:rsidRPr="00C73E28">
        <w:rPr>
          <w:rFonts w:ascii="Perpetua" w:hAnsi="Perpetua"/>
          <w:sz w:val="16"/>
          <w:szCs w:val="16"/>
        </w:rPr>
        <w:t xml:space="preserve"> </w:t>
      </w:r>
      <w:r>
        <w:rPr>
          <w:rFonts w:ascii="Perpetua" w:hAnsi="Perpetua"/>
          <w:sz w:val="16"/>
          <w:szCs w:val="16"/>
        </w:rPr>
        <w:t xml:space="preserve">p. 134. </w:t>
      </w:r>
      <w:r w:rsidRPr="00C73E28">
        <w:rPr>
          <w:rFonts w:ascii="Perpetua" w:hAnsi="Perpetua"/>
          <w:sz w:val="16"/>
          <w:szCs w:val="16"/>
        </w:rPr>
        <w:t xml:space="preserve">This move is not uncontroversial. Those content with felt preferences would need persuading about this new source of value/any hierarchy of values.   </w:t>
      </w:r>
    </w:p>
  </w:footnote>
  <w:footnote w:id="53">
    <w:p w14:paraId="6187949C" w14:textId="77777777" w:rsidR="00C73E28" w:rsidRPr="00C73E28" w:rsidRDefault="00C73E28" w:rsidP="00E566B0">
      <w:pPr>
        <w:pStyle w:val="FootnoteText"/>
        <w:jc w:val="both"/>
        <w:rPr>
          <w:rFonts w:ascii="Perpetua" w:hAnsi="Perpetua"/>
          <w:sz w:val="16"/>
          <w:szCs w:val="16"/>
        </w:rPr>
      </w:pPr>
      <w:r w:rsidRPr="00C73E28">
        <w:rPr>
          <w:rStyle w:val="FootnoteReference"/>
          <w:rFonts w:ascii="Perpetua" w:hAnsi="Perpetua"/>
          <w:sz w:val="16"/>
          <w:szCs w:val="16"/>
        </w:rPr>
        <w:footnoteRef/>
      </w:r>
      <w:r w:rsidRPr="00C73E28">
        <w:rPr>
          <w:rFonts w:ascii="Perpetua" w:hAnsi="Perpetua"/>
          <w:sz w:val="16"/>
          <w:szCs w:val="16"/>
        </w:rPr>
        <w:t xml:space="preserve"> pp. 134 – 135.</w:t>
      </w:r>
    </w:p>
  </w:footnote>
  <w:footnote w:id="54">
    <w:p w14:paraId="7E67D4CD" w14:textId="77777777" w:rsidR="00BE0B55" w:rsidRPr="00F44636" w:rsidRDefault="00BE0B55" w:rsidP="00E566B0">
      <w:pPr>
        <w:autoSpaceDE w:val="0"/>
        <w:autoSpaceDN w:val="0"/>
        <w:adjustRightInd w:val="0"/>
        <w:spacing w:after="0" w:line="240" w:lineRule="auto"/>
        <w:jc w:val="both"/>
        <w:rPr>
          <w:rFonts w:ascii="Perpetua" w:hAnsi="Perpetua" w:cs="Times New Roman"/>
          <w:color w:val="2A2A2A"/>
          <w:kern w:val="0"/>
          <w:sz w:val="16"/>
          <w:szCs w:val="16"/>
        </w:rPr>
      </w:pPr>
      <w:r w:rsidRPr="00F44636">
        <w:rPr>
          <w:rStyle w:val="FootnoteReference"/>
          <w:rFonts w:ascii="Perpetua" w:hAnsi="Perpetua"/>
          <w:sz w:val="16"/>
          <w:szCs w:val="16"/>
        </w:rPr>
        <w:footnoteRef/>
      </w:r>
      <w:r w:rsidRPr="00F44636">
        <w:rPr>
          <w:rFonts w:ascii="Perpetua" w:hAnsi="Perpetua"/>
          <w:sz w:val="16"/>
          <w:szCs w:val="16"/>
        </w:rPr>
        <w:t xml:space="preserve"> Norton draws a comparison with Callicott’s idea that intrinsic value can be rationally attributed to nature.</w:t>
      </w:r>
    </w:p>
  </w:footnote>
  <w:footnote w:id="55">
    <w:p w14:paraId="705BBF25" w14:textId="08A09BDA" w:rsidR="00BE0B55" w:rsidRPr="00E566B0" w:rsidRDefault="00BE0B55" w:rsidP="00E566B0">
      <w:pPr>
        <w:pStyle w:val="Heading1"/>
        <w:spacing w:before="0" w:after="0" w:line="240" w:lineRule="auto"/>
        <w:jc w:val="both"/>
        <w:rPr>
          <w:rFonts w:ascii="Perpetua" w:eastAsia="Times New Roman" w:hAnsi="Perpetua" w:cs="Open Sans"/>
          <w:b/>
          <w:bCs/>
          <w:color w:val="555555"/>
          <w:kern w:val="36"/>
          <w:sz w:val="16"/>
          <w:szCs w:val="16"/>
          <w:lang w:eastAsia="en-GB"/>
          <w14:ligatures w14:val="none"/>
        </w:rPr>
      </w:pPr>
      <w:r w:rsidRPr="00F44636">
        <w:rPr>
          <w:rStyle w:val="FootnoteReference"/>
          <w:rFonts w:ascii="Perpetua" w:hAnsi="Perpetua"/>
          <w:sz w:val="16"/>
          <w:szCs w:val="16"/>
        </w:rPr>
        <w:footnoteRef/>
      </w:r>
      <w:r w:rsidRPr="00F44636">
        <w:rPr>
          <w:rFonts w:ascii="Perpetua" w:hAnsi="Perpetua"/>
          <w:sz w:val="16"/>
          <w:szCs w:val="16"/>
        </w:rPr>
        <w:t xml:space="preserve"> For convergence hypothesis (as developed): e.g. B. Norton, </w:t>
      </w:r>
      <w:r w:rsidRPr="00F44636">
        <w:rPr>
          <w:rFonts w:ascii="Perpetua" w:hAnsi="Perpetua"/>
          <w:i/>
          <w:iCs/>
          <w:sz w:val="16"/>
          <w:szCs w:val="16"/>
        </w:rPr>
        <w:t xml:space="preserve">Towards Unity Among Environmentalists </w:t>
      </w:r>
      <w:r w:rsidRPr="00F44636">
        <w:rPr>
          <w:rFonts w:ascii="Perpetua" w:hAnsi="Perpetua"/>
          <w:sz w:val="16"/>
          <w:szCs w:val="16"/>
        </w:rPr>
        <w:t>(Oxford: OUP, 1991). See also</w:t>
      </w:r>
      <w:r w:rsidRPr="00F44636">
        <w:rPr>
          <w:rFonts w:ascii="Perpetua" w:hAnsi="Perpetua"/>
          <w:i/>
          <w:iCs/>
          <w:sz w:val="16"/>
          <w:szCs w:val="16"/>
        </w:rPr>
        <w:t xml:space="preserve"> </w:t>
      </w:r>
      <w:r w:rsidRPr="00F44636">
        <w:rPr>
          <w:rFonts w:ascii="Perpetua" w:hAnsi="Perpetua"/>
          <w:sz w:val="16"/>
          <w:szCs w:val="16"/>
        </w:rPr>
        <w:t xml:space="preserve">B. Norton </w:t>
      </w:r>
      <w:r w:rsidRPr="00F44636">
        <w:rPr>
          <w:rFonts w:ascii="Perpetua" w:hAnsi="Perpetua"/>
          <w:i/>
          <w:iCs/>
          <w:sz w:val="16"/>
          <w:szCs w:val="16"/>
        </w:rPr>
        <w:t>‘</w:t>
      </w:r>
      <w:r w:rsidRPr="00F44636">
        <w:rPr>
          <w:rFonts w:ascii="Perpetua" w:eastAsia="Times New Roman" w:hAnsi="Perpetua" w:cs="Open Sans"/>
          <w:color w:val="555555"/>
          <w:kern w:val="36"/>
          <w:sz w:val="16"/>
          <w:szCs w:val="16"/>
          <w:lang w:eastAsia="en-GB"/>
          <w14:ligatures w14:val="none"/>
        </w:rPr>
        <w:t>Convergence and divergence: the convergence hypothesis twenty years later’</w:t>
      </w:r>
      <w:r w:rsidRPr="00F44636">
        <w:rPr>
          <w:rFonts w:ascii="Perpetua" w:hAnsi="Perpetua"/>
          <w:sz w:val="16"/>
          <w:szCs w:val="16"/>
        </w:rPr>
        <w:t xml:space="preserve"> in B. Minteer ed.,</w:t>
      </w:r>
      <w:r w:rsidRPr="00F44636">
        <w:rPr>
          <w:rFonts w:ascii="Perpetua" w:hAnsi="Perpetua"/>
          <w:sz w:val="16"/>
          <w:szCs w:val="16"/>
        </w:rPr>
        <w:t xml:space="preserve"> </w:t>
      </w:r>
      <w:r w:rsidRPr="00F44636">
        <w:rPr>
          <w:rFonts w:ascii="Perpetua" w:eastAsia="Times New Roman" w:hAnsi="Perpetua" w:cs="Open Sans"/>
          <w:i/>
          <w:iCs/>
          <w:color w:val="000000" w:themeColor="text1"/>
          <w:kern w:val="0"/>
          <w:sz w:val="16"/>
          <w:szCs w:val="16"/>
          <w:lang w:eastAsia="en-GB"/>
          <w14:ligatures w14:val="none"/>
        </w:rPr>
        <w:t xml:space="preserve">Nature in </w:t>
      </w:r>
      <w:proofErr w:type="gramStart"/>
      <w:r w:rsidRPr="00F44636">
        <w:rPr>
          <w:rFonts w:ascii="Perpetua" w:eastAsia="Times New Roman" w:hAnsi="Perpetua" w:cs="Open Sans"/>
          <w:i/>
          <w:iCs/>
          <w:color w:val="000000" w:themeColor="text1"/>
          <w:kern w:val="0"/>
          <w:sz w:val="16"/>
          <w:szCs w:val="16"/>
          <w:lang w:eastAsia="en-GB"/>
          <w14:ligatures w14:val="none"/>
        </w:rPr>
        <w:t>Common?:</w:t>
      </w:r>
      <w:proofErr w:type="gramEnd"/>
      <w:r w:rsidRPr="00F44636">
        <w:rPr>
          <w:rFonts w:ascii="Perpetua" w:eastAsia="Times New Roman" w:hAnsi="Perpetua" w:cs="Open Sans"/>
          <w:i/>
          <w:iCs/>
          <w:color w:val="000000" w:themeColor="text1"/>
          <w:kern w:val="0"/>
          <w:sz w:val="16"/>
          <w:szCs w:val="16"/>
          <w:lang w:eastAsia="en-GB"/>
          <w14:ligatures w14:val="none"/>
        </w:rPr>
        <w:t xml:space="preserve"> Environmental Ethics and the Contested Foundations of Environmental Policy</w:t>
      </w:r>
      <w:r w:rsidRPr="00F44636">
        <w:rPr>
          <w:rFonts w:ascii="Perpetua" w:eastAsia="Times New Roman" w:hAnsi="Perpetua" w:cs="Open Sans"/>
          <w:color w:val="000000" w:themeColor="text1"/>
          <w:kern w:val="0"/>
          <w:sz w:val="16"/>
          <w:szCs w:val="16"/>
          <w:lang w:eastAsia="en-GB"/>
          <w14:ligatures w14:val="none"/>
        </w:rPr>
        <w:t xml:space="preserve"> (Philadelphia</w:t>
      </w:r>
      <w:r w:rsidRPr="00F44636">
        <w:rPr>
          <w:rFonts w:ascii="Perpetua" w:eastAsia="Times New Roman" w:hAnsi="Perpetua" w:cs="Open Sans"/>
          <w:color w:val="333333"/>
          <w:kern w:val="0"/>
          <w:sz w:val="16"/>
          <w:szCs w:val="16"/>
          <w:lang w:eastAsia="en-GB"/>
          <w14:ligatures w14:val="none"/>
        </w:rPr>
        <w:t xml:space="preserve">: Temple University Press, 2009). Attfield (2014) refers to ‘Bryan Norton’s Convergence Claim’ defined as the ‘claim that policies serving the interests of humanity as a whole and in the long run will also serve the interests of non-human nature. This would make separate appeals to non-human and human interests redundant’, p. 224. As distinct from John Passmore’s very different convergence theory. J. Kawall (2015) identifies </w:t>
      </w:r>
      <w:r w:rsidRPr="00E566B0">
        <w:rPr>
          <w:rFonts w:ascii="Perpetua" w:eastAsia="Times New Roman" w:hAnsi="Perpetua" w:cs="Open Sans"/>
          <w:color w:val="333333"/>
          <w:kern w:val="0"/>
          <w:sz w:val="16"/>
          <w:szCs w:val="16"/>
          <w:lang w:eastAsia="en-GB"/>
          <w14:ligatures w14:val="none"/>
        </w:rPr>
        <w:t xml:space="preserve">‘Environmental Ethics and Weak Anthropocentrism’ </w:t>
      </w:r>
      <w:r w:rsidR="00E566B0">
        <w:rPr>
          <w:rFonts w:ascii="Perpetua" w:eastAsia="Times New Roman" w:hAnsi="Perpetua" w:cs="Open Sans"/>
          <w:color w:val="333333"/>
          <w:kern w:val="0"/>
          <w:sz w:val="16"/>
          <w:szCs w:val="16"/>
          <w:lang w:eastAsia="en-GB"/>
          <w14:ligatures w14:val="none"/>
        </w:rPr>
        <w:t xml:space="preserve">(cf. later publications) </w:t>
      </w:r>
      <w:r w:rsidRPr="00E566B0">
        <w:rPr>
          <w:rFonts w:ascii="Perpetua" w:eastAsia="Times New Roman" w:hAnsi="Perpetua" w:cs="Open Sans"/>
          <w:color w:val="333333"/>
          <w:kern w:val="0"/>
          <w:sz w:val="16"/>
          <w:szCs w:val="16"/>
          <w:lang w:eastAsia="en-GB"/>
          <w14:ligatures w14:val="none"/>
        </w:rPr>
        <w:t xml:space="preserve">as the start of the convergence hypothesis (suggesting the idea that ‘a WA…would arrive at policy outcomes similar to </w:t>
      </w:r>
      <w:proofErr w:type="spellStart"/>
      <w:r w:rsidRPr="00E566B0">
        <w:rPr>
          <w:rFonts w:ascii="Perpetua" w:eastAsia="Times New Roman" w:hAnsi="Perpetua" w:cs="Open Sans"/>
          <w:color w:val="333333"/>
          <w:kern w:val="0"/>
          <w:sz w:val="16"/>
          <w:szCs w:val="16"/>
          <w:lang w:eastAsia="en-GB"/>
          <w14:ligatures w14:val="none"/>
        </w:rPr>
        <w:t>nonanthropocentric</w:t>
      </w:r>
      <w:proofErr w:type="spellEnd"/>
      <w:r w:rsidRPr="00E566B0">
        <w:rPr>
          <w:rFonts w:ascii="Perpetua" w:eastAsia="Times New Roman" w:hAnsi="Perpetua" w:cs="Open Sans"/>
          <w:color w:val="333333"/>
          <w:kern w:val="0"/>
          <w:sz w:val="16"/>
          <w:szCs w:val="16"/>
          <w:lang w:eastAsia="en-GB"/>
          <w14:ligatures w14:val="none"/>
        </w:rPr>
        <w:t>, holistic environmental ethics while avoiding some of the more difficult metaphysical and moral assumptions.’, p.20).</w:t>
      </w:r>
    </w:p>
  </w:footnote>
  <w:footnote w:id="56">
    <w:p w14:paraId="0AC0E641" w14:textId="7DC3E3C4" w:rsidR="00BE0B55" w:rsidRPr="00E566B0" w:rsidRDefault="00BE0B55" w:rsidP="00E566B0">
      <w:pPr>
        <w:spacing w:after="0" w:line="240" w:lineRule="auto"/>
        <w:jc w:val="both"/>
        <w:rPr>
          <w:rFonts w:ascii="Perpetua" w:hAnsi="Perpetua"/>
          <w:sz w:val="16"/>
          <w:szCs w:val="16"/>
        </w:rPr>
      </w:pPr>
      <w:r w:rsidRPr="00E566B0">
        <w:rPr>
          <w:rStyle w:val="FootnoteReference"/>
          <w:rFonts w:ascii="Perpetua" w:hAnsi="Perpetua"/>
          <w:sz w:val="16"/>
          <w:szCs w:val="16"/>
        </w:rPr>
        <w:footnoteRef/>
      </w:r>
      <w:r w:rsidRPr="00E566B0">
        <w:rPr>
          <w:rFonts w:ascii="Perpetua" w:hAnsi="Perpetua"/>
          <w:sz w:val="16"/>
          <w:szCs w:val="16"/>
        </w:rPr>
        <w:t xml:space="preserve"> </w:t>
      </w:r>
      <w:r w:rsidR="00037BF5" w:rsidRPr="00E566B0">
        <w:rPr>
          <w:rFonts w:ascii="Perpetua" w:hAnsi="Perpetua"/>
          <w:sz w:val="16"/>
          <w:szCs w:val="16"/>
        </w:rPr>
        <w:t xml:space="preserve">pp. 139 – 140 </w:t>
      </w:r>
      <w:r w:rsidRPr="00E566B0">
        <w:rPr>
          <w:rFonts w:ascii="Perpetua" w:hAnsi="Perpetua" w:cs="Times New Roman"/>
          <w:color w:val="2A2A2A"/>
          <w:kern w:val="0"/>
          <w:sz w:val="16"/>
          <w:szCs w:val="16"/>
        </w:rPr>
        <w:t>(‘</w:t>
      </w:r>
      <w:r w:rsidRPr="00E566B0">
        <w:rPr>
          <w:rFonts w:ascii="Perpetua" w:hAnsi="Perpetua"/>
          <w:sz w:val="16"/>
          <w:szCs w:val="16"/>
        </w:rPr>
        <w:t xml:space="preserve">Since most contemporary ethical systems are essentially individualistic, an adequate ethic is distinctive, not by being necessarily anthropocentric…but, rather, by being </w:t>
      </w:r>
      <w:proofErr w:type="spellStart"/>
      <w:r w:rsidRPr="00E566B0">
        <w:rPr>
          <w:rFonts w:ascii="Perpetua" w:hAnsi="Perpetua"/>
          <w:sz w:val="16"/>
          <w:szCs w:val="16"/>
        </w:rPr>
        <w:t>nonindividualistic</w:t>
      </w:r>
      <w:proofErr w:type="spellEnd"/>
      <w:r w:rsidRPr="00E566B0">
        <w:rPr>
          <w:rFonts w:ascii="Perpetua" w:hAnsi="Perpetua"/>
          <w:sz w:val="16"/>
          <w:szCs w:val="16"/>
        </w:rPr>
        <w:t xml:space="preserve">.). </w:t>
      </w:r>
      <w:r w:rsidRPr="00E566B0">
        <w:rPr>
          <w:rFonts w:ascii="Perpetua" w:hAnsi="Perpetua" w:cs="Times New Roman"/>
          <w:color w:val="2A2A2A"/>
          <w:kern w:val="0"/>
          <w:sz w:val="16"/>
          <w:szCs w:val="16"/>
        </w:rPr>
        <w:t xml:space="preserve">e.g. by utilitarianism, there is aggregation but the individual – or value receptacle- is nonetheless the basic unit. By deontology, essentially individualistic rules may form of system of </w:t>
      </w:r>
      <w:proofErr w:type="gramStart"/>
      <w:r w:rsidRPr="00E566B0">
        <w:rPr>
          <w:rFonts w:ascii="Perpetua" w:hAnsi="Perpetua" w:cs="Times New Roman"/>
          <w:color w:val="2A2A2A"/>
          <w:kern w:val="0"/>
          <w:sz w:val="16"/>
          <w:szCs w:val="16"/>
        </w:rPr>
        <w:t>justice</w:t>
      </w:r>
      <w:proofErr w:type="gramEnd"/>
      <w:r w:rsidRPr="00E566B0">
        <w:rPr>
          <w:rFonts w:ascii="Perpetua" w:hAnsi="Perpetua" w:cs="Times New Roman"/>
          <w:color w:val="2A2A2A"/>
          <w:kern w:val="0"/>
          <w:sz w:val="16"/>
          <w:szCs w:val="16"/>
        </w:rPr>
        <w:t xml:space="preserve"> but those systems exist to adjudicate individual’s claims.</w:t>
      </w:r>
    </w:p>
  </w:footnote>
  <w:footnote w:id="57">
    <w:p w14:paraId="52272D0F" w14:textId="150CBAC1" w:rsidR="00037BF5" w:rsidRPr="00E566B0" w:rsidRDefault="00037BF5" w:rsidP="00E566B0">
      <w:pPr>
        <w:pStyle w:val="FootnoteText"/>
        <w:jc w:val="both"/>
        <w:rPr>
          <w:rFonts w:ascii="Perpetua" w:hAnsi="Perpetua"/>
          <w:sz w:val="16"/>
          <w:szCs w:val="16"/>
        </w:rPr>
      </w:pPr>
      <w:r w:rsidRPr="00E566B0">
        <w:rPr>
          <w:rStyle w:val="FootnoteReference"/>
          <w:rFonts w:ascii="Perpetua" w:hAnsi="Perpetua"/>
          <w:sz w:val="16"/>
          <w:szCs w:val="16"/>
        </w:rPr>
        <w:footnoteRef/>
      </w:r>
      <w:r w:rsidR="00E566B0" w:rsidRPr="00E566B0">
        <w:rPr>
          <w:rFonts w:ascii="Perpetua" w:hAnsi="Perpetua"/>
          <w:sz w:val="16"/>
          <w:szCs w:val="16"/>
        </w:rPr>
        <w:t xml:space="preserve"> </w:t>
      </w:r>
      <w:r w:rsidR="00E566B0" w:rsidRPr="00E566B0">
        <w:rPr>
          <w:rFonts w:ascii="Perpetua" w:hAnsi="Perpetua"/>
          <w:sz w:val="16"/>
          <w:szCs w:val="16"/>
        </w:rPr>
        <w:tab/>
      </w:r>
      <w:r w:rsidRPr="00E566B0">
        <w:rPr>
          <w:rFonts w:ascii="Perpetua" w:hAnsi="Perpetua"/>
          <w:sz w:val="16"/>
          <w:szCs w:val="16"/>
        </w:rPr>
        <w:t>p. 140.</w:t>
      </w:r>
    </w:p>
  </w:footnote>
  <w:footnote w:id="58">
    <w:p w14:paraId="722025A4" w14:textId="22ABFC02" w:rsidR="00037BF5" w:rsidRPr="00E566B0" w:rsidRDefault="00037BF5" w:rsidP="00E566B0">
      <w:pPr>
        <w:pStyle w:val="FootnoteText"/>
        <w:jc w:val="both"/>
        <w:rPr>
          <w:rFonts w:ascii="Perpetua" w:hAnsi="Perpetua"/>
          <w:sz w:val="16"/>
          <w:szCs w:val="16"/>
        </w:rPr>
      </w:pPr>
      <w:r w:rsidRPr="00E566B0">
        <w:rPr>
          <w:rStyle w:val="FootnoteReference"/>
          <w:rFonts w:ascii="Perpetua" w:hAnsi="Perpetua"/>
          <w:sz w:val="16"/>
          <w:szCs w:val="16"/>
        </w:rPr>
        <w:footnoteRef/>
      </w:r>
      <w:r w:rsidR="00E566B0" w:rsidRPr="00E566B0">
        <w:rPr>
          <w:rFonts w:ascii="Perpetua" w:hAnsi="Perpetua"/>
          <w:sz w:val="16"/>
          <w:szCs w:val="16"/>
        </w:rPr>
        <w:t xml:space="preserve"> </w:t>
      </w:r>
      <w:r w:rsidR="00E566B0" w:rsidRPr="00E566B0">
        <w:rPr>
          <w:rFonts w:ascii="Perpetua" w:hAnsi="Perpetua"/>
          <w:sz w:val="16"/>
          <w:szCs w:val="16"/>
        </w:rPr>
        <w:tab/>
      </w:r>
      <w:r w:rsidRPr="00E566B0">
        <w:rPr>
          <w:rFonts w:ascii="Perpetua" w:hAnsi="Perpetua"/>
          <w:sz w:val="16"/>
          <w:szCs w:val="16"/>
        </w:rPr>
        <w:t>p. 144.</w:t>
      </w:r>
    </w:p>
  </w:footnote>
  <w:footnote w:id="59">
    <w:p w14:paraId="5BEE9B31" w14:textId="009607C9" w:rsidR="00E566B0" w:rsidRDefault="00E566B0">
      <w:pPr>
        <w:pStyle w:val="FootnoteText"/>
      </w:pPr>
      <w:r w:rsidRPr="00E566B0">
        <w:rPr>
          <w:rStyle w:val="FootnoteReference"/>
          <w:rFonts w:ascii="Perpetua" w:hAnsi="Perpetua"/>
          <w:sz w:val="16"/>
          <w:szCs w:val="16"/>
        </w:rPr>
        <w:footnoteRef/>
      </w:r>
      <w:r w:rsidRPr="00E566B0">
        <w:rPr>
          <w:rFonts w:ascii="Perpetua" w:hAnsi="Perpetua"/>
          <w:sz w:val="16"/>
          <w:szCs w:val="16"/>
        </w:rPr>
        <w:t xml:space="preserve"> </w:t>
      </w:r>
      <w:r w:rsidRPr="00E566B0">
        <w:rPr>
          <w:rFonts w:ascii="Perpetua" w:hAnsi="Perpetua"/>
          <w:sz w:val="16"/>
          <w:szCs w:val="16"/>
        </w:rPr>
        <w:tab/>
        <w:t>p. 144.</w:t>
      </w:r>
    </w:p>
  </w:footnote>
  <w:footnote w:id="60">
    <w:p w14:paraId="31452001" w14:textId="45D4DE7F" w:rsidR="00BE0B55" w:rsidRPr="00F44636" w:rsidRDefault="00BE0B55" w:rsidP="00BE0B55">
      <w:pPr>
        <w:pStyle w:val="FootnoteText"/>
        <w:rPr>
          <w:rFonts w:ascii="Perpetua" w:hAnsi="Perpetua"/>
          <w:sz w:val="16"/>
          <w:szCs w:val="16"/>
        </w:rPr>
      </w:pPr>
      <w:r w:rsidRPr="00F44636">
        <w:rPr>
          <w:rStyle w:val="FootnoteReference"/>
          <w:rFonts w:ascii="Perpetua" w:hAnsi="Perpetua"/>
          <w:sz w:val="16"/>
          <w:szCs w:val="16"/>
        </w:rPr>
        <w:footnoteRef/>
      </w:r>
      <w:r w:rsidRPr="00F44636">
        <w:rPr>
          <w:rFonts w:ascii="Perpetua" w:hAnsi="Perpetua"/>
          <w:sz w:val="16"/>
          <w:szCs w:val="16"/>
        </w:rPr>
        <w:t xml:space="preserve"> </w:t>
      </w:r>
      <w:r w:rsidR="00E566B0">
        <w:rPr>
          <w:rFonts w:ascii="Perpetua" w:hAnsi="Perpetua"/>
          <w:sz w:val="16"/>
          <w:szCs w:val="16"/>
        </w:rPr>
        <w:t>p. 144.</w:t>
      </w:r>
      <w:r w:rsidRPr="00F44636">
        <w:rPr>
          <w:rFonts w:ascii="Perpetua" w:hAnsi="Perpetua"/>
          <w:sz w:val="16"/>
          <w:szCs w:val="16"/>
        </w:rPr>
        <w:t xml:space="preserve">An ethic of resource allocation applies to renewable and non-renewable resources. As to the latter, there is no obligation to maintain a fixed </w:t>
      </w:r>
      <w:proofErr w:type="gramStart"/>
      <w:r w:rsidRPr="00F44636">
        <w:rPr>
          <w:rFonts w:ascii="Perpetua" w:hAnsi="Perpetua"/>
          <w:sz w:val="16"/>
          <w:szCs w:val="16"/>
        </w:rPr>
        <w:t>amount</w:t>
      </w:r>
      <w:proofErr w:type="gramEnd"/>
      <w:r w:rsidRPr="00F44636">
        <w:rPr>
          <w:rFonts w:ascii="Perpetua" w:hAnsi="Perpetua"/>
          <w:sz w:val="16"/>
          <w:szCs w:val="16"/>
        </w:rPr>
        <w:t xml:space="preserve"> but the obligation is to maintain a stable level available for use. </w:t>
      </w:r>
      <w:proofErr w:type="spellStart"/>
      <w:r w:rsidRPr="00F44636">
        <w:rPr>
          <w:rFonts w:ascii="Perpetua" w:hAnsi="Perpetua"/>
          <w:sz w:val="16"/>
          <w:szCs w:val="16"/>
        </w:rPr>
        <w:t>Nonrenewable</w:t>
      </w:r>
      <w:proofErr w:type="spellEnd"/>
      <w:r w:rsidRPr="00F44636">
        <w:rPr>
          <w:rFonts w:ascii="Perpetua" w:hAnsi="Perpetua"/>
          <w:sz w:val="16"/>
          <w:szCs w:val="16"/>
        </w:rPr>
        <w:t xml:space="preserve"> resources can be used up by a current generation if they supply suitable substitutes.</w:t>
      </w:r>
    </w:p>
  </w:footnote>
  <w:footnote w:id="61">
    <w:p w14:paraId="43E99D48" w14:textId="33F3D95F" w:rsidR="00BE0B55" w:rsidRDefault="00BE0B55" w:rsidP="00BE0B55">
      <w:pPr>
        <w:pStyle w:val="FootnoteText"/>
      </w:pPr>
      <w:r w:rsidRPr="00F44636">
        <w:rPr>
          <w:rStyle w:val="FootnoteReference"/>
          <w:rFonts w:ascii="Perpetua" w:hAnsi="Perpetua"/>
          <w:sz w:val="16"/>
          <w:szCs w:val="16"/>
        </w:rPr>
        <w:footnoteRef/>
      </w:r>
      <w:r w:rsidRPr="00F44636">
        <w:rPr>
          <w:rFonts w:ascii="Perpetua" w:hAnsi="Perpetua"/>
          <w:sz w:val="16"/>
          <w:szCs w:val="16"/>
        </w:rPr>
        <w:t xml:space="preserve"> </w:t>
      </w:r>
      <w:r w:rsidR="00E566B0">
        <w:rPr>
          <w:rFonts w:ascii="Perpetua" w:hAnsi="Perpetua"/>
          <w:sz w:val="16"/>
          <w:szCs w:val="16"/>
        </w:rPr>
        <w:t xml:space="preserve">ibid. </w:t>
      </w:r>
      <w:r w:rsidRPr="00F44636">
        <w:rPr>
          <w:rFonts w:ascii="Perpetua" w:hAnsi="Perpetua"/>
          <w:sz w:val="16"/>
          <w:szCs w:val="16"/>
        </w:rPr>
        <w:t xml:space="preserve">How could they be if </w:t>
      </w:r>
      <w:proofErr w:type="spellStart"/>
      <w:r w:rsidRPr="00F44636">
        <w:rPr>
          <w:rFonts w:ascii="Perpetua" w:hAnsi="Perpetua"/>
          <w:sz w:val="16"/>
          <w:szCs w:val="16"/>
        </w:rPr>
        <w:t>Parfit’s</w:t>
      </w:r>
      <w:proofErr w:type="spellEnd"/>
      <w:r w:rsidRPr="00F44636">
        <w:rPr>
          <w:rFonts w:ascii="Perpetua" w:hAnsi="Perpetua"/>
          <w:sz w:val="16"/>
          <w:szCs w:val="16"/>
        </w:rPr>
        <w:t xml:space="preserve"> paradox is true?</w:t>
      </w:r>
    </w:p>
  </w:footnote>
  <w:footnote w:id="62">
    <w:p w14:paraId="4E2398DC" w14:textId="428B49F7" w:rsidR="00E566B0" w:rsidRPr="00DE2A50" w:rsidRDefault="00E566B0">
      <w:pPr>
        <w:pStyle w:val="FootnoteText"/>
        <w:rPr>
          <w:rFonts w:ascii="Perpetua" w:hAnsi="Perpetua"/>
          <w:sz w:val="16"/>
          <w:szCs w:val="16"/>
        </w:rPr>
      </w:pPr>
      <w:r w:rsidRPr="00DE2A50">
        <w:rPr>
          <w:rStyle w:val="FootnoteReference"/>
          <w:rFonts w:ascii="Perpetua" w:hAnsi="Perpetua"/>
          <w:sz w:val="16"/>
          <w:szCs w:val="16"/>
        </w:rPr>
        <w:footnoteRef/>
      </w:r>
      <w:r w:rsidRPr="00DE2A50">
        <w:rPr>
          <w:rFonts w:ascii="Perpetua" w:hAnsi="Perpetua"/>
          <w:sz w:val="16"/>
          <w:szCs w:val="16"/>
        </w:rPr>
        <w:t xml:space="preserve"> p.</w:t>
      </w:r>
      <w:r w:rsidR="00DE2A50">
        <w:rPr>
          <w:rFonts w:ascii="Perpetua" w:hAnsi="Perpetua"/>
          <w:sz w:val="16"/>
          <w:szCs w:val="16"/>
        </w:rPr>
        <w:t xml:space="preserve"> </w:t>
      </w:r>
      <w:r w:rsidRPr="00DE2A50">
        <w:rPr>
          <w:rFonts w:ascii="Perpetua" w:hAnsi="Perpetua"/>
          <w:sz w:val="16"/>
          <w:szCs w:val="16"/>
        </w:rPr>
        <w:t>148.</w:t>
      </w:r>
    </w:p>
  </w:footnote>
  <w:footnote w:id="63">
    <w:p w14:paraId="5A837685" w14:textId="5F38F660" w:rsidR="008306C6" w:rsidRDefault="008306C6">
      <w:pPr>
        <w:pStyle w:val="FootnoteText"/>
      </w:pPr>
      <w:r w:rsidRPr="00DE2A50">
        <w:rPr>
          <w:rStyle w:val="FootnoteReference"/>
          <w:rFonts w:ascii="Perpetua" w:hAnsi="Perpetua"/>
          <w:sz w:val="16"/>
          <w:szCs w:val="16"/>
        </w:rPr>
        <w:footnoteRef/>
      </w:r>
      <w:r w:rsidRPr="00DE2A50">
        <w:rPr>
          <w:rFonts w:ascii="Perpetua" w:hAnsi="Perpetua"/>
          <w:sz w:val="16"/>
          <w:szCs w:val="16"/>
        </w:rPr>
        <w:t xml:space="preserve"> p. 142.</w:t>
      </w:r>
    </w:p>
  </w:footnote>
  <w:footnote w:id="64">
    <w:p w14:paraId="7443A19A" w14:textId="0CEE84CF" w:rsidR="00BE0B55" w:rsidRPr="00DE2A50" w:rsidRDefault="00BE0B55" w:rsidP="00DE2A50">
      <w:pPr>
        <w:pStyle w:val="FootnoteText"/>
        <w:jc w:val="both"/>
        <w:rPr>
          <w:rFonts w:ascii="Perpetua" w:hAnsi="Perpetua"/>
          <w:sz w:val="16"/>
          <w:szCs w:val="16"/>
        </w:rPr>
      </w:pPr>
      <w:r w:rsidRPr="00DE2A50">
        <w:rPr>
          <w:rStyle w:val="FootnoteReference"/>
          <w:rFonts w:ascii="Perpetua" w:hAnsi="Perpetua"/>
          <w:sz w:val="16"/>
          <w:szCs w:val="16"/>
        </w:rPr>
        <w:footnoteRef/>
      </w:r>
      <w:r w:rsidRPr="00DE2A50">
        <w:rPr>
          <w:rFonts w:ascii="Perpetua" w:hAnsi="Perpetua"/>
          <w:sz w:val="16"/>
          <w:szCs w:val="16"/>
        </w:rPr>
        <w:t xml:space="preserve"> Quite how hard the Quasi-Realist </w:t>
      </w:r>
      <w:proofErr w:type="gramStart"/>
      <w:r w:rsidRPr="00DE2A50">
        <w:rPr>
          <w:rFonts w:ascii="Perpetua" w:hAnsi="Perpetua"/>
          <w:sz w:val="16"/>
          <w:szCs w:val="16"/>
        </w:rPr>
        <w:t>has to</w:t>
      </w:r>
      <w:proofErr w:type="gramEnd"/>
      <w:r w:rsidRPr="00DE2A50">
        <w:rPr>
          <w:rFonts w:ascii="Perpetua" w:hAnsi="Perpetua"/>
          <w:sz w:val="16"/>
          <w:szCs w:val="16"/>
        </w:rPr>
        <w:t xml:space="preserve"> work or thinks they </w:t>
      </w:r>
      <w:proofErr w:type="gramStart"/>
      <w:r w:rsidRPr="00DE2A50">
        <w:rPr>
          <w:rFonts w:ascii="Perpetua" w:hAnsi="Perpetua"/>
          <w:sz w:val="16"/>
          <w:szCs w:val="16"/>
        </w:rPr>
        <w:t>have to</w:t>
      </w:r>
      <w:proofErr w:type="gramEnd"/>
      <w:r w:rsidRPr="00DE2A50">
        <w:rPr>
          <w:rFonts w:ascii="Perpetua" w:hAnsi="Perpetua"/>
          <w:sz w:val="16"/>
          <w:szCs w:val="16"/>
        </w:rPr>
        <w:t xml:space="preserve"> work will depend. At their most demanding, a realist might insist they prove non-cognitivism, solve the Frege-Geach problem and</w:t>
      </w:r>
      <w:r w:rsidR="00E566B0" w:rsidRPr="00DE2A50">
        <w:rPr>
          <w:rFonts w:ascii="Perpetua" w:hAnsi="Perpetua"/>
          <w:sz w:val="16"/>
          <w:szCs w:val="16"/>
        </w:rPr>
        <w:t xml:space="preserve"> supply</w:t>
      </w:r>
      <w:r w:rsidRPr="00DE2A50">
        <w:rPr>
          <w:rFonts w:ascii="Perpetua" w:hAnsi="Perpetua"/>
          <w:sz w:val="16"/>
          <w:szCs w:val="16"/>
        </w:rPr>
        <w:t xml:space="preserve"> a comprehensive semantic account. The realist might also suggest that all the Quasi-realist is doing is helping themselves to a dubious and deflationary theory of truth and, in the </w:t>
      </w:r>
      <w:r w:rsidR="00E566B0" w:rsidRPr="00DE2A50">
        <w:rPr>
          <w:rFonts w:ascii="Perpetua" w:hAnsi="Perpetua"/>
          <w:sz w:val="16"/>
          <w:szCs w:val="16"/>
        </w:rPr>
        <w:t xml:space="preserve">unlikely </w:t>
      </w:r>
      <w:r w:rsidRPr="00DE2A50">
        <w:rPr>
          <w:rFonts w:ascii="Perpetua" w:hAnsi="Perpetua"/>
          <w:sz w:val="16"/>
          <w:szCs w:val="16"/>
        </w:rPr>
        <w:t xml:space="preserve">event of success, suggest QR has collapsed into realism. A pragmatic, global </w:t>
      </w:r>
      <w:proofErr w:type="spellStart"/>
      <w:r w:rsidRPr="00DE2A50">
        <w:rPr>
          <w:rFonts w:ascii="Perpetua" w:hAnsi="Perpetua"/>
          <w:sz w:val="16"/>
          <w:szCs w:val="16"/>
        </w:rPr>
        <w:t>expressivism</w:t>
      </w:r>
      <w:proofErr w:type="spellEnd"/>
      <w:r w:rsidRPr="00DE2A50">
        <w:rPr>
          <w:rFonts w:ascii="Perpetua" w:hAnsi="Perpetua"/>
          <w:sz w:val="16"/>
          <w:szCs w:val="16"/>
        </w:rPr>
        <w:t xml:space="preserve"> might </w:t>
      </w:r>
      <w:r w:rsidRPr="00DE2A50">
        <w:rPr>
          <w:rFonts w:ascii="Perpetua" w:hAnsi="Perpetua"/>
          <w:sz w:val="16"/>
          <w:szCs w:val="16"/>
        </w:rPr>
        <w:t xml:space="preserve">provide </w:t>
      </w:r>
      <w:r w:rsidRPr="00DE2A50">
        <w:rPr>
          <w:rFonts w:ascii="Perpetua" w:hAnsi="Perpetua"/>
          <w:sz w:val="16"/>
          <w:szCs w:val="16"/>
        </w:rPr>
        <w:t xml:space="preserve">another counterpoint. </w:t>
      </w:r>
    </w:p>
  </w:footnote>
  <w:footnote w:id="65">
    <w:p w14:paraId="7DC52012" w14:textId="2B22847C" w:rsidR="002C5337" w:rsidRPr="00DE2A50" w:rsidRDefault="002C5337" w:rsidP="00DE2A50">
      <w:pPr>
        <w:pStyle w:val="FootnoteText"/>
        <w:jc w:val="both"/>
        <w:rPr>
          <w:rFonts w:ascii="Perpetua" w:hAnsi="Perpetua"/>
          <w:sz w:val="16"/>
          <w:szCs w:val="16"/>
        </w:rPr>
      </w:pPr>
      <w:r w:rsidRPr="00DE2A50">
        <w:rPr>
          <w:rStyle w:val="FootnoteReference"/>
          <w:rFonts w:ascii="Perpetua" w:hAnsi="Perpetua"/>
          <w:sz w:val="16"/>
          <w:szCs w:val="16"/>
        </w:rPr>
        <w:footnoteRef/>
      </w:r>
      <w:r w:rsidRPr="00DE2A50">
        <w:rPr>
          <w:rFonts w:ascii="Perpetua" w:hAnsi="Perpetua"/>
          <w:sz w:val="16"/>
          <w:szCs w:val="16"/>
        </w:rPr>
        <w:t xml:space="preserve"> </w:t>
      </w:r>
      <w:r w:rsidR="00DE2A50" w:rsidRPr="00DE2A50">
        <w:rPr>
          <w:rFonts w:ascii="Perpetua" w:hAnsi="Perpetua"/>
          <w:sz w:val="16"/>
          <w:szCs w:val="16"/>
        </w:rPr>
        <w:t xml:space="preserve">For views about the later/current significance of the discussion: see </w:t>
      </w:r>
      <w:r w:rsidRPr="00DE2A50">
        <w:rPr>
          <w:rFonts w:ascii="Perpetua" w:hAnsi="Perpetua"/>
          <w:color w:val="000000" w:themeColor="text1"/>
          <w:sz w:val="16"/>
          <w:szCs w:val="16"/>
        </w:rPr>
        <w:t>K. McShane</w:t>
      </w:r>
      <w:r w:rsidR="00DE2A50" w:rsidRPr="00DE2A50">
        <w:rPr>
          <w:rFonts w:ascii="Perpetua" w:hAnsi="Perpetua"/>
          <w:color w:val="000000" w:themeColor="text1"/>
          <w:sz w:val="16"/>
          <w:szCs w:val="16"/>
        </w:rPr>
        <w:t xml:space="preserve"> (2007), (2009); Kawall (2015); Light (2002); Thompson (2015). See also R. Attfield, ‘Beyond Anthropocentrism’, </w:t>
      </w:r>
      <w:r w:rsidR="00DE2A50" w:rsidRPr="00DE2A50">
        <w:rPr>
          <w:rFonts w:ascii="Perpetua" w:hAnsi="Perpetua"/>
          <w:i/>
          <w:iCs/>
          <w:color w:val="000000" w:themeColor="text1"/>
          <w:sz w:val="16"/>
          <w:szCs w:val="16"/>
        </w:rPr>
        <w:t xml:space="preserve">Royal Institute of Philosophy Supplement </w:t>
      </w:r>
      <w:r w:rsidR="00DE2A50" w:rsidRPr="00DE2A50">
        <w:rPr>
          <w:rFonts w:ascii="Perpetua" w:hAnsi="Perpetua"/>
          <w:color w:val="000000" w:themeColor="text1"/>
          <w:sz w:val="16"/>
          <w:szCs w:val="16"/>
        </w:rPr>
        <w:t>69 (2011)</w:t>
      </w:r>
      <w:r w:rsidR="00574D6E">
        <w:rPr>
          <w:rFonts w:ascii="Perpetua" w:hAnsi="Perpetua"/>
          <w:color w:val="000000" w:themeColor="text1"/>
          <w:sz w:val="16"/>
          <w:szCs w:val="16"/>
        </w:rPr>
        <w:t>, pp. 29 - 46</w:t>
      </w:r>
      <w:r w:rsidR="00DE2A50" w:rsidRPr="00DE2A50">
        <w:rPr>
          <w:rFonts w:ascii="Perpetua" w:hAnsi="Perpetua"/>
          <w:color w:val="000000" w:themeColor="text1"/>
          <w:sz w:val="16"/>
          <w:szCs w:val="16"/>
        </w:rPr>
        <w:t>.</w:t>
      </w:r>
      <w:r w:rsidRPr="00DE2A50">
        <w:rPr>
          <w:rFonts w:ascii="Perpetua" w:hAnsi="Perpetua"/>
          <w:color w:val="000000" w:themeColor="text1"/>
          <w:sz w:val="16"/>
          <w:szCs w:val="16"/>
        </w:rPr>
        <w:t xml:space="preserve"> </w:t>
      </w:r>
    </w:p>
  </w:footnote>
  <w:footnote w:id="66">
    <w:p w14:paraId="0F8435C3" w14:textId="7F591F85" w:rsidR="00BE0B55" w:rsidRPr="00E068FF" w:rsidRDefault="00BE0B55" w:rsidP="00DE2A50">
      <w:pPr>
        <w:pStyle w:val="FootnoteText"/>
        <w:jc w:val="both"/>
      </w:pPr>
      <w:r w:rsidRPr="00DE2A50">
        <w:rPr>
          <w:rStyle w:val="FootnoteReference"/>
          <w:rFonts w:ascii="Perpetua" w:hAnsi="Perpetua"/>
          <w:sz w:val="16"/>
          <w:szCs w:val="16"/>
        </w:rPr>
        <w:footnoteRef/>
      </w:r>
      <w:r w:rsidRPr="00DE2A50">
        <w:rPr>
          <w:rFonts w:ascii="Perpetua" w:hAnsi="Perpetua"/>
          <w:sz w:val="16"/>
          <w:szCs w:val="16"/>
        </w:rPr>
        <w:t xml:space="preserve"> </w:t>
      </w:r>
      <w:r w:rsidR="002C5337" w:rsidRPr="00DE2A50">
        <w:rPr>
          <w:rFonts w:ascii="Perpetua" w:hAnsi="Perpetua"/>
          <w:color w:val="000000" w:themeColor="text1"/>
          <w:sz w:val="16"/>
          <w:szCs w:val="16"/>
        </w:rPr>
        <w:t xml:space="preserve">K. McShane, ‘Anthropocentrism vs. </w:t>
      </w:r>
      <w:proofErr w:type="spellStart"/>
      <w:r w:rsidR="002C5337" w:rsidRPr="00DE2A50">
        <w:rPr>
          <w:rFonts w:ascii="Perpetua" w:hAnsi="Perpetua"/>
          <w:color w:val="000000" w:themeColor="text1"/>
          <w:sz w:val="16"/>
          <w:szCs w:val="16"/>
        </w:rPr>
        <w:t>Nonanthropocentrism</w:t>
      </w:r>
      <w:proofErr w:type="spellEnd"/>
      <w:r w:rsidR="002C5337" w:rsidRPr="00DE2A50">
        <w:rPr>
          <w:rFonts w:ascii="Perpetua" w:hAnsi="Perpetua"/>
          <w:color w:val="000000" w:themeColor="text1"/>
          <w:sz w:val="16"/>
          <w:szCs w:val="16"/>
        </w:rPr>
        <w:t xml:space="preserve">: Why Should We Care?’, </w:t>
      </w:r>
      <w:r w:rsidR="002C5337" w:rsidRPr="00DE2A50">
        <w:rPr>
          <w:rFonts w:ascii="Perpetua" w:hAnsi="Perpetua"/>
          <w:i/>
          <w:color w:val="000000" w:themeColor="text1"/>
          <w:sz w:val="16"/>
          <w:szCs w:val="16"/>
        </w:rPr>
        <w:t xml:space="preserve">Environmental Values </w:t>
      </w:r>
      <w:r w:rsidR="002C5337" w:rsidRPr="00DE2A50">
        <w:rPr>
          <w:rFonts w:ascii="Perpetua" w:hAnsi="Perpetua"/>
          <w:iCs/>
          <w:color w:val="000000" w:themeColor="text1"/>
          <w:sz w:val="16"/>
          <w:szCs w:val="16"/>
        </w:rPr>
        <w:t>16 (2007), pp. 169 – 185.</w:t>
      </w:r>
    </w:p>
  </w:footnote>
  <w:footnote w:id="67">
    <w:p w14:paraId="1975494A" w14:textId="77777777" w:rsidR="009C34C2" w:rsidRPr="00414A2A" w:rsidRDefault="009C34C2" w:rsidP="009C34C2">
      <w:pPr>
        <w:pStyle w:val="FootnoteText"/>
        <w:rPr>
          <w:rFonts w:ascii="Perpetua" w:hAnsi="Perpetua"/>
          <w:sz w:val="16"/>
          <w:szCs w:val="16"/>
        </w:rPr>
      </w:pPr>
      <w:r w:rsidRPr="00414A2A">
        <w:rPr>
          <w:rStyle w:val="FootnoteReference"/>
          <w:rFonts w:ascii="Perpetua" w:hAnsi="Perpetua"/>
          <w:sz w:val="16"/>
          <w:szCs w:val="16"/>
        </w:rPr>
        <w:footnoteRef/>
      </w:r>
      <w:r w:rsidRPr="00414A2A">
        <w:rPr>
          <w:rFonts w:ascii="Perpetua" w:hAnsi="Perpetua"/>
          <w:sz w:val="16"/>
          <w:szCs w:val="16"/>
        </w:rPr>
        <w:t xml:space="preserve"> M. Midgley, </w:t>
      </w:r>
      <w:r w:rsidRPr="00414A2A">
        <w:rPr>
          <w:rFonts w:ascii="Perpetua" w:hAnsi="Perpetua"/>
          <w:i/>
          <w:iCs/>
          <w:sz w:val="16"/>
          <w:szCs w:val="16"/>
        </w:rPr>
        <w:t xml:space="preserve">Animals and Why They Matter </w:t>
      </w:r>
      <w:r w:rsidRPr="00414A2A">
        <w:rPr>
          <w:rFonts w:ascii="Perpetua" w:hAnsi="Perpetua"/>
          <w:sz w:val="16"/>
          <w:szCs w:val="16"/>
        </w:rPr>
        <w:t>(Athens: University of Georgia Press, 1983)</w:t>
      </w:r>
      <w:r>
        <w:rPr>
          <w:rFonts w:ascii="Perpetua" w:hAnsi="Perpetua"/>
          <w:sz w:val="16"/>
          <w:szCs w:val="16"/>
        </w:rPr>
        <w:t xml:space="preserve"> (“AAWTM”)</w:t>
      </w:r>
      <w:r w:rsidRPr="00414A2A">
        <w:rPr>
          <w:rFonts w:ascii="Perpetua" w:hAnsi="Perpetua"/>
          <w:sz w:val="16"/>
          <w:szCs w:val="16"/>
        </w:rPr>
        <w:t xml:space="preserve">. </w:t>
      </w:r>
    </w:p>
  </w:footnote>
  <w:footnote w:id="68">
    <w:p w14:paraId="4389695C" w14:textId="7ADDFBCF" w:rsidR="009C34C2" w:rsidRPr="00414A2A" w:rsidRDefault="009C34C2" w:rsidP="009C34C2">
      <w:pPr>
        <w:pStyle w:val="FootnoteText"/>
        <w:jc w:val="both"/>
        <w:rPr>
          <w:rFonts w:ascii="Perpetua" w:hAnsi="Perpetua"/>
          <w:sz w:val="16"/>
          <w:szCs w:val="16"/>
        </w:rPr>
      </w:pPr>
      <w:r w:rsidRPr="00414A2A">
        <w:rPr>
          <w:rStyle w:val="FootnoteReference"/>
          <w:rFonts w:ascii="Perpetua" w:hAnsi="Perpetua"/>
          <w:sz w:val="16"/>
          <w:szCs w:val="16"/>
        </w:rPr>
        <w:footnoteRef/>
      </w:r>
      <w:r w:rsidRPr="00414A2A">
        <w:rPr>
          <w:rFonts w:ascii="Perpetua" w:hAnsi="Perpetua"/>
          <w:sz w:val="16"/>
          <w:szCs w:val="16"/>
        </w:rPr>
        <w:t xml:space="preserve"> Animal liberationist meaning here the welfare and rights-based approaches of P. Singer and T. Regan (i.e. individualistic theories). I refer to ‘deep ecology’ per Midgley’s ‘Beasts v the Biosphere’. It can be taken to refer to environmental holist positions generally. It would be wrong to imply that the debate was somehow only between Naess and Singer. ‘Environmental’ at the time was often taken to mean ‘holist’/deep ecology etc. The best-known article on the debate is/remains, of course, J.B. Callicott’s ‘Animal Liberation: A Triangular Affair’, </w:t>
      </w:r>
      <w:r w:rsidRPr="00414A2A">
        <w:rPr>
          <w:rFonts w:ascii="Perpetua" w:hAnsi="Perpetua"/>
          <w:i/>
          <w:iCs/>
          <w:sz w:val="16"/>
          <w:szCs w:val="16"/>
        </w:rPr>
        <w:t>Environmental Ethics</w:t>
      </w:r>
      <w:r w:rsidRPr="00414A2A">
        <w:rPr>
          <w:rFonts w:ascii="Perpetua" w:hAnsi="Perpetua"/>
          <w:sz w:val="16"/>
          <w:szCs w:val="16"/>
        </w:rPr>
        <w:t xml:space="preserve">, Vol. 2 (1980), pp. 311 -38. Similarly famous, his change of position. See J.B. Callicott, ‘Animal Liberation and Environmental Ethics: Back Together Again’, </w:t>
      </w:r>
      <w:r w:rsidRPr="00414A2A">
        <w:rPr>
          <w:rFonts w:ascii="Perpetua" w:hAnsi="Perpetua"/>
          <w:i/>
          <w:iCs/>
          <w:sz w:val="16"/>
          <w:szCs w:val="16"/>
        </w:rPr>
        <w:t>Between the Species</w:t>
      </w:r>
      <w:r w:rsidRPr="00414A2A">
        <w:rPr>
          <w:rFonts w:ascii="Perpetua" w:hAnsi="Perpetua"/>
          <w:sz w:val="16"/>
          <w:szCs w:val="16"/>
        </w:rPr>
        <w:t xml:space="preserve">, Vol. 4, Issue 3 (1988), pp. 163 – 169. See also J.B. Callicott, ‘The Search for an Environmental Ethic’ in </w:t>
      </w:r>
      <w:proofErr w:type="spellStart"/>
      <w:proofErr w:type="gramStart"/>
      <w:r w:rsidRPr="00414A2A">
        <w:rPr>
          <w:rFonts w:ascii="Perpetua" w:hAnsi="Perpetua"/>
          <w:sz w:val="16"/>
          <w:szCs w:val="16"/>
        </w:rPr>
        <w:t>T.Regan</w:t>
      </w:r>
      <w:proofErr w:type="spellEnd"/>
      <w:proofErr w:type="gramEnd"/>
      <w:r w:rsidRPr="00414A2A">
        <w:rPr>
          <w:rFonts w:ascii="Perpetua" w:hAnsi="Perpetua"/>
          <w:sz w:val="16"/>
          <w:szCs w:val="16"/>
        </w:rPr>
        <w:t xml:space="preserve"> (ed.), </w:t>
      </w:r>
      <w:r w:rsidRPr="00414A2A">
        <w:rPr>
          <w:rFonts w:ascii="Perpetua" w:hAnsi="Perpetua"/>
          <w:i/>
          <w:iCs/>
          <w:sz w:val="16"/>
          <w:szCs w:val="16"/>
        </w:rPr>
        <w:t xml:space="preserve">Matters of Life and Death: New Introductory Essays in Moral Philosophy </w:t>
      </w:r>
      <w:r w:rsidRPr="00414A2A">
        <w:rPr>
          <w:rFonts w:ascii="Perpetua" w:hAnsi="Perpetua"/>
          <w:sz w:val="16"/>
          <w:szCs w:val="16"/>
        </w:rPr>
        <w:t>3</w:t>
      </w:r>
      <w:r w:rsidRPr="00414A2A">
        <w:rPr>
          <w:rFonts w:ascii="Perpetua" w:hAnsi="Perpetua"/>
          <w:sz w:val="16"/>
          <w:szCs w:val="16"/>
          <w:vertAlign w:val="superscript"/>
        </w:rPr>
        <w:t>rd</w:t>
      </w:r>
      <w:r w:rsidRPr="00414A2A">
        <w:rPr>
          <w:rFonts w:ascii="Perpetua" w:hAnsi="Perpetua"/>
          <w:sz w:val="16"/>
          <w:szCs w:val="16"/>
        </w:rPr>
        <w:t>. edition (New York: McGraw-Hill, 1993)</w:t>
      </w:r>
      <w:r w:rsidR="00131424">
        <w:rPr>
          <w:rFonts w:ascii="Perpetua" w:hAnsi="Perpetua"/>
          <w:sz w:val="16"/>
          <w:szCs w:val="16"/>
        </w:rPr>
        <w:t>, pp. 322 – 382</w:t>
      </w:r>
      <w:r w:rsidRPr="00414A2A">
        <w:rPr>
          <w:rFonts w:ascii="Perpetua" w:hAnsi="Perpetua"/>
          <w:sz w:val="16"/>
          <w:szCs w:val="16"/>
        </w:rPr>
        <w:t xml:space="preserve">.   </w:t>
      </w:r>
    </w:p>
    <w:p w14:paraId="099BC139" w14:textId="74D56E95" w:rsidR="009C34C2" w:rsidRPr="00414A2A" w:rsidRDefault="009C34C2" w:rsidP="009C34C2">
      <w:pPr>
        <w:pStyle w:val="FootnoteText"/>
        <w:jc w:val="both"/>
        <w:rPr>
          <w:rFonts w:ascii="Perpetua" w:hAnsi="Perpetua"/>
          <w:sz w:val="16"/>
          <w:szCs w:val="16"/>
        </w:rPr>
      </w:pPr>
      <w:r w:rsidRPr="00414A2A">
        <w:rPr>
          <w:rFonts w:ascii="Perpetua" w:hAnsi="Perpetua"/>
          <w:sz w:val="16"/>
          <w:szCs w:val="16"/>
        </w:rPr>
        <w:t>To note: (</w:t>
      </w:r>
      <w:proofErr w:type="spellStart"/>
      <w:r w:rsidRPr="00414A2A">
        <w:rPr>
          <w:rFonts w:ascii="Perpetua" w:hAnsi="Perpetua"/>
          <w:sz w:val="16"/>
          <w:szCs w:val="16"/>
        </w:rPr>
        <w:t>i</w:t>
      </w:r>
      <w:proofErr w:type="spellEnd"/>
      <w:r w:rsidRPr="00414A2A">
        <w:rPr>
          <w:rFonts w:ascii="Perpetua" w:hAnsi="Perpetua"/>
          <w:sz w:val="16"/>
          <w:szCs w:val="16"/>
        </w:rPr>
        <w:t xml:space="preserve">) The three points of Callicott’s triangle are </w:t>
      </w:r>
      <w:proofErr w:type="gramStart"/>
      <w:r w:rsidRPr="00414A2A">
        <w:rPr>
          <w:rFonts w:ascii="Perpetua" w:hAnsi="Perpetua"/>
          <w:sz w:val="16"/>
          <w:szCs w:val="16"/>
        </w:rPr>
        <w:t>all of</w:t>
      </w:r>
      <w:proofErr w:type="gramEnd"/>
      <w:r w:rsidRPr="00414A2A">
        <w:rPr>
          <w:rFonts w:ascii="Perpetua" w:hAnsi="Perpetua"/>
          <w:sz w:val="16"/>
          <w:szCs w:val="16"/>
        </w:rPr>
        <w:t xml:space="preserve"> his own depiction, (ii</w:t>
      </w:r>
      <w:proofErr w:type="gramStart"/>
      <w:r w:rsidRPr="00414A2A">
        <w:rPr>
          <w:rFonts w:ascii="Perpetua" w:hAnsi="Perpetua"/>
          <w:sz w:val="16"/>
          <w:szCs w:val="16"/>
        </w:rPr>
        <w:t>)  As</w:t>
      </w:r>
      <w:proofErr w:type="gramEnd"/>
      <w:r w:rsidRPr="00414A2A">
        <w:rPr>
          <w:rFonts w:ascii="Perpetua" w:hAnsi="Perpetua"/>
          <w:sz w:val="16"/>
          <w:szCs w:val="16"/>
        </w:rPr>
        <w:t xml:space="preserve"> in Midgley’s article, animal/environmental normally feature as a binary. This can occlude the anthropocentric involvement in the debate that took place between the two other points of the triangle. </w:t>
      </w:r>
      <w:r w:rsidR="00131424">
        <w:rPr>
          <w:rFonts w:ascii="Perpetua" w:hAnsi="Perpetua"/>
          <w:sz w:val="16"/>
          <w:szCs w:val="16"/>
        </w:rPr>
        <w:t xml:space="preserve">For instance, it </w:t>
      </w:r>
      <w:proofErr w:type="gramStart"/>
      <w:r w:rsidR="00131424">
        <w:rPr>
          <w:rFonts w:ascii="Perpetua" w:hAnsi="Perpetua"/>
          <w:sz w:val="16"/>
          <w:szCs w:val="16"/>
        </w:rPr>
        <w:t xml:space="preserve">was </w:t>
      </w:r>
      <w:r w:rsidRPr="00414A2A">
        <w:rPr>
          <w:rFonts w:ascii="Perpetua" w:hAnsi="Perpetua"/>
          <w:sz w:val="16"/>
          <w:szCs w:val="16"/>
        </w:rPr>
        <w:t xml:space="preserve"> Mark</w:t>
      </w:r>
      <w:proofErr w:type="gramEnd"/>
      <w:r w:rsidRPr="00414A2A">
        <w:rPr>
          <w:rFonts w:ascii="Perpetua" w:hAnsi="Perpetua"/>
          <w:sz w:val="16"/>
          <w:szCs w:val="16"/>
        </w:rPr>
        <w:t xml:space="preserve"> Sagoff, an </w:t>
      </w:r>
      <w:proofErr w:type="spellStart"/>
      <w:r w:rsidRPr="00414A2A">
        <w:rPr>
          <w:rFonts w:ascii="Perpetua" w:hAnsi="Perpetua"/>
          <w:sz w:val="16"/>
          <w:szCs w:val="16"/>
        </w:rPr>
        <w:t>anthropocentrist</w:t>
      </w:r>
      <w:proofErr w:type="spellEnd"/>
      <w:r w:rsidRPr="00414A2A">
        <w:rPr>
          <w:rFonts w:ascii="Perpetua" w:hAnsi="Perpetua"/>
          <w:sz w:val="16"/>
          <w:szCs w:val="16"/>
        </w:rPr>
        <w:t xml:space="preserve">, who depicted the liberationist in </w:t>
      </w:r>
      <w:r w:rsidRPr="00414A2A">
        <w:rPr>
          <w:rFonts w:ascii="Perpetua" w:hAnsi="Perpetua"/>
          <w:i/>
          <w:iCs/>
          <w:sz w:val="16"/>
          <w:szCs w:val="16"/>
        </w:rPr>
        <w:t xml:space="preserve">reductio </w:t>
      </w:r>
      <w:r w:rsidRPr="00414A2A">
        <w:rPr>
          <w:rFonts w:ascii="Perpetua" w:hAnsi="Perpetua"/>
          <w:sz w:val="16"/>
          <w:szCs w:val="16"/>
        </w:rPr>
        <w:t xml:space="preserve">form in ‘Animal Liberation and Environmental Ethics: Bad Marriage, Quick Divorce’, </w:t>
      </w:r>
      <w:r w:rsidRPr="00414A2A">
        <w:rPr>
          <w:rFonts w:ascii="Perpetua" w:hAnsi="Perpetua"/>
          <w:i/>
          <w:iCs/>
          <w:sz w:val="16"/>
          <w:szCs w:val="16"/>
        </w:rPr>
        <w:t>Osgood Hall Law Journal</w:t>
      </w:r>
      <w:r w:rsidRPr="00414A2A">
        <w:rPr>
          <w:rFonts w:ascii="Perpetua" w:hAnsi="Perpetua"/>
          <w:sz w:val="16"/>
          <w:szCs w:val="16"/>
        </w:rPr>
        <w:t xml:space="preserve"> 22 (1984), pp. 297 – 307. </w:t>
      </w:r>
    </w:p>
    <w:p w14:paraId="3750502B" w14:textId="77777777" w:rsidR="009C34C2" w:rsidRPr="00414A2A" w:rsidRDefault="009C34C2" w:rsidP="009C34C2">
      <w:pPr>
        <w:pStyle w:val="FootnoteText"/>
        <w:jc w:val="both"/>
        <w:rPr>
          <w:rFonts w:ascii="Perpetua" w:hAnsi="Perpetua"/>
          <w:sz w:val="16"/>
          <w:szCs w:val="16"/>
        </w:rPr>
      </w:pPr>
      <w:r w:rsidRPr="00414A2A">
        <w:rPr>
          <w:rFonts w:ascii="Perpetua" w:hAnsi="Perpetua"/>
          <w:sz w:val="16"/>
          <w:szCs w:val="16"/>
        </w:rPr>
        <w:t>As to name-calling: (</w:t>
      </w:r>
      <w:proofErr w:type="spellStart"/>
      <w:r w:rsidRPr="00414A2A">
        <w:rPr>
          <w:rFonts w:ascii="Perpetua" w:hAnsi="Perpetua"/>
          <w:sz w:val="16"/>
          <w:szCs w:val="16"/>
        </w:rPr>
        <w:t>i</w:t>
      </w:r>
      <w:proofErr w:type="spellEnd"/>
      <w:r w:rsidRPr="00414A2A">
        <w:rPr>
          <w:rFonts w:ascii="Perpetua" w:hAnsi="Perpetua"/>
          <w:sz w:val="16"/>
          <w:szCs w:val="16"/>
        </w:rPr>
        <w:t xml:space="preserve">) for liberationists as soft and ignorant urbanites untouched by the realities of the wild see A. </w:t>
      </w:r>
      <w:proofErr w:type="spellStart"/>
      <w:r w:rsidRPr="00414A2A">
        <w:rPr>
          <w:rFonts w:ascii="Perpetua" w:hAnsi="Perpetua"/>
          <w:sz w:val="16"/>
          <w:szCs w:val="16"/>
        </w:rPr>
        <w:t>Hersovici</w:t>
      </w:r>
      <w:proofErr w:type="spellEnd"/>
      <w:r w:rsidRPr="00414A2A">
        <w:rPr>
          <w:rFonts w:ascii="Perpetua" w:hAnsi="Perpetua"/>
          <w:sz w:val="16"/>
          <w:szCs w:val="16"/>
        </w:rPr>
        <w:t xml:space="preserve">, </w:t>
      </w:r>
      <w:r w:rsidRPr="00414A2A">
        <w:rPr>
          <w:rFonts w:ascii="Perpetua" w:hAnsi="Perpetua"/>
          <w:i/>
          <w:iCs/>
          <w:sz w:val="16"/>
          <w:szCs w:val="16"/>
        </w:rPr>
        <w:t>Second Nature: The Animal Rights Controversy</w:t>
      </w:r>
      <w:r w:rsidRPr="00414A2A">
        <w:rPr>
          <w:rFonts w:ascii="Perpetua" w:hAnsi="Perpetua"/>
          <w:sz w:val="16"/>
          <w:szCs w:val="16"/>
        </w:rPr>
        <w:t xml:space="preserve"> (Toronto: CBC Enterprises, 1985). (ii) for liberationists as life-loathers, see Callicott (1983), (iii) as well-meaning, impractical imperialists see F. Lynge </w:t>
      </w:r>
      <w:r w:rsidRPr="00414A2A">
        <w:rPr>
          <w:rFonts w:ascii="Perpetua" w:hAnsi="Perpetua"/>
          <w:i/>
          <w:iCs/>
          <w:sz w:val="16"/>
          <w:szCs w:val="16"/>
        </w:rPr>
        <w:t>Arctic Wars, Animal Rights, Endangered Peoples</w:t>
      </w:r>
      <w:r w:rsidRPr="00414A2A">
        <w:rPr>
          <w:rFonts w:ascii="Perpetua" w:hAnsi="Perpetua"/>
          <w:sz w:val="16"/>
          <w:szCs w:val="16"/>
        </w:rPr>
        <w:t xml:space="preserve"> (Hanover Press: University of New England, 1992). For Tom Regan’s well-known use of ‘fascism’: </w:t>
      </w:r>
      <w:proofErr w:type="gramStart"/>
      <w:r w:rsidRPr="00414A2A">
        <w:rPr>
          <w:rFonts w:ascii="Perpetua" w:hAnsi="Perpetua"/>
          <w:sz w:val="16"/>
          <w:szCs w:val="16"/>
        </w:rPr>
        <w:t>see  T.</w:t>
      </w:r>
      <w:proofErr w:type="gramEnd"/>
      <w:r w:rsidRPr="00414A2A">
        <w:rPr>
          <w:rFonts w:ascii="Perpetua" w:hAnsi="Perpetua"/>
          <w:sz w:val="16"/>
          <w:szCs w:val="16"/>
        </w:rPr>
        <w:t xml:space="preserve"> Regan, </w:t>
      </w:r>
      <w:r w:rsidRPr="00414A2A">
        <w:rPr>
          <w:rFonts w:ascii="Perpetua" w:hAnsi="Perpetua"/>
          <w:i/>
          <w:iCs/>
          <w:sz w:val="16"/>
          <w:szCs w:val="16"/>
        </w:rPr>
        <w:t>The Case for Animal Rights</w:t>
      </w:r>
      <w:r w:rsidRPr="00414A2A">
        <w:rPr>
          <w:rFonts w:ascii="Perpetua" w:hAnsi="Perpetua"/>
          <w:sz w:val="16"/>
          <w:szCs w:val="16"/>
        </w:rPr>
        <w:t xml:space="preserve"> (London: Routledge, 1983), p.362 (‘Environmental fascism and the rights view are like oil and water: they don’t mix’. For further use of ‘fascism’: see M. Wade, ‘Animal Liberation, Ecocentrism, and the Morality of Sport Hunting’, </w:t>
      </w:r>
      <w:r w:rsidRPr="00414A2A">
        <w:rPr>
          <w:rFonts w:ascii="Perpetua" w:hAnsi="Perpetua"/>
          <w:i/>
          <w:iCs/>
          <w:sz w:val="16"/>
          <w:szCs w:val="16"/>
        </w:rPr>
        <w:t>Journal of the Philosophy of Sport</w:t>
      </w:r>
      <w:r w:rsidRPr="00414A2A">
        <w:rPr>
          <w:rFonts w:ascii="Perpetua" w:hAnsi="Perpetua"/>
          <w:sz w:val="16"/>
          <w:szCs w:val="16"/>
        </w:rPr>
        <w:t xml:space="preserve"> 17 (1990), pp. 15 - 27.</w:t>
      </w:r>
    </w:p>
  </w:footnote>
  <w:footnote w:id="69">
    <w:p w14:paraId="1F205EC2" w14:textId="77777777" w:rsidR="009C34C2" w:rsidRPr="00414A2A" w:rsidRDefault="009C34C2" w:rsidP="009C34C2">
      <w:pPr>
        <w:pStyle w:val="FootnoteText"/>
        <w:jc w:val="both"/>
        <w:rPr>
          <w:rFonts w:ascii="Perpetua" w:hAnsi="Perpetua"/>
          <w:sz w:val="16"/>
          <w:szCs w:val="16"/>
        </w:rPr>
      </w:pPr>
      <w:r w:rsidRPr="00414A2A">
        <w:rPr>
          <w:rStyle w:val="FootnoteReference"/>
          <w:rFonts w:ascii="Perpetua" w:hAnsi="Perpetua"/>
          <w:sz w:val="16"/>
          <w:szCs w:val="16"/>
        </w:rPr>
        <w:footnoteRef/>
      </w:r>
      <w:r w:rsidRPr="00414A2A">
        <w:rPr>
          <w:rFonts w:ascii="Perpetua" w:hAnsi="Perpetua"/>
          <w:sz w:val="16"/>
          <w:szCs w:val="16"/>
        </w:rPr>
        <w:t xml:space="preserve"> e.g. J.B. Callicott (1983)</w:t>
      </w:r>
      <w:r>
        <w:rPr>
          <w:rFonts w:ascii="Perpetua" w:hAnsi="Perpetua"/>
          <w:sz w:val="16"/>
          <w:szCs w:val="16"/>
        </w:rPr>
        <w:t>.</w:t>
      </w:r>
      <w:r w:rsidRPr="00414A2A">
        <w:rPr>
          <w:rFonts w:ascii="Perpetua" w:hAnsi="Perpetua"/>
          <w:sz w:val="16"/>
          <w:szCs w:val="16"/>
        </w:rPr>
        <w:t xml:space="preserve"> </w:t>
      </w:r>
    </w:p>
  </w:footnote>
  <w:footnote w:id="70">
    <w:p w14:paraId="37E009D9" w14:textId="77777777" w:rsidR="009C34C2" w:rsidRPr="00414A2A" w:rsidRDefault="009C34C2" w:rsidP="009C34C2">
      <w:pPr>
        <w:pStyle w:val="FootnoteText"/>
        <w:jc w:val="both"/>
        <w:rPr>
          <w:rFonts w:ascii="Perpetua" w:hAnsi="Perpetua"/>
          <w:sz w:val="16"/>
          <w:szCs w:val="16"/>
        </w:rPr>
      </w:pPr>
      <w:r w:rsidRPr="00414A2A">
        <w:rPr>
          <w:rStyle w:val="FootnoteReference"/>
          <w:rFonts w:ascii="Perpetua" w:hAnsi="Perpetua"/>
          <w:sz w:val="16"/>
          <w:szCs w:val="16"/>
        </w:rPr>
        <w:footnoteRef/>
      </w:r>
      <w:r w:rsidRPr="00414A2A">
        <w:rPr>
          <w:rFonts w:ascii="Perpetua" w:hAnsi="Perpetua"/>
          <w:sz w:val="16"/>
          <w:szCs w:val="16"/>
        </w:rPr>
        <w:t xml:space="preserve"> M. Midgley,</w:t>
      </w:r>
      <w:r w:rsidRPr="00414A2A">
        <w:rPr>
          <w:rFonts w:ascii="Perpetua" w:hAnsi="Perpetua"/>
          <w:i/>
          <w:iCs/>
          <w:sz w:val="16"/>
          <w:szCs w:val="16"/>
        </w:rPr>
        <w:t xml:space="preserve"> AAWTM </w:t>
      </w:r>
      <w:r w:rsidRPr="00414A2A">
        <w:rPr>
          <w:rFonts w:ascii="Perpetua" w:hAnsi="Perpetua"/>
          <w:sz w:val="16"/>
          <w:szCs w:val="16"/>
        </w:rPr>
        <w:t>(1983), p</w:t>
      </w:r>
      <w:r>
        <w:rPr>
          <w:rFonts w:ascii="Perpetua" w:hAnsi="Perpetua"/>
          <w:sz w:val="16"/>
          <w:szCs w:val="16"/>
        </w:rPr>
        <w:t>p</w:t>
      </w:r>
      <w:r w:rsidRPr="00414A2A">
        <w:rPr>
          <w:rFonts w:ascii="Perpetua" w:hAnsi="Perpetua"/>
          <w:sz w:val="16"/>
          <w:szCs w:val="16"/>
        </w:rPr>
        <w:t>.90</w:t>
      </w:r>
      <w:r>
        <w:rPr>
          <w:rFonts w:ascii="Perpetua" w:hAnsi="Perpetua"/>
          <w:sz w:val="16"/>
          <w:szCs w:val="16"/>
        </w:rPr>
        <w:t xml:space="preserve"> - 91</w:t>
      </w:r>
      <w:r w:rsidRPr="00414A2A">
        <w:rPr>
          <w:rFonts w:ascii="Perpetua" w:hAnsi="Perpetua"/>
          <w:sz w:val="16"/>
          <w:szCs w:val="16"/>
        </w:rPr>
        <w:t>. Midgley distinguishes between sentience</w:t>
      </w:r>
      <w:r>
        <w:rPr>
          <w:rFonts w:ascii="Perpetua" w:hAnsi="Perpetua"/>
          <w:sz w:val="16"/>
          <w:szCs w:val="16"/>
        </w:rPr>
        <w:t>/s</w:t>
      </w:r>
      <w:r w:rsidRPr="00414A2A">
        <w:rPr>
          <w:rFonts w:ascii="Perpetua" w:hAnsi="Perpetua"/>
          <w:sz w:val="16"/>
          <w:szCs w:val="16"/>
        </w:rPr>
        <w:t>ocial claims</w:t>
      </w:r>
      <w:r>
        <w:rPr>
          <w:rFonts w:ascii="Perpetua" w:hAnsi="Perpetua"/>
          <w:sz w:val="16"/>
          <w:szCs w:val="16"/>
        </w:rPr>
        <w:t xml:space="preserve"> and ecological claims</w:t>
      </w:r>
      <w:r w:rsidRPr="00414A2A">
        <w:rPr>
          <w:rFonts w:ascii="Perpetua" w:hAnsi="Perpetua"/>
          <w:sz w:val="16"/>
          <w:szCs w:val="16"/>
        </w:rPr>
        <w:t xml:space="preserve"> (Chapter 8).</w:t>
      </w:r>
      <w:r>
        <w:rPr>
          <w:rFonts w:ascii="Perpetua" w:hAnsi="Perpetua"/>
          <w:sz w:val="16"/>
          <w:szCs w:val="16"/>
        </w:rPr>
        <w:t xml:space="preserve"> Both flow from ‘our being the kind of creatures we are’ (p. 91). </w:t>
      </w:r>
      <w:r w:rsidRPr="00414A2A">
        <w:rPr>
          <w:rFonts w:ascii="Perpetua" w:hAnsi="Perpetua"/>
          <w:sz w:val="16"/>
          <w:szCs w:val="16"/>
        </w:rPr>
        <w:t>‘The …mistake is the idea that, if concern extends to the boundary of sentience, it must necessarily stop there…’, p. 90.</w:t>
      </w:r>
    </w:p>
  </w:footnote>
  <w:footnote w:id="71">
    <w:p w14:paraId="28E6ADB7" w14:textId="77777777" w:rsidR="009C34C2" w:rsidRPr="00414A2A" w:rsidRDefault="009C34C2" w:rsidP="009C34C2">
      <w:pPr>
        <w:pStyle w:val="FootnoteText"/>
        <w:jc w:val="both"/>
        <w:rPr>
          <w:rFonts w:ascii="Perpetua" w:hAnsi="Perpetua"/>
          <w:sz w:val="16"/>
          <w:szCs w:val="16"/>
        </w:rPr>
      </w:pPr>
      <w:r w:rsidRPr="00414A2A">
        <w:rPr>
          <w:rStyle w:val="FootnoteReference"/>
          <w:rFonts w:ascii="Perpetua" w:hAnsi="Perpetua"/>
          <w:sz w:val="16"/>
          <w:szCs w:val="16"/>
        </w:rPr>
        <w:footnoteRef/>
      </w:r>
      <w:r w:rsidRPr="00414A2A">
        <w:rPr>
          <w:rFonts w:ascii="Perpetua" w:hAnsi="Perpetua"/>
          <w:sz w:val="16"/>
          <w:szCs w:val="16"/>
        </w:rPr>
        <w:t xml:space="preserve"> Ibid. p. 90.</w:t>
      </w:r>
    </w:p>
  </w:footnote>
  <w:footnote w:id="72">
    <w:p w14:paraId="34A2FDD4" w14:textId="2EDCC7FD" w:rsidR="009C34C2" w:rsidRPr="0087369D" w:rsidRDefault="009C34C2" w:rsidP="009C34C2">
      <w:pPr>
        <w:pStyle w:val="FootnoteText"/>
        <w:jc w:val="both"/>
        <w:rPr>
          <w:rFonts w:ascii="Perpetua" w:hAnsi="Perpetua"/>
          <w:sz w:val="16"/>
          <w:szCs w:val="16"/>
        </w:rPr>
      </w:pPr>
      <w:r w:rsidRPr="0087369D">
        <w:rPr>
          <w:rStyle w:val="FootnoteReference"/>
          <w:rFonts w:ascii="Perpetua" w:hAnsi="Perpetua"/>
          <w:sz w:val="16"/>
          <w:szCs w:val="16"/>
        </w:rPr>
        <w:footnoteRef/>
      </w:r>
      <w:r w:rsidRPr="0087369D">
        <w:rPr>
          <w:rFonts w:ascii="Perpetua" w:hAnsi="Perpetua"/>
          <w:sz w:val="16"/>
          <w:szCs w:val="16"/>
        </w:rPr>
        <w:t xml:space="preserve"> The ‘special importance’ of sentience being that pain and suffering brings </w:t>
      </w:r>
      <w:r w:rsidR="00305BAF">
        <w:rPr>
          <w:rFonts w:ascii="Perpetua" w:hAnsi="Perpetua"/>
          <w:sz w:val="16"/>
          <w:szCs w:val="16"/>
        </w:rPr>
        <w:t>‘</w:t>
      </w:r>
      <w:r w:rsidRPr="0087369D">
        <w:rPr>
          <w:rFonts w:ascii="Perpetua" w:hAnsi="Perpetua"/>
          <w:sz w:val="16"/>
          <w:szCs w:val="16"/>
        </w:rPr>
        <w:t>The Golden Rule</w:t>
      </w:r>
      <w:r w:rsidR="00305BAF">
        <w:rPr>
          <w:rFonts w:ascii="Perpetua" w:hAnsi="Perpetua"/>
          <w:sz w:val="16"/>
          <w:szCs w:val="16"/>
        </w:rPr>
        <w:t>’</w:t>
      </w:r>
      <w:r w:rsidRPr="0087369D">
        <w:rPr>
          <w:rFonts w:ascii="Perpetua" w:hAnsi="Perpetua"/>
          <w:sz w:val="16"/>
          <w:szCs w:val="16"/>
        </w:rPr>
        <w:t xml:space="preserve"> into play (p. 91). ‘Sentience is important because of the dramatic difference it makes in the kind of needs which creatures have, and the kind of harm which can be done to them. The duty which we can owe to a particular being capable of suffering and enjoyment must centre on those capacities. It therefore takes a different form from any duty we may have for example to a redwood, or to the species of redwoods…Both sorts seem quite real, and, since habitat is so important to animals, they converge much more often than they conflict’</w:t>
      </w:r>
      <w:r w:rsidR="00256A2A">
        <w:rPr>
          <w:rFonts w:ascii="Perpetua" w:hAnsi="Perpetua"/>
          <w:sz w:val="16"/>
          <w:szCs w:val="16"/>
        </w:rPr>
        <w:t xml:space="preserve">, </w:t>
      </w:r>
      <w:r w:rsidRPr="0087369D">
        <w:rPr>
          <w:rFonts w:ascii="Perpetua" w:hAnsi="Perpetua"/>
          <w:sz w:val="16"/>
          <w:szCs w:val="16"/>
        </w:rPr>
        <w:t xml:space="preserve">pp. 90 – 91. </w:t>
      </w:r>
    </w:p>
  </w:footnote>
  <w:footnote w:id="73">
    <w:p w14:paraId="6BF07844" w14:textId="797E51D0" w:rsidR="009C34C2" w:rsidRPr="00A82267" w:rsidRDefault="009C34C2" w:rsidP="009C34C2">
      <w:pPr>
        <w:pStyle w:val="FootnoteText"/>
        <w:rPr>
          <w:rFonts w:ascii="Perpetua" w:hAnsi="Perpetua"/>
          <w:sz w:val="16"/>
          <w:szCs w:val="16"/>
        </w:rPr>
      </w:pPr>
      <w:r w:rsidRPr="00A82267">
        <w:rPr>
          <w:rStyle w:val="FootnoteReference"/>
          <w:rFonts w:ascii="Perpetua" w:hAnsi="Perpetua"/>
          <w:sz w:val="16"/>
          <w:szCs w:val="16"/>
        </w:rPr>
        <w:footnoteRef/>
      </w:r>
      <w:r w:rsidRPr="00A82267">
        <w:rPr>
          <w:rFonts w:ascii="Perpetua" w:hAnsi="Perpetua"/>
          <w:sz w:val="16"/>
          <w:szCs w:val="16"/>
        </w:rPr>
        <w:t xml:space="preserve"> </w:t>
      </w:r>
      <w:r w:rsidRPr="00A82267">
        <w:rPr>
          <w:rFonts w:ascii="Perpetua" w:hAnsi="Perpetua"/>
          <w:color w:val="000000" w:themeColor="text1"/>
          <w:sz w:val="16"/>
          <w:szCs w:val="16"/>
        </w:rPr>
        <w:t>M</w:t>
      </w:r>
      <w:r w:rsidR="00305BAF">
        <w:rPr>
          <w:rFonts w:ascii="Perpetua" w:hAnsi="Perpetua"/>
          <w:color w:val="000000" w:themeColor="text1"/>
          <w:sz w:val="16"/>
          <w:szCs w:val="16"/>
        </w:rPr>
        <w:t>.</w:t>
      </w:r>
      <w:r w:rsidRPr="00A82267">
        <w:rPr>
          <w:rFonts w:ascii="Perpetua" w:hAnsi="Perpetua"/>
          <w:color w:val="000000" w:themeColor="text1"/>
          <w:sz w:val="16"/>
          <w:szCs w:val="16"/>
        </w:rPr>
        <w:t xml:space="preserve"> Midgley, </w:t>
      </w:r>
      <w:r w:rsidRPr="00A82267">
        <w:rPr>
          <w:rFonts w:ascii="Perpetua" w:hAnsi="Perpetua"/>
          <w:color w:val="000000" w:themeColor="text1"/>
          <w:sz w:val="16"/>
          <w:szCs w:val="16"/>
          <w:shd w:val="clear" w:color="auto" w:fill="FFFFFF"/>
        </w:rPr>
        <w:t>“</w:t>
      </w:r>
      <w:r w:rsidRPr="00A82267">
        <w:rPr>
          <w:rStyle w:val="Emphasis"/>
          <w:rFonts w:ascii="Perpetua" w:hAnsi="Perpetua"/>
          <w:i w:val="0"/>
          <w:iCs w:val="0"/>
          <w:color w:val="000000" w:themeColor="text1"/>
          <w:sz w:val="16"/>
          <w:szCs w:val="16"/>
        </w:rPr>
        <w:t>Beasts</w:t>
      </w:r>
      <w:r w:rsidRPr="00A82267">
        <w:rPr>
          <w:rStyle w:val="apple-converted-space"/>
          <w:rFonts w:ascii="Perpetua" w:hAnsi="Perpetua"/>
          <w:color w:val="000000" w:themeColor="text1"/>
          <w:sz w:val="16"/>
          <w:szCs w:val="16"/>
          <w:shd w:val="clear" w:color="auto" w:fill="FFFFFF"/>
        </w:rPr>
        <w:t> </w:t>
      </w:r>
      <w:r w:rsidRPr="00A82267">
        <w:rPr>
          <w:rFonts w:ascii="Perpetua" w:hAnsi="Perpetua"/>
          <w:color w:val="000000" w:themeColor="text1"/>
          <w:sz w:val="16"/>
          <w:szCs w:val="16"/>
          <w:shd w:val="clear" w:color="auto" w:fill="FFFFFF"/>
        </w:rPr>
        <w:t>Versus the</w:t>
      </w:r>
      <w:r w:rsidRPr="00A82267">
        <w:rPr>
          <w:rStyle w:val="apple-converted-space"/>
          <w:rFonts w:ascii="Perpetua" w:hAnsi="Perpetua"/>
          <w:color w:val="000000" w:themeColor="text1"/>
          <w:sz w:val="16"/>
          <w:szCs w:val="16"/>
          <w:shd w:val="clear" w:color="auto" w:fill="FFFFFF"/>
        </w:rPr>
        <w:t> </w:t>
      </w:r>
      <w:r w:rsidRPr="00A82267">
        <w:rPr>
          <w:rStyle w:val="Emphasis"/>
          <w:rFonts w:ascii="Perpetua" w:hAnsi="Perpetua"/>
          <w:i w:val="0"/>
          <w:iCs w:val="0"/>
          <w:color w:val="000000" w:themeColor="text1"/>
          <w:sz w:val="16"/>
          <w:szCs w:val="16"/>
        </w:rPr>
        <w:t>Biosphere</w:t>
      </w:r>
      <w:r w:rsidRPr="00A82267">
        <w:rPr>
          <w:rFonts w:ascii="Perpetua" w:hAnsi="Perpetua"/>
          <w:color w:val="000000" w:themeColor="text1"/>
          <w:sz w:val="16"/>
          <w:szCs w:val="16"/>
          <w:shd w:val="clear" w:color="auto" w:fill="FFFFFF"/>
        </w:rPr>
        <w:t xml:space="preserve">?”, </w:t>
      </w:r>
      <w:r w:rsidRPr="00A82267">
        <w:rPr>
          <w:rFonts w:ascii="Perpetua" w:hAnsi="Perpetua"/>
          <w:i/>
          <w:iCs/>
          <w:color w:val="000000" w:themeColor="text1"/>
          <w:sz w:val="16"/>
          <w:szCs w:val="16"/>
          <w:shd w:val="clear" w:color="auto" w:fill="FFFFFF"/>
        </w:rPr>
        <w:t>Environmental Values</w:t>
      </w:r>
      <w:r w:rsidRPr="00A82267">
        <w:rPr>
          <w:rFonts w:ascii="Perpetua" w:hAnsi="Perpetua"/>
          <w:color w:val="000000" w:themeColor="text1"/>
          <w:sz w:val="16"/>
          <w:szCs w:val="16"/>
          <w:shd w:val="clear" w:color="auto" w:fill="FFFFFF"/>
        </w:rPr>
        <w:t xml:space="preserve"> 1, no. 2, (1992), pp. 113–21.</w:t>
      </w:r>
    </w:p>
  </w:footnote>
  <w:footnote w:id="74">
    <w:p w14:paraId="0342C922" w14:textId="77777777" w:rsidR="009C34C2" w:rsidRPr="00A82267" w:rsidRDefault="009C34C2" w:rsidP="009C34C2">
      <w:pPr>
        <w:pStyle w:val="FootnoteText"/>
        <w:rPr>
          <w:rFonts w:ascii="Perpetua" w:hAnsi="Perpetua"/>
          <w:sz w:val="16"/>
          <w:szCs w:val="16"/>
        </w:rPr>
      </w:pPr>
      <w:r w:rsidRPr="00A82267">
        <w:rPr>
          <w:rStyle w:val="FootnoteReference"/>
          <w:rFonts w:ascii="Perpetua" w:hAnsi="Perpetua"/>
          <w:sz w:val="16"/>
          <w:szCs w:val="16"/>
        </w:rPr>
        <w:footnoteRef/>
      </w:r>
      <w:r w:rsidRPr="00A82267">
        <w:rPr>
          <w:rFonts w:ascii="Perpetua" w:hAnsi="Perpetua"/>
          <w:sz w:val="16"/>
          <w:szCs w:val="16"/>
        </w:rPr>
        <w:t xml:space="preserve"> M. Midgley (1992), p. 114. </w:t>
      </w:r>
    </w:p>
  </w:footnote>
  <w:footnote w:id="75">
    <w:p w14:paraId="342ADD91" w14:textId="77777777" w:rsidR="009C34C2" w:rsidRPr="00A82267" w:rsidRDefault="009C34C2" w:rsidP="009C34C2">
      <w:pPr>
        <w:pStyle w:val="FootnoteText"/>
        <w:rPr>
          <w:rFonts w:ascii="Perpetua" w:hAnsi="Perpetua"/>
          <w:sz w:val="16"/>
          <w:szCs w:val="16"/>
        </w:rPr>
      </w:pPr>
      <w:r w:rsidRPr="00A82267">
        <w:rPr>
          <w:rStyle w:val="FootnoteReference"/>
          <w:rFonts w:ascii="Perpetua" w:hAnsi="Perpetua"/>
          <w:sz w:val="16"/>
          <w:szCs w:val="16"/>
        </w:rPr>
        <w:footnoteRef/>
      </w:r>
      <w:r w:rsidRPr="00A82267">
        <w:rPr>
          <w:rFonts w:ascii="Perpetua" w:hAnsi="Perpetua"/>
          <w:sz w:val="16"/>
          <w:szCs w:val="16"/>
        </w:rPr>
        <w:t xml:space="preserve"> ibid. p. 114.</w:t>
      </w:r>
    </w:p>
  </w:footnote>
  <w:footnote w:id="76">
    <w:p w14:paraId="6B82D0B4" w14:textId="77777777" w:rsidR="009C34C2" w:rsidRPr="00A82267" w:rsidRDefault="009C34C2" w:rsidP="009C34C2">
      <w:pPr>
        <w:pStyle w:val="FootnoteText"/>
        <w:jc w:val="both"/>
        <w:rPr>
          <w:rFonts w:ascii="Perpetua" w:hAnsi="Perpetua"/>
          <w:sz w:val="16"/>
          <w:szCs w:val="16"/>
        </w:rPr>
      </w:pPr>
      <w:r w:rsidRPr="00A82267">
        <w:rPr>
          <w:rStyle w:val="FootnoteReference"/>
          <w:rFonts w:ascii="Perpetua" w:hAnsi="Perpetua"/>
          <w:sz w:val="16"/>
          <w:szCs w:val="16"/>
        </w:rPr>
        <w:footnoteRef/>
      </w:r>
      <w:r w:rsidRPr="00A82267">
        <w:rPr>
          <w:rFonts w:ascii="Perpetua" w:hAnsi="Perpetua"/>
          <w:sz w:val="16"/>
          <w:szCs w:val="16"/>
        </w:rPr>
        <w:t xml:space="preserve"> ibid.</w:t>
      </w:r>
    </w:p>
  </w:footnote>
  <w:footnote w:id="77">
    <w:p w14:paraId="148D6FBF" w14:textId="77777777" w:rsidR="009C34C2" w:rsidRPr="00A82267" w:rsidRDefault="009C34C2" w:rsidP="009C34C2">
      <w:pPr>
        <w:pStyle w:val="FootnoteText"/>
        <w:jc w:val="both"/>
        <w:rPr>
          <w:rFonts w:ascii="Perpetua" w:hAnsi="Perpetua"/>
          <w:sz w:val="16"/>
          <w:szCs w:val="16"/>
        </w:rPr>
      </w:pPr>
      <w:r w:rsidRPr="00A82267">
        <w:rPr>
          <w:rStyle w:val="FootnoteReference"/>
          <w:rFonts w:ascii="Perpetua" w:hAnsi="Perpetua"/>
          <w:sz w:val="16"/>
          <w:szCs w:val="16"/>
        </w:rPr>
        <w:footnoteRef/>
      </w:r>
      <w:r w:rsidRPr="00A82267">
        <w:rPr>
          <w:rFonts w:ascii="Perpetua" w:hAnsi="Perpetua"/>
          <w:sz w:val="16"/>
          <w:szCs w:val="16"/>
        </w:rPr>
        <w:t xml:space="preserve"> p. 116.</w:t>
      </w:r>
    </w:p>
  </w:footnote>
  <w:footnote w:id="78">
    <w:p w14:paraId="1104AA83" w14:textId="77777777" w:rsidR="009C34C2" w:rsidRPr="00A82267" w:rsidRDefault="009C34C2" w:rsidP="009C34C2">
      <w:pPr>
        <w:pStyle w:val="FootnoteText"/>
        <w:jc w:val="both"/>
        <w:rPr>
          <w:rFonts w:ascii="Perpetua" w:hAnsi="Perpetua"/>
          <w:sz w:val="16"/>
          <w:szCs w:val="16"/>
        </w:rPr>
      </w:pPr>
      <w:r w:rsidRPr="00A82267">
        <w:rPr>
          <w:rStyle w:val="FootnoteReference"/>
          <w:rFonts w:ascii="Perpetua" w:hAnsi="Perpetua"/>
          <w:sz w:val="16"/>
          <w:szCs w:val="16"/>
        </w:rPr>
        <w:footnoteRef/>
      </w:r>
      <w:r w:rsidRPr="00A82267">
        <w:rPr>
          <w:rFonts w:ascii="Perpetua" w:hAnsi="Perpetua"/>
          <w:sz w:val="16"/>
          <w:szCs w:val="16"/>
        </w:rPr>
        <w:t xml:space="preserve"> p. 117.</w:t>
      </w:r>
    </w:p>
  </w:footnote>
  <w:footnote w:id="79">
    <w:p w14:paraId="7B0E18EF" w14:textId="77777777" w:rsidR="009C34C2" w:rsidRPr="00A82267" w:rsidRDefault="009C34C2" w:rsidP="009C34C2">
      <w:pPr>
        <w:pStyle w:val="FootnoteText"/>
        <w:rPr>
          <w:rFonts w:ascii="Perpetua" w:hAnsi="Perpetua"/>
          <w:sz w:val="16"/>
          <w:szCs w:val="16"/>
        </w:rPr>
      </w:pPr>
      <w:r w:rsidRPr="00A82267">
        <w:rPr>
          <w:rStyle w:val="FootnoteReference"/>
          <w:rFonts w:ascii="Perpetua" w:hAnsi="Perpetua"/>
          <w:sz w:val="16"/>
          <w:szCs w:val="16"/>
        </w:rPr>
        <w:footnoteRef/>
      </w:r>
      <w:r w:rsidRPr="00A82267">
        <w:rPr>
          <w:rFonts w:ascii="Perpetua" w:hAnsi="Perpetua"/>
          <w:sz w:val="16"/>
          <w:szCs w:val="16"/>
        </w:rPr>
        <w:t xml:space="preserve"> ibid.</w:t>
      </w:r>
    </w:p>
  </w:footnote>
  <w:footnote w:id="80">
    <w:p w14:paraId="66DF959D" w14:textId="77777777" w:rsidR="009C34C2" w:rsidRPr="00A82267" w:rsidRDefault="009C34C2" w:rsidP="009C34C2">
      <w:pPr>
        <w:pStyle w:val="FootnoteText"/>
        <w:rPr>
          <w:rFonts w:ascii="Perpetua" w:hAnsi="Perpetua"/>
          <w:sz w:val="16"/>
          <w:szCs w:val="16"/>
        </w:rPr>
      </w:pPr>
      <w:r w:rsidRPr="00A82267">
        <w:rPr>
          <w:rStyle w:val="FootnoteReference"/>
          <w:rFonts w:ascii="Perpetua" w:hAnsi="Perpetua"/>
          <w:sz w:val="16"/>
          <w:szCs w:val="16"/>
        </w:rPr>
        <w:footnoteRef/>
      </w:r>
      <w:r w:rsidRPr="00A82267">
        <w:rPr>
          <w:rFonts w:ascii="Perpetua" w:hAnsi="Perpetua"/>
          <w:sz w:val="16"/>
          <w:szCs w:val="16"/>
        </w:rPr>
        <w:t xml:space="preserve"> p. 116. Harmony being the opposite of a ‘meaningless…clash</w:t>
      </w:r>
      <w:proofErr w:type="gramStart"/>
      <w:r w:rsidRPr="00A82267">
        <w:rPr>
          <w:rFonts w:ascii="Perpetua" w:hAnsi="Perpetua"/>
          <w:sz w:val="16"/>
          <w:szCs w:val="16"/>
        </w:rPr>
        <w:t>’ ,</w:t>
      </w:r>
      <w:proofErr w:type="gramEnd"/>
      <w:r w:rsidRPr="00A82267">
        <w:rPr>
          <w:rFonts w:ascii="Perpetua" w:hAnsi="Perpetua"/>
          <w:sz w:val="16"/>
          <w:szCs w:val="16"/>
        </w:rPr>
        <w:t xml:space="preserve"> p. 115. </w:t>
      </w:r>
    </w:p>
  </w:footnote>
  <w:footnote w:id="81">
    <w:p w14:paraId="2A7B8D91" w14:textId="77777777" w:rsidR="009C34C2" w:rsidRPr="00A82267" w:rsidRDefault="009C34C2" w:rsidP="009C34C2">
      <w:pPr>
        <w:pStyle w:val="FootnoteText"/>
        <w:rPr>
          <w:rFonts w:ascii="Perpetua" w:hAnsi="Perpetua"/>
          <w:sz w:val="16"/>
          <w:szCs w:val="16"/>
        </w:rPr>
      </w:pPr>
      <w:r w:rsidRPr="00A82267">
        <w:rPr>
          <w:rStyle w:val="FootnoteReference"/>
          <w:rFonts w:ascii="Perpetua" w:hAnsi="Perpetua"/>
          <w:sz w:val="16"/>
          <w:szCs w:val="16"/>
        </w:rPr>
        <w:footnoteRef/>
      </w:r>
      <w:r w:rsidRPr="00A82267">
        <w:rPr>
          <w:rFonts w:ascii="Perpetua" w:hAnsi="Perpetua"/>
          <w:sz w:val="16"/>
          <w:szCs w:val="16"/>
        </w:rPr>
        <w:t xml:space="preserve"> p. 116.</w:t>
      </w:r>
    </w:p>
  </w:footnote>
  <w:footnote w:id="82">
    <w:p w14:paraId="7D80D7F6" w14:textId="77777777" w:rsidR="00256A2A" w:rsidRPr="00A82267" w:rsidRDefault="00256A2A" w:rsidP="00256A2A">
      <w:pPr>
        <w:pStyle w:val="FootnoteText"/>
        <w:rPr>
          <w:rFonts w:ascii="Perpetua" w:hAnsi="Perpetua"/>
          <w:sz w:val="16"/>
          <w:szCs w:val="16"/>
        </w:rPr>
      </w:pPr>
      <w:r w:rsidRPr="00A82267">
        <w:rPr>
          <w:rStyle w:val="FootnoteReference"/>
          <w:rFonts w:ascii="Perpetua" w:hAnsi="Perpetua"/>
          <w:sz w:val="16"/>
          <w:szCs w:val="16"/>
        </w:rPr>
        <w:footnoteRef/>
      </w:r>
      <w:r w:rsidRPr="00A82267">
        <w:rPr>
          <w:rFonts w:ascii="Perpetua" w:hAnsi="Perpetua"/>
          <w:sz w:val="16"/>
          <w:szCs w:val="16"/>
        </w:rPr>
        <w:t xml:space="preserve"> p. 115 – 116.</w:t>
      </w:r>
    </w:p>
  </w:footnote>
  <w:footnote w:id="83">
    <w:p w14:paraId="58B86CB1" w14:textId="77777777" w:rsidR="009C34C2" w:rsidRPr="00A82267" w:rsidRDefault="009C34C2" w:rsidP="009C34C2">
      <w:pPr>
        <w:pStyle w:val="FootnoteText"/>
        <w:rPr>
          <w:rFonts w:ascii="Perpetua" w:hAnsi="Perpetua"/>
          <w:sz w:val="16"/>
          <w:szCs w:val="16"/>
        </w:rPr>
      </w:pPr>
      <w:r w:rsidRPr="00A82267">
        <w:rPr>
          <w:rStyle w:val="FootnoteReference"/>
          <w:rFonts w:ascii="Perpetua" w:hAnsi="Perpetua"/>
          <w:sz w:val="16"/>
          <w:szCs w:val="16"/>
        </w:rPr>
        <w:footnoteRef/>
      </w:r>
      <w:r w:rsidRPr="00A82267">
        <w:rPr>
          <w:rFonts w:ascii="Perpetua" w:hAnsi="Perpetua"/>
          <w:sz w:val="16"/>
          <w:szCs w:val="16"/>
        </w:rPr>
        <w:t xml:space="preserve"> p. 116.</w:t>
      </w:r>
    </w:p>
  </w:footnote>
  <w:footnote w:id="84">
    <w:p w14:paraId="362EA49C" w14:textId="77777777" w:rsidR="009C34C2" w:rsidRPr="00A82267" w:rsidRDefault="009C34C2" w:rsidP="009C34C2">
      <w:pPr>
        <w:pStyle w:val="FootnoteText"/>
        <w:jc w:val="both"/>
        <w:rPr>
          <w:rFonts w:ascii="Perpetua" w:hAnsi="Perpetua"/>
          <w:sz w:val="16"/>
          <w:szCs w:val="16"/>
        </w:rPr>
      </w:pPr>
      <w:r w:rsidRPr="00A82267">
        <w:rPr>
          <w:rStyle w:val="FootnoteReference"/>
          <w:rFonts w:ascii="Perpetua" w:hAnsi="Perpetua"/>
          <w:sz w:val="16"/>
          <w:szCs w:val="16"/>
        </w:rPr>
        <w:footnoteRef/>
      </w:r>
      <w:r w:rsidRPr="00A82267">
        <w:rPr>
          <w:rFonts w:ascii="Perpetua" w:hAnsi="Perpetua"/>
          <w:sz w:val="16"/>
          <w:szCs w:val="16"/>
        </w:rPr>
        <w:t xml:space="preserve"> ibid. </w:t>
      </w:r>
    </w:p>
  </w:footnote>
  <w:footnote w:id="85">
    <w:p w14:paraId="366DB423" w14:textId="77777777" w:rsidR="009C34C2" w:rsidRPr="00BF5F75" w:rsidRDefault="009C34C2" w:rsidP="009C34C2">
      <w:pPr>
        <w:pStyle w:val="FootnoteText"/>
        <w:jc w:val="both"/>
        <w:rPr>
          <w:rFonts w:ascii="Perpetua" w:hAnsi="Perpetua"/>
          <w:sz w:val="16"/>
          <w:szCs w:val="16"/>
        </w:rPr>
      </w:pPr>
      <w:r w:rsidRPr="00A82267">
        <w:rPr>
          <w:rStyle w:val="FootnoteReference"/>
          <w:rFonts w:ascii="Perpetua" w:hAnsi="Perpetua"/>
          <w:sz w:val="16"/>
          <w:szCs w:val="16"/>
        </w:rPr>
        <w:footnoteRef/>
      </w:r>
      <w:r w:rsidRPr="00A82267">
        <w:rPr>
          <w:rFonts w:ascii="Perpetua" w:hAnsi="Perpetua"/>
          <w:sz w:val="16"/>
          <w:szCs w:val="16"/>
        </w:rPr>
        <w:t xml:space="preserve"> p. 116.</w:t>
      </w:r>
      <w:r w:rsidRPr="00BF5F75">
        <w:rPr>
          <w:rFonts w:ascii="Perpetua" w:hAnsi="Perpetua"/>
          <w:sz w:val="16"/>
          <w:szCs w:val="16"/>
        </w:rPr>
        <w:t xml:space="preserve"> </w:t>
      </w:r>
    </w:p>
  </w:footnote>
  <w:footnote w:id="86">
    <w:p w14:paraId="29A476C9" w14:textId="1537FE0B" w:rsidR="009C34C2" w:rsidRPr="0014363C" w:rsidRDefault="009C34C2" w:rsidP="009C34C2">
      <w:pPr>
        <w:pStyle w:val="FootnoteText"/>
        <w:jc w:val="both"/>
        <w:rPr>
          <w:rFonts w:ascii="Perpetua" w:hAnsi="Perpetua"/>
          <w:sz w:val="16"/>
          <w:szCs w:val="16"/>
        </w:rPr>
      </w:pPr>
      <w:r w:rsidRPr="0014363C">
        <w:rPr>
          <w:rStyle w:val="FootnoteReference"/>
          <w:rFonts w:ascii="Perpetua" w:hAnsi="Perpetua"/>
          <w:sz w:val="16"/>
          <w:szCs w:val="16"/>
        </w:rPr>
        <w:footnoteRef/>
      </w:r>
      <w:r w:rsidRPr="0014363C">
        <w:rPr>
          <w:rFonts w:ascii="Perpetua" w:hAnsi="Perpetua"/>
          <w:sz w:val="16"/>
          <w:szCs w:val="16"/>
        </w:rPr>
        <w:t xml:space="preserve"> Its acme, perhaps, R.M. Hare’s </w:t>
      </w:r>
      <w:r w:rsidRPr="0014363C">
        <w:rPr>
          <w:rStyle w:val="Emphasis"/>
          <w:rFonts w:ascii="Perpetua" w:hAnsi="Perpetua"/>
          <w:color w:val="1A1A1A"/>
          <w:sz w:val="16"/>
          <w:szCs w:val="16"/>
          <w:shd w:val="clear" w:color="auto" w:fill="FFFFFF"/>
        </w:rPr>
        <w:t xml:space="preserve">The Language of Morals </w:t>
      </w:r>
      <w:r w:rsidRPr="0014363C">
        <w:rPr>
          <w:rStyle w:val="Emphasis"/>
          <w:rFonts w:ascii="Perpetua" w:hAnsi="Perpetua"/>
          <w:i w:val="0"/>
          <w:iCs w:val="0"/>
          <w:color w:val="1A1A1A"/>
          <w:sz w:val="16"/>
          <w:szCs w:val="16"/>
          <w:shd w:val="clear" w:color="auto" w:fill="FFFFFF"/>
        </w:rPr>
        <w:t xml:space="preserve">(1952). </w:t>
      </w:r>
      <w:r w:rsidRPr="0014363C">
        <w:rPr>
          <w:rStyle w:val="Emphasis"/>
          <w:rFonts w:ascii="Perpetua" w:hAnsi="Perpetua"/>
          <w:color w:val="1A1A1A"/>
          <w:sz w:val="16"/>
          <w:szCs w:val="16"/>
          <w:shd w:val="clear" w:color="auto" w:fill="FFFFFF"/>
        </w:rPr>
        <w:t>The subject matter of ethics being the actions that</w:t>
      </w:r>
      <w:r w:rsidRPr="0014363C">
        <w:rPr>
          <w:rFonts w:ascii="Perpetua" w:hAnsi="Perpetua"/>
          <w:color w:val="1A1A1A"/>
          <w:sz w:val="16"/>
          <w:szCs w:val="16"/>
          <w:shd w:val="clear" w:color="auto" w:fill="FFFFFF"/>
        </w:rPr>
        <w:t xml:space="preserve"> a person/persons ought to perform (or not), and the principles and procedures required to determine said actions. G.E.M. Anscombe’s ‘Modern Moral Philosophy’ appeared in 1958 (‘Modern Moral Philosophy’ </w:t>
      </w:r>
      <w:r w:rsidRPr="0014363C">
        <w:rPr>
          <w:rStyle w:val="Emphasis"/>
          <w:rFonts w:ascii="Perpetua" w:hAnsi="Perpetua"/>
          <w:color w:val="1A1A1A"/>
          <w:sz w:val="16"/>
          <w:szCs w:val="16"/>
          <w:shd w:val="clear" w:color="auto" w:fill="FFFFFF"/>
        </w:rPr>
        <w:t>Philosophy</w:t>
      </w:r>
      <w:r w:rsidRPr="0014363C">
        <w:rPr>
          <w:rFonts w:ascii="Perpetua" w:hAnsi="Perpetua"/>
          <w:color w:val="1A1A1A"/>
          <w:sz w:val="16"/>
          <w:szCs w:val="16"/>
          <w:shd w:val="clear" w:color="auto" w:fill="FFFFFF"/>
        </w:rPr>
        <w:t>, 33(124) (1958), pp. 1–19)</w:t>
      </w:r>
      <w:r w:rsidR="0014363C">
        <w:rPr>
          <w:rFonts w:ascii="Perpetua" w:hAnsi="Perpetua"/>
          <w:color w:val="1A1A1A"/>
          <w:sz w:val="16"/>
          <w:szCs w:val="16"/>
          <w:shd w:val="clear" w:color="auto" w:fill="FFFFFF"/>
        </w:rPr>
        <w:t>.</w:t>
      </w:r>
    </w:p>
  </w:footnote>
  <w:footnote w:id="87">
    <w:p w14:paraId="256DCF38" w14:textId="77777777" w:rsidR="009C34C2" w:rsidRPr="0014363C" w:rsidRDefault="009C34C2" w:rsidP="009C34C2">
      <w:pPr>
        <w:pStyle w:val="FootnoteText"/>
        <w:jc w:val="both"/>
        <w:rPr>
          <w:rFonts w:ascii="Perpetua" w:hAnsi="Perpetua"/>
          <w:sz w:val="16"/>
          <w:szCs w:val="16"/>
        </w:rPr>
      </w:pPr>
      <w:r w:rsidRPr="0014363C">
        <w:rPr>
          <w:rStyle w:val="FootnoteReference"/>
          <w:rFonts w:ascii="Perpetua" w:hAnsi="Perpetua"/>
          <w:sz w:val="16"/>
          <w:szCs w:val="16"/>
        </w:rPr>
        <w:footnoteRef/>
      </w:r>
      <w:r w:rsidRPr="0014363C">
        <w:rPr>
          <w:rFonts w:ascii="Perpetua" w:hAnsi="Perpetua"/>
          <w:sz w:val="16"/>
          <w:szCs w:val="16"/>
        </w:rPr>
        <w:t xml:space="preserve"> i.e. P. Singer and T. Regan. Utilitarian and Deontologist/’Kantian’ respectively.</w:t>
      </w:r>
    </w:p>
  </w:footnote>
  <w:footnote w:id="88">
    <w:p w14:paraId="00B354CA" w14:textId="77777777" w:rsidR="009C34C2" w:rsidRPr="0014363C" w:rsidRDefault="009C34C2" w:rsidP="009C34C2">
      <w:pPr>
        <w:pStyle w:val="FootnoteText"/>
        <w:jc w:val="both"/>
        <w:rPr>
          <w:rFonts w:ascii="Perpetua" w:hAnsi="Perpetua"/>
          <w:sz w:val="16"/>
          <w:szCs w:val="16"/>
        </w:rPr>
      </w:pPr>
      <w:r w:rsidRPr="0014363C">
        <w:rPr>
          <w:rStyle w:val="FootnoteReference"/>
          <w:rFonts w:ascii="Perpetua" w:hAnsi="Perpetua"/>
          <w:sz w:val="16"/>
          <w:szCs w:val="16"/>
        </w:rPr>
        <w:footnoteRef/>
      </w:r>
      <w:r w:rsidRPr="0014363C">
        <w:rPr>
          <w:rFonts w:ascii="Perpetua" w:hAnsi="Perpetua"/>
          <w:sz w:val="16"/>
          <w:szCs w:val="16"/>
        </w:rPr>
        <w:t xml:space="preserve"> p. 114. It goes without saying that the article is deeply informed by contemporary debate. A lesson: knowledge can be worn lightly. </w:t>
      </w:r>
    </w:p>
  </w:footnote>
  <w:footnote w:id="89">
    <w:p w14:paraId="7AC87AC2" w14:textId="77777777" w:rsidR="009C34C2" w:rsidRPr="0014363C" w:rsidRDefault="009C34C2" w:rsidP="009C34C2">
      <w:pPr>
        <w:pStyle w:val="FootnoteText"/>
        <w:jc w:val="both"/>
        <w:rPr>
          <w:rFonts w:ascii="Perpetua" w:hAnsi="Perpetua"/>
          <w:sz w:val="16"/>
          <w:szCs w:val="16"/>
        </w:rPr>
      </w:pPr>
      <w:r w:rsidRPr="0014363C">
        <w:rPr>
          <w:rStyle w:val="FootnoteReference"/>
          <w:rFonts w:ascii="Perpetua" w:hAnsi="Perpetua"/>
          <w:sz w:val="16"/>
          <w:szCs w:val="16"/>
        </w:rPr>
        <w:footnoteRef/>
      </w:r>
      <w:r w:rsidRPr="0014363C">
        <w:rPr>
          <w:rFonts w:ascii="Perpetua" w:hAnsi="Perpetua"/>
          <w:sz w:val="16"/>
          <w:szCs w:val="16"/>
        </w:rPr>
        <w:t xml:space="preserve"> Sufficiently to impact the words but not deeds of vested interests (i.e. not ‘effective action’) (p. 115). Human welfare increasingly understood as aligned with the biosphere and incompatible with animal exploitation, p. 115.  </w:t>
      </w:r>
    </w:p>
  </w:footnote>
  <w:footnote w:id="90">
    <w:p w14:paraId="781A5937" w14:textId="77777777" w:rsidR="009C34C2" w:rsidRPr="0014363C" w:rsidRDefault="009C34C2" w:rsidP="009C34C2">
      <w:pPr>
        <w:pStyle w:val="FootnoteText"/>
        <w:jc w:val="both"/>
        <w:rPr>
          <w:rFonts w:ascii="Perpetua" w:hAnsi="Perpetua"/>
          <w:sz w:val="16"/>
          <w:szCs w:val="16"/>
        </w:rPr>
      </w:pPr>
      <w:r w:rsidRPr="0014363C">
        <w:rPr>
          <w:rStyle w:val="FootnoteReference"/>
          <w:rFonts w:ascii="Perpetua" w:hAnsi="Perpetua"/>
          <w:sz w:val="16"/>
          <w:szCs w:val="16"/>
        </w:rPr>
        <w:footnoteRef/>
      </w:r>
      <w:r w:rsidRPr="0014363C">
        <w:rPr>
          <w:rFonts w:ascii="Perpetua" w:hAnsi="Perpetua"/>
          <w:sz w:val="16"/>
          <w:szCs w:val="16"/>
        </w:rPr>
        <w:t xml:space="preserve"> N.B. Callicott had claimed that there were ‘intractable practical differences’ (1983). Deliberately or not, Midgley’s observation of ‘practical convergence’ seems contrary to Callicott’s claim.  </w:t>
      </w:r>
    </w:p>
  </w:footnote>
  <w:footnote w:id="91">
    <w:p w14:paraId="25DD7836" w14:textId="330DB50B" w:rsidR="009C34C2" w:rsidRPr="0014363C" w:rsidRDefault="009C34C2" w:rsidP="009C34C2">
      <w:pPr>
        <w:pStyle w:val="FootnoteText"/>
        <w:jc w:val="both"/>
        <w:rPr>
          <w:rFonts w:ascii="Perpetua" w:hAnsi="Perpetua"/>
          <w:sz w:val="16"/>
          <w:szCs w:val="16"/>
        </w:rPr>
      </w:pPr>
      <w:r w:rsidRPr="0014363C">
        <w:rPr>
          <w:rStyle w:val="FootnoteReference"/>
          <w:rFonts w:ascii="Perpetua" w:hAnsi="Perpetua"/>
          <w:sz w:val="16"/>
          <w:szCs w:val="16"/>
        </w:rPr>
        <w:footnoteRef/>
      </w:r>
      <w:r w:rsidRPr="0014363C">
        <w:rPr>
          <w:rFonts w:ascii="Perpetua" w:hAnsi="Perpetua"/>
          <w:sz w:val="16"/>
          <w:szCs w:val="16"/>
        </w:rPr>
        <w:t xml:space="preserve"> p. 114. Midgeley continues, ‘Even with captive animals, too, large scale ill-treatment inevitably does have bad environmental effects. It is not just an accident that factory-farming produces appalling pollution. It is bound to do so, because proper treatment of waste would cost too much to allow the cheapness which is its aim’. The economic explanation (factory farms are driven by profit) is surely correct. </w:t>
      </w:r>
      <w:proofErr w:type="gramStart"/>
      <w:r w:rsidRPr="0014363C">
        <w:rPr>
          <w:rFonts w:ascii="Perpetua" w:hAnsi="Perpetua"/>
          <w:sz w:val="16"/>
          <w:szCs w:val="16"/>
        </w:rPr>
        <w:t>But,</w:t>
      </w:r>
      <w:proofErr w:type="gramEnd"/>
      <w:r w:rsidRPr="0014363C">
        <w:rPr>
          <w:rFonts w:ascii="Perpetua" w:hAnsi="Perpetua"/>
          <w:sz w:val="16"/>
          <w:szCs w:val="16"/>
        </w:rPr>
        <w:t xml:space="preserve"> philosophically, there is no necessary link between profit and bad effects. Moreover, it is not (philosophically) obvious how this point follows in the first place. If A and B need each other, the removal of one being bad for the other (and overall) seems incontrovertible. The factory farm/captive animals’ relationship is not obviously comparable and /or explained by reference to mutual need. In one sense, they do need each other. Perhaps not (or perhaps there is no relationship/proper relationship at all). In any event, it is not clear why the bad environmental effects of a continuing non-relationship/non-dependent animal-system relationship is explained by reference to an interrupted (natural) co-dependence. We might infer that, by Midgeley’s ethics, any bad is explained by a naturalism/telos. If so, we have already travelled very far, without argument, from the simple point that animal</w:t>
      </w:r>
      <w:r w:rsidR="0014363C" w:rsidRPr="0014363C">
        <w:rPr>
          <w:rFonts w:ascii="Perpetua" w:hAnsi="Perpetua"/>
          <w:sz w:val="16"/>
          <w:szCs w:val="16"/>
        </w:rPr>
        <w:t>s</w:t>
      </w:r>
      <w:r w:rsidRPr="0014363C">
        <w:rPr>
          <w:rFonts w:ascii="Perpetua" w:hAnsi="Perpetua"/>
          <w:sz w:val="16"/>
          <w:szCs w:val="16"/>
        </w:rPr>
        <w:t xml:space="preserve"> and plants need each other.</w:t>
      </w:r>
    </w:p>
  </w:footnote>
  <w:footnote w:id="92">
    <w:p w14:paraId="3C597261" w14:textId="77777777" w:rsidR="009C34C2" w:rsidRPr="0014363C" w:rsidRDefault="009C34C2" w:rsidP="009C34C2">
      <w:pPr>
        <w:pStyle w:val="FootnoteText"/>
        <w:jc w:val="both"/>
        <w:rPr>
          <w:rFonts w:ascii="Perpetua" w:hAnsi="Perpetua"/>
          <w:sz w:val="16"/>
          <w:szCs w:val="16"/>
        </w:rPr>
      </w:pPr>
      <w:r w:rsidRPr="0014363C">
        <w:rPr>
          <w:rStyle w:val="FootnoteReference"/>
          <w:rFonts w:ascii="Perpetua" w:hAnsi="Perpetua"/>
          <w:sz w:val="16"/>
          <w:szCs w:val="16"/>
        </w:rPr>
        <w:footnoteRef/>
      </w:r>
      <w:r w:rsidRPr="0014363C">
        <w:rPr>
          <w:rFonts w:ascii="Perpetua" w:hAnsi="Perpetua"/>
          <w:sz w:val="16"/>
          <w:szCs w:val="16"/>
        </w:rPr>
        <w:t xml:space="preserve"> ibid.  </w:t>
      </w:r>
    </w:p>
  </w:footnote>
  <w:footnote w:id="93">
    <w:p w14:paraId="4E85C702" w14:textId="77777777" w:rsidR="009C34C2" w:rsidRPr="00F03ADB" w:rsidRDefault="009C34C2" w:rsidP="009C34C2">
      <w:pPr>
        <w:pStyle w:val="FootnoteText"/>
        <w:rPr>
          <w:rFonts w:ascii="Perpetua" w:hAnsi="Perpetua"/>
          <w:sz w:val="16"/>
          <w:szCs w:val="16"/>
        </w:rPr>
      </w:pPr>
      <w:r w:rsidRPr="0014363C">
        <w:rPr>
          <w:rStyle w:val="FootnoteReference"/>
          <w:rFonts w:ascii="Perpetua" w:hAnsi="Perpetua"/>
          <w:sz w:val="16"/>
          <w:szCs w:val="16"/>
        </w:rPr>
        <w:footnoteRef/>
      </w:r>
      <w:r w:rsidRPr="0014363C">
        <w:rPr>
          <w:rFonts w:ascii="Perpetua" w:hAnsi="Perpetua"/>
          <w:sz w:val="16"/>
          <w:szCs w:val="16"/>
        </w:rPr>
        <w:t xml:space="preserve"> ibid.</w:t>
      </w:r>
      <w:r w:rsidRPr="00F03ADB">
        <w:rPr>
          <w:rFonts w:ascii="Perpetua" w:hAnsi="Perpetua"/>
          <w:sz w:val="16"/>
          <w:szCs w:val="16"/>
        </w:rPr>
        <w:t xml:space="preserve"> </w:t>
      </w:r>
    </w:p>
  </w:footnote>
  <w:footnote w:id="94">
    <w:p w14:paraId="7A24178F" w14:textId="77777777" w:rsidR="0014363C" w:rsidRPr="00711B9E" w:rsidRDefault="0014363C" w:rsidP="0014363C">
      <w:pPr>
        <w:pStyle w:val="FootnoteText"/>
        <w:rPr>
          <w:rFonts w:ascii="Perpetua" w:hAnsi="Perpetua"/>
          <w:sz w:val="16"/>
          <w:szCs w:val="16"/>
        </w:rPr>
      </w:pPr>
      <w:r w:rsidRPr="00711B9E">
        <w:rPr>
          <w:rStyle w:val="FootnoteReference"/>
          <w:rFonts w:ascii="Perpetua" w:hAnsi="Perpetua"/>
          <w:sz w:val="16"/>
          <w:szCs w:val="16"/>
        </w:rPr>
        <w:footnoteRef/>
      </w:r>
      <w:r w:rsidRPr="00711B9E">
        <w:rPr>
          <w:rFonts w:ascii="Perpetua" w:hAnsi="Perpetua"/>
          <w:sz w:val="16"/>
          <w:szCs w:val="16"/>
        </w:rPr>
        <w:t xml:space="preserve"> p.114.</w:t>
      </w:r>
    </w:p>
  </w:footnote>
  <w:footnote w:id="95">
    <w:p w14:paraId="7D307469" w14:textId="7B3E2746" w:rsidR="009C34C2" w:rsidRPr="00711B9E" w:rsidRDefault="009C34C2" w:rsidP="009C34C2">
      <w:pPr>
        <w:pStyle w:val="FootnoteText"/>
        <w:rPr>
          <w:rFonts w:ascii="Perpetua" w:hAnsi="Perpetua"/>
          <w:sz w:val="16"/>
          <w:szCs w:val="16"/>
        </w:rPr>
      </w:pPr>
      <w:r w:rsidRPr="00711B9E">
        <w:rPr>
          <w:rStyle w:val="FootnoteReference"/>
          <w:rFonts w:ascii="Perpetua" w:hAnsi="Perpetua"/>
          <w:sz w:val="16"/>
          <w:szCs w:val="16"/>
        </w:rPr>
        <w:footnoteRef/>
      </w:r>
      <w:r w:rsidRPr="00711B9E">
        <w:rPr>
          <w:rFonts w:ascii="Perpetua" w:hAnsi="Perpetua"/>
          <w:sz w:val="16"/>
          <w:szCs w:val="16"/>
        </w:rPr>
        <w:t xml:space="preserve"> </w:t>
      </w:r>
      <w:r w:rsidR="00711B9E">
        <w:rPr>
          <w:rFonts w:ascii="Perpetua" w:hAnsi="Perpetua"/>
          <w:sz w:val="16"/>
          <w:szCs w:val="16"/>
        </w:rPr>
        <w:t xml:space="preserve"> </w:t>
      </w:r>
      <w:r w:rsidRPr="00711B9E">
        <w:rPr>
          <w:rFonts w:ascii="Perpetua" w:hAnsi="Perpetua"/>
          <w:sz w:val="16"/>
          <w:szCs w:val="16"/>
        </w:rPr>
        <w:t>p.121.</w:t>
      </w:r>
    </w:p>
  </w:footnote>
  <w:footnote w:id="96">
    <w:p w14:paraId="53587C91" w14:textId="1A75B05A" w:rsidR="009C34C2" w:rsidRPr="00711B9E" w:rsidRDefault="009C34C2" w:rsidP="009C34C2">
      <w:pPr>
        <w:pStyle w:val="FootnoteText"/>
        <w:jc w:val="both"/>
        <w:rPr>
          <w:rFonts w:ascii="Perpetua" w:hAnsi="Perpetua"/>
          <w:sz w:val="16"/>
          <w:szCs w:val="16"/>
        </w:rPr>
      </w:pPr>
      <w:r w:rsidRPr="00711B9E">
        <w:rPr>
          <w:rStyle w:val="FootnoteReference"/>
          <w:rFonts w:ascii="Perpetua" w:hAnsi="Perpetua"/>
          <w:sz w:val="16"/>
          <w:szCs w:val="16"/>
        </w:rPr>
        <w:footnoteRef/>
      </w:r>
      <w:r w:rsidRPr="00711B9E">
        <w:rPr>
          <w:rFonts w:ascii="Perpetua" w:hAnsi="Perpetua"/>
          <w:sz w:val="16"/>
          <w:szCs w:val="16"/>
        </w:rPr>
        <w:t xml:space="preserve"> </w:t>
      </w:r>
      <w:r w:rsidR="00711B9E">
        <w:rPr>
          <w:rFonts w:ascii="Perpetua" w:hAnsi="Perpetua"/>
          <w:sz w:val="16"/>
          <w:szCs w:val="16"/>
        </w:rPr>
        <w:t xml:space="preserve"> </w:t>
      </w:r>
      <w:r w:rsidRPr="00711B9E">
        <w:rPr>
          <w:rFonts w:ascii="Perpetua" w:hAnsi="Perpetua"/>
          <w:sz w:val="16"/>
          <w:szCs w:val="16"/>
        </w:rPr>
        <w:t xml:space="preserve">M. Midgley (1983), p. 90. </w:t>
      </w:r>
    </w:p>
  </w:footnote>
  <w:footnote w:id="97">
    <w:p w14:paraId="04AFA324" w14:textId="26871EC5" w:rsidR="009C34C2" w:rsidRPr="00711B9E" w:rsidRDefault="009C34C2" w:rsidP="009C34C2">
      <w:pPr>
        <w:pStyle w:val="FootnoteText"/>
        <w:jc w:val="both"/>
        <w:rPr>
          <w:rFonts w:ascii="Perpetua" w:hAnsi="Perpetua"/>
          <w:sz w:val="16"/>
          <w:szCs w:val="16"/>
        </w:rPr>
      </w:pPr>
      <w:r w:rsidRPr="00711B9E">
        <w:rPr>
          <w:rStyle w:val="FootnoteReference"/>
          <w:rFonts w:ascii="Perpetua" w:hAnsi="Perpetua"/>
          <w:sz w:val="16"/>
          <w:szCs w:val="16"/>
        </w:rPr>
        <w:footnoteRef/>
      </w:r>
      <w:r w:rsidRPr="00711B9E">
        <w:rPr>
          <w:rFonts w:ascii="Perpetua" w:hAnsi="Perpetua"/>
          <w:sz w:val="16"/>
          <w:szCs w:val="16"/>
        </w:rPr>
        <w:t xml:space="preserve"> ‘It is to light up and</w:t>
      </w:r>
      <w:r w:rsidRPr="00F93DF2">
        <w:rPr>
          <w:rFonts w:ascii="Perpetua" w:hAnsi="Perpetua"/>
          <w:sz w:val="16"/>
          <w:szCs w:val="16"/>
        </w:rPr>
        <w:t xml:space="preserve"> clarify some special aspect of life, to supply conceptual tools which will do a certain necessary kind of work’ (</w:t>
      </w:r>
      <w:proofErr w:type="gramStart"/>
      <w:r w:rsidRPr="00F93DF2">
        <w:rPr>
          <w:rFonts w:ascii="Perpetua" w:hAnsi="Perpetua"/>
          <w:sz w:val="16"/>
          <w:szCs w:val="16"/>
        </w:rPr>
        <w:t>p..</w:t>
      </w:r>
      <w:proofErr w:type="gramEnd"/>
      <w:r w:rsidRPr="00F93DF2">
        <w:rPr>
          <w:rFonts w:ascii="Perpetua" w:hAnsi="Perpetua"/>
          <w:sz w:val="16"/>
          <w:szCs w:val="16"/>
        </w:rPr>
        <w:t xml:space="preserve"> 117). The figure of the cartographer does not appear in ‘Beasts’</w:t>
      </w:r>
      <w:r w:rsidR="00711B9E">
        <w:rPr>
          <w:rFonts w:ascii="Perpetua" w:hAnsi="Perpetua"/>
          <w:sz w:val="16"/>
          <w:szCs w:val="16"/>
        </w:rPr>
        <w:t xml:space="preserve"> but is a Midgley trope</w:t>
      </w:r>
      <w:r w:rsidRPr="00F93DF2">
        <w:rPr>
          <w:rFonts w:ascii="Perpetua" w:hAnsi="Perpetua"/>
          <w:sz w:val="16"/>
          <w:szCs w:val="16"/>
        </w:rPr>
        <w:t xml:space="preserve">. </w:t>
      </w:r>
      <w:r w:rsidR="00711B9E">
        <w:rPr>
          <w:rFonts w:ascii="Perpetua" w:hAnsi="Perpetua"/>
          <w:sz w:val="16"/>
          <w:szCs w:val="16"/>
        </w:rPr>
        <w:t>S</w:t>
      </w:r>
      <w:r w:rsidRPr="00F93DF2">
        <w:rPr>
          <w:rFonts w:ascii="Perpetua" w:hAnsi="Perpetua"/>
          <w:sz w:val="16"/>
          <w:szCs w:val="16"/>
        </w:rPr>
        <w:t>ee D. Midgley</w:t>
      </w:r>
      <w:r w:rsidR="00AB10BF">
        <w:rPr>
          <w:rFonts w:ascii="Perpetua" w:hAnsi="Perpetua"/>
          <w:sz w:val="16"/>
          <w:szCs w:val="16"/>
        </w:rPr>
        <w:t xml:space="preserve">, ‘Introduction’ in </w:t>
      </w:r>
      <w:r w:rsidR="00AB10BF" w:rsidRPr="00711B9E">
        <w:rPr>
          <w:rFonts w:ascii="Perpetua" w:hAnsi="Perpetua"/>
          <w:sz w:val="16"/>
          <w:szCs w:val="16"/>
        </w:rPr>
        <w:t xml:space="preserve">D. Midgley </w:t>
      </w:r>
      <w:r w:rsidRPr="00711B9E">
        <w:rPr>
          <w:rFonts w:ascii="Perpetua" w:hAnsi="Perpetua"/>
          <w:sz w:val="16"/>
          <w:szCs w:val="16"/>
        </w:rPr>
        <w:t xml:space="preserve">ed., </w:t>
      </w:r>
      <w:r w:rsidRPr="00711B9E">
        <w:rPr>
          <w:rStyle w:val="Emphasis"/>
          <w:rFonts w:ascii="Perpetua" w:hAnsi="Perpetua"/>
          <w:color w:val="000000"/>
          <w:sz w:val="16"/>
          <w:szCs w:val="16"/>
        </w:rPr>
        <w:t xml:space="preserve">The Essential Mary </w:t>
      </w:r>
      <w:r w:rsidRPr="00711B9E">
        <w:rPr>
          <w:rStyle w:val="Emphasis"/>
          <w:rFonts w:ascii="Perpetua" w:hAnsi="Perpetua"/>
          <w:b/>
          <w:bCs/>
          <w:color w:val="000000"/>
          <w:sz w:val="16"/>
          <w:szCs w:val="16"/>
        </w:rPr>
        <w:t>Midgley</w:t>
      </w:r>
      <w:r w:rsidRPr="00711B9E">
        <w:rPr>
          <w:rStyle w:val="apple-converted-space"/>
          <w:rFonts w:ascii="Perpetua" w:hAnsi="Perpetua"/>
          <w:b/>
          <w:bCs/>
          <w:color w:val="000000"/>
          <w:sz w:val="16"/>
          <w:szCs w:val="16"/>
        </w:rPr>
        <w:t> </w:t>
      </w:r>
      <w:r w:rsidRPr="00711B9E">
        <w:rPr>
          <w:rStyle w:val="Strong"/>
          <w:rFonts w:ascii="Perpetua" w:hAnsi="Perpetua"/>
          <w:b w:val="0"/>
          <w:bCs w:val="0"/>
          <w:color w:val="000000"/>
          <w:sz w:val="16"/>
          <w:szCs w:val="16"/>
        </w:rPr>
        <w:t>(2nd Edition)</w:t>
      </w:r>
      <w:r w:rsidRPr="00711B9E">
        <w:rPr>
          <w:rStyle w:val="apple-converted-space"/>
          <w:rFonts w:ascii="Perpetua" w:hAnsi="Perpetua"/>
          <w:color w:val="000000"/>
          <w:sz w:val="16"/>
          <w:szCs w:val="16"/>
        </w:rPr>
        <w:t> </w:t>
      </w:r>
      <w:r w:rsidRPr="00711B9E">
        <w:rPr>
          <w:rFonts w:ascii="Perpetua" w:hAnsi="Perpetua"/>
          <w:color w:val="000000"/>
          <w:sz w:val="16"/>
          <w:szCs w:val="16"/>
        </w:rPr>
        <w:t>(London: Routledge, 202</w:t>
      </w:r>
      <w:r w:rsidR="00711B9E" w:rsidRPr="00711B9E">
        <w:rPr>
          <w:rFonts w:ascii="Perpetua" w:hAnsi="Perpetua"/>
          <w:color w:val="000000"/>
          <w:sz w:val="16"/>
          <w:szCs w:val="16"/>
        </w:rPr>
        <w:t>6)</w:t>
      </w:r>
      <w:r w:rsidRPr="00711B9E">
        <w:rPr>
          <w:rFonts w:ascii="Perpetua" w:hAnsi="Perpetua"/>
          <w:color w:val="000000"/>
          <w:sz w:val="16"/>
          <w:szCs w:val="16"/>
        </w:rPr>
        <w:t xml:space="preserve">. </w:t>
      </w:r>
    </w:p>
  </w:footnote>
  <w:footnote w:id="98">
    <w:p w14:paraId="61125519" w14:textId="52E828CE" w:rsidR="009C34C2" w:rsidRPr="00A21FE0" w:rsidRDefault="009C34C2" w:rsidP="009C34C2">
      <w:pPr>
        <w:pStyle w:val="FootnoteText"/>
        <w:jc w:val="both"/>
        <w:rPr>
          <w:rFonts w:ascii="Perpetua" w:hAnsi="Perpetua"/>
          <w:sz w:val="16"/>
          <w:szCs w:val="16"/>
        </w:rPr>
      </w:pPr>
      <w:r w:rsidRPr="00A21FE0">
        <w:rPr>
          <w:rStyle w:val="FootnoteReference"/>
          <w:rFonts w:ascii="Perpetua" w:hAnsi="Perpetua"/>
          <w:sz w:val="16"/>
          <w:szCs w:val="16"/>
        </w:rPr>
        <w:footnoteRef/>
      </w:r>
      <w:r w:rsidR="00711B9E">
        <w:rPr>
          <w:rFonts w:ascii="Perpetua" w:hAnsi="Perpetua"/>
          <w:sz w:val="16"/>
          <w:szCs w:val="16"/>
        </w:rPr>
        <w:t xml:space="preserve"> </w:t>
      </w:r>
      <w:r w:rsidR="00711B9E">
        <w:rPr>
          <w:rFonts w:ascii="Perpetua" w:hAnsi="Perpetua"/>
          <w:sz w:val="16"/>
          <w:szCs w:val="16"/>
        </w:rPr>
        <w:tab/>
      </w:r>
      <w:r w:rsidRPr="00A21FE0">
        <w:rPr>
          <w:rFonts w:ascii="Perpetua" w:hAnsi="Perpetua"/>
          <w:sz w:val="16"/>
          <w:szCs w:val="16"/>
        </w:rPr>
        <w:t>p. 115.</w:t>
      </w:r>
    </w:p>
  </w:footnote>
  <w:footnote w:id="99">
    <w:p w14:paraId="175782B1" w14:textId="13D76FFA" w:rsidR="009C34C2" w:rsidRPr="00A21FE0" w:rsidRDefault="009C34C2" w:rsidP="009C34C2">
      <w:pPr>
        <w:pStyle w:val="NoSpacing"/>
        <w:jc w:val="both"/>
        <w:rPr>
          <w:rFonts w:ascii="Perpetua" w:hAnsi="Perpetua"/>
          <w:sz w:val="16"/>
          <w:szCs w:val="16"/>
        </w:rPr>
      </w:pPr>
      <w:r w:rsidRPr="00A21FE0">
        <w:rPr>
          <w:rStyle w:val="FootnoteReference"/>
          <w:rFonts w:ascii="Perpetua" w:hAnsi="Perpetua"/>
          <w:sz w:val="16"/>
          <w:szCs w:val="16"/>
        </w:rPr>
        <w:footnoteRef/>
      </w:r>
      <w:r w:rsidR="00711B9E">
        <w:rPr>
          <w:rFonts w:ascii="Perpetua" w:hAnsi="Perpetua"/>
          <w:sz w:val="16"/>
          <w:szCs w:val="16"/>
        </w:rPr>
        <w:t xml:space="preserve"> </w:t>
      </w:r>
      <w:r w:rsidR="00711B9E">
        <w:rPr>
          <w:rFonts w:ascii="Perpetua" w:hAnsi="Perpetua"/>
          <w:sz w:val="16"/>
          <w:szCs w:val="16"/>
        </w:rPr>
        <w:tab/>
      </w:r>
      <w:r w:rsidRPr="00A21FE0">
        <w:rPr>
          <w:rFonts w:ascii="Perpetua" w:hAnsi="Perpetua"/>
          <w:sz w:val="16"/>
          <w:szCs w:val="16"/>
        </w:rPr>
        <w:t>p. 116.  In respect of animal/environmental: each ignored, each taken with their goodness, each competing for limited attention.</w:t>
      </w:r>
    </w:p>
  </w:footnote>
  <w:footnote w:id="100">
    <w:p w14:paraId="133D7547" w14:textId="5D0E1E84" w:rsidR="009C34C2" w:rsidRPr="00F93DF2" w:rsidRDefault="009C34C2" w:rsidP="009C34C2">
      <w:pPr>
        <w:pStyle w:val="FootnoteText"/>
        <w:jc w:val="both"/>
        <w:rPr>
          <w:rFonts w:ascii="Perpetua" w:hAnsi="Perpetua"/>
          <w:sz w:val="16"/>
          <w:szCs w:val="16"/>
        </w:rPr>
      </w:pPr>
      <w:r w:rsidRPr="00F93DF2">
        <w:rPr>
          <w:rStyle w:val="FootnoteReference"/>
          <w:rFonts w:ascii="Perpetua" w:hAnsi="Perpetua"/>
          <w:sz w:val="16"/>
          <w:szCs w:val="16"/>
        </w:rPr>
        <w:footnoteRef/>
      </w:r>
      <w:r w:rsidR="00711B9E">
        <w:rPr>
          <w:rFonts w:ascii="Perpetua" w:hAnsi="Perpetua"/>
          <w:sz w:val="16"/>
          <w:szCs w:val="16"/>
        </w:rPr>
        <w:t xml:space="preserve"> </w:t>
      </w:r>
      <w:r w:rsidR="00711B9E">
        <w:rPr>
          <w:rFonts w:ascii="Perpetua" w:hAnsi="Perpetua"/>
          <w:sz w:val="16"/>
          <w:szCs w:val="16"/>
        </w:rPr>
        <w:tab/>
      </w:r>
      <w:r w:rsidRPr="00F93DF2">
        <w:rPr>
          <w:rFonts w:ascii="Perpetua" w:hAnsi="Perpetua"/>
          <w:sz w:val="16"/>
          <w:szCs w:val="16"/>
        </w:rPr>
        <w:t xml:space="preserve">p. </w:t>
      </w:r>
      <w:r>
        <w:rPr>
          <w:rFonts w:ascii="Perpetua" w:hAnsi="Perpetua"/>
          <w:sz w:val="16"/>
          <w:szCs w:val="16"/>
        </w:rPr>
        <w:t xml:space="preserve">115; p. </w:t>
      </w:r>
      <w:r w:rsidRPr="00F93DF2">
        <w:rPr>
          <w:rFonts w:ascii="Perpetua" w:hAnsi="Perpetua"/>
          <w:sz w:val="16"/>
          <w:szCs w:val="16"/>
        </w:rPr>
        <w:t>114.</w:t>
      </w:r>
    </w:p>
  </w:footnote>
  <w:footnote w:id="101">
    <w:p w14:paraId="37C8E861" w14:textId="7CEFDE15" w:rsidR="009C34C2" w:rsidRDefault="009C34C2" w:rsidP="009C34C2">
      <w:pPr>
        <w:pStyle w:val="FootnoteText"/>
        <w:jc w:val="both"/>
      </w:pPr>
      <w:r w:rsidRPr="00F93DF2">
        <w:rPr>
          <w:rStyle w:val="FootnoteReference"/>
          <w:rFonts w:ascii="Perpetua" w:hAnsi="Perpetua"/>
          <w:sz w:val="16"/>
          <w:szCs w:val="16"/>
        </w:rPr>
        <w:footnoteRef/>
      </w:r>
      <w:r w:rsidR="00711B9E">
        <w:rPr>
          <w:rFonts w:ascii="Perpetua" w:hAnsi="Perpetua"/>
          <w:sz w:val="16"/>
          <w:szCs w:val="16"/>
        </w:rPr>
        <w:t xml:space="preserve"> </w:t>
      </w:r>
      <w:r w:rsidR="00711B9E">
        <w:rPr>
          <w:rFonts w:ascii="Perpetua" w:hAnsi="Perpetua"/>
          <w:sz w:val="16"/>
          <w:szCs w:val="16"/>
        </w:rPr>
        <w:tab/>
      </w:r>
      <w:r w:rsidRPr="00F93DF2">
        <w:rPr>
          <w:rFonts w:ascii="Perpetua" w:hAnsi="Perpetua"/>
          <w:sz w:val="16"/>
          <w:szCs w:val="16"/>
        </w:rPr>
        <w:t>p. 115.</w:t>
      </w:r>
    </w:p>
  </w:footnote>
  <w:footnote w:id="102">
    <w:p w14:paraId="3187A4EF" w14:textId="77777777" w:rsidR="009C34C2" w:rsidRPr="007E12D9" w:rsidRDefault="009C34C2" w:rsidP="009C34C2">
      <w:pPr>
        <w:pStyle w:val="FootnoteText"/>
        <w:rPr>
          <w:rFonts w:ascii="Perpetua" w:hAnsi="Perpetua"/>
          <w:sz w:val="16"/>
          <w:szCs w:val="16"/>
        </w:rPr>
      </w:pPr>
      <w:r w:rsidRPr="007E12D9">
        <w:rPr>
          <w:rStyle w:val="FootnoteReference"/>
          <w:rFonts w:ascii="Perpetua" w:hAnsi="Perpetua"/>
          <w:sz w:val="16"/>
          <w:szCs w:val="16"/>
        </w:rPr>
        <w:footnoteRef/>
      </w:r>
      <w:r w:rsidRPr="007E12D9">
        <w:rPr>
          <w:rFonts w:ascii="Perpetua" w:hAnsi="Perpetua"/>
          <w:sz w:val="16"/>
          <w:szCs w:val="16"/>
        </w:rPr>
        <w:t xml:space="preserve"> p. 121.</w:t>
      </w:r>
    </w:p>
  </w:footnote>
  <w:footnote w:id="103">
    <w:p w14:paraId="3BCF3A8B" w14:textId="77777777" w:rsidR="009C34C2" w:rsidRPr="007E12D9" w:rsidRDefault="009C34C2" w:rsidP="009C34C2">
      <w:pPr>
        <w:pStyle w:val="FootnoteText"/>
        <w:rPr>
          <w:rFonts w:ascii="Perpetua" w:hAnsi="Perpetua"/>
          <w:sz w:val="16"/>
          <w:szCs w:val="16"/>
        </w:rPr>
      </w:pPr>
      <w:r w:rsidRPr="007E12D9">
        <w:rPr>
          <w:rStyle w:val="FootnoteReference"/>
          <w:rFonts w:ascii="Perpetua" w:hAnsi="Perpetua"/>
          <w:sz w:val="16"/>
          <w:szCs w:val="16"/>
        </w:rPr>
        <w:footnoteRef/>
      </w:r>
      <w:r w:rsidRPr="007E12D9">
        <w:rPr>
          <w:rFonts w:ascii="Perpetua" w:hAnsi="Perpetua"/>
          <w:sz w:val="16"/>
          <w:szCs w:val="16"/>
        </w:rPr>
        <w:t xml:space="preserve"> </w:t>
      </w:r>
      <w:r>
        <w:rPr>
          <w:rFonts w:ascii="Perpetua" w:hAnsi="Perpetua"/>
          <w:sz w:val="16"/>
          <w:szCs w:val="16"/>
        </w:rPr>
        <w:t>i</w:t>
      </w:r>
      <w:r w:rsidRPr="007E12D9">
        <w:rPr>
          <w:rFonts w:ascii="Perpetua" w:hAnsi="Perpetua"/>
          <w:sz w:val="16"/>
          <w:szCs w:val="16"/>
        </w:rPr>
        <w:t>bid.</w:t>
      </w:r>
    </w:p>
  </w:footnote>
  <w:footnote w:id="104">
    <w:p w14:paraId="1805B88C" w14:textId="77777777" w:rsidR="009C34C2" w:rsidRPr="007E12D9" w:rsidRDefault="009C34C2" w:rsidP="009C34C2">
      <w:pPr>
        <w:pStyle w:val="FootnoteText"/>
        <w:jc w:val="both"/>
        <w:rPr>
          <w:rFonts w:ascii="Perpetua" w:hAnsi="Perpetua"/>
          <w:sz w:val="16"/>
          <w:szCs w:val="16"/>
        </w:rPr>
      </w:pPr>
      <w:r w:rsidRPr="007E12D9">
        <w:rPr>
          <w:rStyle w:val="FootnoteReference"/>
          <w:rFonts w:ascii="Perpetua" w:hAnsi="Perpetua"/>
          <w:sz w:val="16"/>
          <w:szCs w:val="16"/>
        </w:rPr>
        <w:footnoteRef/>
      </w:r>
      <w:r w:rsidRPr="007E12D9">
        <w:rPr>
          <w:rFonts w:ascii="Perpetua" w:hAnsi="Perpetua"/>
          <w:sz w:val="16"/>
          <w:szCs w:val="16"/>
        </w:rPr>
        <w:t xml:space="preserve"> p. 118.</w:t>
      </w:r>
    </w:p>
  </w:footnote>
  <w:footnote w:id="105">
    <w:p w14:paraId="2E85825E" w14:textId="77777777" w:rsidR="009C34C2" w:rsidRPr="007E12D9" w:rsidRDefault="009C34C2" w:rsidP="009C34C2">
      <w:pPr>
        <w:pStyle w:val="FootnoteText"/>
        <w:rPr>
          <w:rFonts w:ascii="Perpetua" w:hAnsi="Perpetua"/>
          <w:sz w:val="16"/>
          <w:szCs w:val="16"/>
        </w:rPr>
      </w:pPr>
      <w:r w:rsidRPr="007E12D9">
        <w:rPr>
          <w:rStyle w:val="FootnoteReference"/>
          <w:rFonts w:ascii="Perpetua" w:hAnsi="Perpetua"/>
          <w:sz w:val="16"/>
          <w:szCs w:val="16"/>
        </w:rPr>
        <w:footnoteRef/>
      </w:r>
      <w:r w:rsidRPr="007E12D9">
        <w:rPr>
          <w:rFonts w:ascii="Perpetua" w:hAnsi="Perpetua"/>
          <w:sz w:val="16"/>
          <w:szCs w:val="16"/>
        </w:rPr>
        <w:t xml:space="preserve"> p. 118.</w:t>
      </w:r>
    </w:p>
  </w:footnote>
  <w:footnote w:id="106">
    <w:p w14:paraId="52E709C4" w14:textId="3285E59E" w:rsidR="009C34C2" w:rsidRPr="007E12D9" w:rsidRDefault="009C34C2" w:rsidP="009C34C2">
      <w:pPr>
        <w:pStyle w:val="FootnoteText"/>
        <w:jc w:val="both"/>
        <w:rPr>
          <w:rFonts w:ascii="Perpetua" w:hAnsi="Perpetua"/>
          <w:sz w:val="16"/>
          <w:szCs w:val="16"/>
        </w:rPr>
      </w:pPr>
      <w:r w:rsidRPr="007E12D9">
        <w:rPr>
          <w:rStyle w:val="FootnoteReference"/>
          <w:rFonts w:ascii="Perpetua" w:hAnsi="Perpetua"/>
          <w:sz w:val="16"/>
          <w:szCs w:val="16"/>
        </w:rPr>
        <w:footnoteRef/>
      </w:r>
      <w:r w:rsidRPr="007E12D9">
        <w:rPr>
          <w:rFonts w:ascii="Perpetua" w:hAnsi="Perpetua"/>
          <w:sz w:val="16"/>
          <w:szCs w:val="16"/>
        </w:rPr>
        <w:t xml:space="preserve"> p. 118. </w:t>
      </w:r>
      <w:r w:rsidR="00711B9E">
        <w:rPr>
          <w:rFonts w:ascii="Perpetua" w:hAnsi="Perpetua"/>
          <w:sz w:val="16"/>
          <w:szCs w:val="16"/>
        </w:rPr>
        <w:t>My bold. This</w:t>
      </w:r>
      <w:r w:rsidRPr="007E12D9">
        <w:rPr>
          <w:rFonts w:ascii="Perpetua" w:hAnsi="Perpetua"/>
          <w:sz w:val="16"/>
          <w:szCs w:val="16"/>
        </w:rPr>
        <w:t xml:space="preserve"> is not Midgley saying there is no place for any rules/principles. In AAWTM, there is, for example, the Golden Rule. But the non-mechanical use of the Golden Rule is never to the exclusion of all/anything else. Here, large-scale destruction is to be avoided and the lesser of evils preferred although it may be doubted that this is a principle in any real sense or at least the type of principle for which we require moral philosophers. Maybe a principle should be able to help you in a dilemma as to the better/less choice not just to tell you that it is better to take choose the best/least bad option. </w:t>
      </w:r>
    </w:p>
  </w:footnote>
  <w:footnote w:id="107">
    <w:p w14:paraId="046E9832" w14:textId="77777777" w:rsidR="009C34C2" w:rsidRPr="007E12D9" w:rsidRDefault="009C34C2" w:rsidP="009C34C2">
      <w:pPr>
        <w:pStyle w:val="FootnoteText"/>
        <w:rPr>
          <w:rFonts w:ascii="Perpetua" w:hAnsi="Perpetua"/>
          <w:sz w:val="16"/>
          <w:szCs w:val="16"/>
        </w:rPr>
      </w:pPr>
      <w:r w:rsidRPr="007E12D9">
        <w:rPr>
          <w:rStyle w:val="FootnoteReference"/>
          <w:rFonts w:ascii="Perpetua" w:hAnsi="Perpetua"/>
          <w:sz w:val="16"/>
          <w:szCs w:val="16"/>
        </w:rPr>
        <w:footnoteRef/>
      </w:r>
      <w:r w:rsidRPr="007E12D9">
        <w:rPr>
          <w:rFonts w:ascii="Perpetua" w:hAnsi="Perpetua"/>
          <w:sz w:val="16"/>
          <w:szCs w:val="16"/>
        </w:rPr>
        <w:t xml:space="preserve"> p. 119.</w:t>
      </w:r>
    </w:p>
  </w:footnote>
  <w:footnote w:id="108">
    <w:p w14:paraId="21D17089" w14:textId="77777777" w:rsidR="009C34C2" w:rsidRPr="007E12D9" w:rsidRDefault="009C34C2" w:rsidP="009C34C2">
      <w:pPr>
        <w:pStyle w:val="FootnoteText"/>
        <w:jc w:val="both"/>
        <w:rPr>
          <w:rFonts w:ascii="Perpetua" w:hAnsi="Perpetua"/>
          <w:sz w:val="16"/>
          <w:szCs w:val="16"/>
        </w:rPr>
      </w:pPr>
      <w:r w:rsidRPr="007E12D9">
        <w:rPr>
          <w:rStyle w:val="FootnoteReference"/>
          <w:rFonts w:ascii="Perpetua" w:hAnsi="Perpetua"/>
          <w:sz w:val="16"/>
          <w:szCs w:val="16"/>
        </w:rPr>
        <w:footnoteRef/>
      </w:r>
      <w:r w:rsidRPr="007E12D9">
        <w:rPr>
          <w:rFonts w:ascii="Perpetua" w:hAnsi="Perpetua"/>
          <w:sz w:val="16"/>
          <w:szCs w:val="16"/>
        </w:rPr>
        <w:t xml:space="preserve"> ibid. </w:t>
      </w:r>
    </w:p>
  </w:footnote>
  <w:footnote w:id="109">
    <w:p w14:paraId="7AD6FE59" w14:textId="77777777" w:rsidR="009C34C2" w:rsidRPr="007E12D9" w:rsidRDefault="009C34C2" w:rsidP="009C34C2">
      <w:pPr>
        <w:pStyle w:val="FootnoteText"/>
        <w:jc w:val="both"/>
        <w:rPr>
          <w:rFonts w:ascii="Perpetua" w:hAnsi="Perpetua"/>
          <w:sz w:val="16"/>
          <w:szCs w:val="16"/>
        </w:rPr>
      </w:pPr>
      <w:r w:rsidRPr="007E12D9">
        <w:rPr>
          <w:rStyle w:val="FootnoteReference"/>
          <w:rFonts w:ascii="Perpetua" w:hAnsi="Perpetua"/>
          <w:sz w:val="16"/>
          <w:szCs w:val="16"/>
        </w:rPr>
        <w:footnoteRef/>
      </w:r>
      <w:r w:rsidRPr="007E12D9">
        <w:rPr>
          <w:rFonts w:ascii="Perpetua" w:hAnsi="Perpetua"/>
          <w:sz w:val="16"/>
          <w:szCs w:val="16"/>
        </w:rPr>
        <w:t xml:space="preserve"> cf. Mark Sagoff (1984) where contraception features as his </w:t>
      </w:r>
      <w:proofErr w:type="spellStart"/>
      <w:r w:rsidRPr="00711B9E">
        <w:rPr>
          <w:rFonts w:ascii="Perpetua" w:hAnsi="Perpetua"/>
          <w:i/>
          <w:iCs/>
          <w:sz w:val="16"/>
          <w:szCs w:val="16"/>
        </w:rPr>
        <w:t>reductio</w:t>
      </w:r>
      <w:r w:rsidRPr="007E12D9">
        <w:rPr>
          <w:rFonts w:ascii="Perpetua" w:hAnsi="Perpetua"/>
          <w:sz w:val="16"/>
          <w:szCs w:val="16"/>
        </w:rPr>
        <w:t>’s</w:t>
      </w:r>
      <w:proofErr w:type="spellEnd"/>
      <w:r w:rsidRPr="007E12D9">
        <w:rPr>
          <w:rFonts w:ascii="Perpetua" w:hAnsi="Perpetua"/>
          <w:sz w:val="16"/>
          <w:szCs w:val="16"/>
        </w:rPr>
        <w:t xml:space="preserve"> absurd. </w:t>
      </w:r>
    </w:p>
  </w:footnote>
  <w:footnote w:id="110">
    <w:p w14:paraId="24E8A095" w14:textId="73D36763" w:rsidR="009C34C2" w:rsidRPr="00DE4144" w:rsidRDefault="009C34C2" w:rsidP="00DE4144">
      <w:pPr>
        <w:pStyle w:val="FootnoteText"/>
        <w:rPr>
          <w:rFonts w:ascii="Perpetua" w:hAnsi="Perpetua"/>
          <w:sz w:val="16"/>
          <w:szCs w:val="16"/>
        </w:rPr>
      </w:pPr>
      <w:r w:rsidRPr="00DE4144">
        <w:rPr>
          <w:rStyle w:val="FootnoteReference"/>
          <w:rFonts w:ascii="Perpetua" w:hAnsi="Perpetua"/>
          <w:sz w:val="16"/>
          <w:szCs w:val="16"/>
        </w:rPr>
        <w:footnoteRef/>
      </w:r>
      <w:r w:rsidRPr="00DE4144">
        <w:rPr>
          <w:rFonts w:ascii="Perpetua" w:hAnsi="Perpetua"/>
          <w:sz w:val="16"/>
          <w:szCs w:val="16"/>
        </w:rPr>
        <w:t xml:space="preserve"> </w:t>
      </w:r>
      <w:r w:rsidR="00DE4144">
        <w:rPr>
          <w:rFonts w:ascii="Perpetua" w:hAnsi="Perpetua"/>
          <w:sz w:val="16"/>
          <w:szCs w:val="16"/>
        </w:rPr>
        <w:t xml:space="preserve"> </w:t>
      </w:r>
      <w:r w:rsidRPr="00DE4144">
        <w:rPr>
          <w:rFonts w:ascii="Perpetua" w:hAnsi="Perpetua"/>
          <w:sz w:val="16"/>
          <w:szCs w:val="16"/>
        </w:rPr>
        <w:t>p. 120.</w:t>
      </w:r>
    </w:p>
  </w:footnote>
  <w:footnote w:id="111">
    <w:p w14:paraId="0B653E89" w14:textId="77777777" w:rsidR="009C34C2" w:rsidRPr="00DE4144" w:rsidRDefault="009C34C2" w:rsidP="00DE4144">
      <w:pPr>
        <w:spacing w:after="0" w:line="240" w:lineRule="auto"/>
        <w:rPr>
          <w:rFonts w:ascii="Perpetua" w:hAnsi="Perpetua"/>
          <w:sz w:val="16"/>
          <w:szCs w:val="16"/>
        </w:rPr>
      </w:pPr>
      <w:r w:rsidRPr="00DE4144">
        <w:rPr>
          <w:rStyle w:val="FootnoteReference"/>
          <w:rFonts w:ascii="Perpetua" w:hAnsi="Perpetua"/>
          <w:sz w:val="16"/>
          <w:szCs w:val="16"/>
        </w:rPr>
        <w:footnoteRef/>
      </w:r>
      <w:r w:rsidRPr="00DE4144">
        <w:rPr>
          <w:rFonts w:ascii="Perpetua" w:hAnsi="Perpetua"/>
          <w:sz w:val="16"/>
          <w:szCs w:val="16"/>
        </w:rPr>
        <w:t xml:space="preserve"> D. Jamieson,</w:t>
      </w:r>
      <w:r w:rsidRPr="00DE4144">
        <w:rPr>
          <w:rFonts w:ascii="Perpetua" w:hAnsi="Perpetua"/>
          <w:i/>
          <w:iCs/>
          <w:sz w:val="16"/>
          <w:szCs w:val="16"/>
        </w:rPr>
        <w:t xml:space="preserve"> </w:t>
      </w:r>
      <w:r w:rsidRPr="00DE4144">
        <w:rPr>
          <w:rFonts w:ascii="Perpetua" w:hAnsi="Perpetua"/>
          <w:sz w:val="16"/>
          <w:szCs w:val="16"/>
        </w:rPr>
        <w:t xml:space="preserve">‘Animal Liberation is an Environmental Ethic’, </w:t>
      </w:r>
      <w:r w:rsidRPr="00DE4144">
        <w:rPr>
          <w:rFonts w:ascii="Perpetua" w:hAnsi="Perpetua"/>
          <w:i/>
          <w:iCs/>
          <w:sz w:val="16"/>
          <w:szCs w:val="16"/>
        </w:rPr>
        <w:t>Morality’s Progress: Essays on Humans, Other Animals, and Rest of Nature</w:t>
      </w:r>
      <w:r w:rsidRPr="00DE4144">
        <w:rPr>
          <w:rFonts w:ascii="Perpetua" w:hAnsi="Perpetua"/>
          <w:sz w:val="16"/>
          <w:szCs w:val="16"/>
        </w:rPr>
        <w:t xml:space="preserve"> (Oxford: Clarendon, 1998), pp. 197 – 212.</w:t>
      </w:r>
    </w:p>
  </w:footnote>
  <w:footnote w:id="112">
    <w:p w14:paraId="461CCF68" w14:textId="77777777" w:rsidR="009C34C2" w:rsidRPr="00DE4144" w:rsidRDefault="009C34C2" w:rsidP="00DE4144">
      <w:pPr>
        <w:spacing w:after="0" w:line="240" w:lineRule="auto"/>
        <w:rPr>
          <w:rFonts w:ascii="Perpetua" w:hAnsi="Perpetua"/>
          <w:sz w:val="16"/>
          <w:szCs w:val="16"/>
        </w:rPr>
      </w:pPr>
      <w:r w:rsidRPr="00DE4144">
        <w:rPr>
          <w:rStyle w:val="FootnoteReference"/>
          <w:rFonts w:ascii="Perpetua" w:hAnsi="Perpetua"/>
          <w:sz w:val="16"/>
          <w:szCs w:val="16"/>
        </w:rPr>
        <w:footnoteRef/>
      </w:r>
      <w:r w:rsidRPr="00DE4144">
        <w:rPr>
          <w:rFonts w:ascii="Perpetua" w:hAnsi="Perpetua"/>
          <w:sz w:val="16"/>
          <w:szCs w:val="16"/>
        </w:rPr>
        <w:t xml:space="preserve"> M. </w:t>
      </w:r>
      <w:proofErr w:type="spellStart"/>
      <w:r w:rsidRPr="00DE4144">
        <w:rPr>
          <w:rFonts w:ascii="Perpetua" w:hAnsi="Perpetua"/>
          <w:sz w:val="16"/>
          <w:szCs w:val="16"/>
        </w:rPr>
        <w:t>Kheel</w:t>
      </w:r>
      <w:proofErr w:type="spellEnd"/>
      <w:r w:rsidRPr="00DE4144">
        <w:rPr>
          <w:rFonts w:ascii="Perpetua" w:hAnsi="Perpetua"/>
          <w:sz w:val="16"/>
          <w:szCs w:val="16"/>
        </w:rPr>
        <w:t>, ‘The Liberation of Nature: A Circular Affair’,</w:t>
      </w:r>
      <w:r w:rsidRPr="00DE4144">
        <w:rPr>
          <w:rFonts w:ascii="Perpetua" w:hAnsi="Perpetua"/>
          <w:i/>
          <w:iCs/>
          <w:sz w:val="16"/>
          <w:szCs w:val="16"/>
        </w:rPr>
        <w:t xml:space="preserve"> Environmental Ethics </w:t>
      </w:r>
      <w:r w:rsidRPr="00DE4144">
        <w:rPr>
          <w:rFonts w:ascii="Perpetua" w:hAnsi="Perpetua"/>
          <w:sz w:val="16"/>
          <w:szCs w:val="16"/>
        </w:rPr>
        <w:t xml:space="preserve">7 (1985), pp. 135 – 149. </w:t>
      </w:r>
      <w:proofErr w:type="spellStart"/>
      <w:r w:rsidRPr="00DE4144">
        <w:rPr>
          <w:rFonts w:ascii="Perpetua" w:hAnsi="Perpetua"/>
          <w:sz w:val="16"/>
          <w:szCs w:val="16"/>
        </w:rPr>
        <w:t>Kheel</w:t>
      </w:r>
      <w:proofErr w:type="spellEnd"/>
      <w:r w:rsidRPr="00DE4144">
        <w:rPr>
          <w:rFonts w:ascii="Perpetua" w:hAnsi="Perpetua"/>
          <w:sz w:val="16"/>
          <w:szCs w:val="16"/>
        </w:rPr>
        <w:t xml:space="preserve"> wrote of the need for an expansive understanding of value, the importance of feeling and the error of either/or rationalism with its search for universal, hierarchical rules. There is less/little emphasis on resolving difference. For criticism: see R. </w:t>
      </w:r>
      <w:proofErr w:type="spellStart"/>
      <w:r w:rsidRPr="00DE4144">
        <w:rPr>
          <w:rFonts w:ascii="Perpetua" w:hAnsi="Perpetua"/>
          <w:sz w:val="16"/>
          <w:szCs w:val="16"/>
        </w:rPr>
        <w:t>Attfied</w:t>
      </w:r>
      <w:proofErr w:type="spellEnd"/>
      <w:r w:rsidRPr="00DE4144">
        <w:rPr>
          <w:rFonts w:ascii="Perpetua" w:hAnsi="Perpetua"/>
          <w:sz w:val="16"/>
          <w:szCs w:val="16"/>
        </w:rPr>
        <w:t xml:space="preserve"> (2014), pp. 60 – 61. Not all of it is fair (e.g. care ethics is dismissed in passing).  </w:t>
      </w:r>
      <w:proofErr w:type="spellStart"/>
      <w:r w:rsidRPr="00DE4144">
        <w:rPr>
          <w:rFonts w:ascii="Perpetua" w:hAnsi="Perpetua"/>
          <w:sz w:val="16"/>
          <w:szCs w:val="16"/>
        </w:rPr>
        <w:t>Kheel</w:t>
      </w:r>
      <w:proofErr w:type="spellEnd"/>
      <w:r w:rsidRPr="00DE4144">
        <w:rPr>
          <w:rFonts w:ascii="Perpetua" w:hAnsi="Perpetua"/>
          <w:sz w:val="16"/>
          <w:szCs w:val="16"/>
        </w:rPr>
        <w:t xml:space="preserve">: ‘Both schools of thought are trapped within the dualistic mind set. Neither can see that moral worth can exist </w:t>
      </w:r>
      <w:r w:rsidRPr="00DE4144">
        <w:rPr>
          <w:rFonts w:ascii="Perpetua" w:hAnsi="Perpetua"/>
          <w:i/>
          <w:iCs/>
          <w:sz w:val="16"/>
          <w:szCs w:val="16"/>
        </w:rPr>
        <w:t xml:space="preserve">both </w:t>
      </w:r>
      <w:r w:rsidRPr="00DE4144">
        <w:rPr>
          <w:rFonts w:ascii="Perpetua" w:hAnsi="Perpetua"/>
          <w:sz w:val="16"/>
          <w:szCs w:val="16"/>
        </w:rPr>
        <w:t xml:space="preserve">in the individual parts of nature and in the whole of which they are a part’, p. 140.  </w:t>
      </w:r>
    </w:p>
  </w:footnote>
  <w:footnote w:id="113">
    <w:p w14:paraId="5A4DA71D" w14:textId="11ECC688" w:rsidR="009C34C2" w:rsidRPr="00DE4144" w:rsidRDefault="009C34C2" w:rsidP="00DE4144">
      <w:pPr>
        <w:pStyle w:val="FootnoteText"/>
        <w:rPr>
          <w:rFonts w:ascii="Perpetua" w:hAnsi="Perpetua"/>
          <w:sz w:val="16"/>
          <w:szCs w:val="16"/>
        </w:rPr>
      </w:pPr>
      <w:r w:rsidRPr="00DE4144">
        <w:rPr>
          <w:rStyle w:val="FootnoteReference"/>
          <w:rFonts w:ascii="Perpetua" w:hAnsi="Perpetua"/>
          <w:sz w:val="16"/>
          <w:szCs w:val="16"/>
        </w:rPr>
        <w:footnoteRef/>
      </w:r>
      <w:r w:rsidRPr="00DE4144">
        <w:rPr>
          <w:rFonts w:ascii="Perpetua" w:hAnsi="Perpetua"/>
          <w:sz w:val="16"/>
          <w:szCs w:val="16"/>
        </w:rPr>
        <w:t xml:space="preserve"> J.B. Callicott, </w:t>
      </w:r>
      <w:r w:rsidRPr="00DE4144">
        <w:rPr>
          <w:rFonts w:ascii="Perpetua" w:hAnsi="Perpetua"/>
          <w:i/>
          <w:iCs/>
          <w:sz w:val="16"/>
          <w:szCs w:val="16"/>
        </w:rPr>
        <w:t xml:space="preserve">In </w:t>
      </w:r>
      <w:proofErr w:type="spellStart"/>
      <w:r w:rsidRPr="00DE4144">
        <w:rPr>
          <w:rFonts w:ascii="Perpetua" w:hAnsi="Perpetua"/>
          <w:i/>
          <w:iCs/>
          <w:sz w:val="16"/>
          <w:szCs w:val="16"/>
        </w:rPr>
        <w:t>Defense</w:t>
      </w:r>
      <w:proofErr w:type="spellEnd"/>
      <w:r w:rsidRPr="00DE4144">
        <w:rPr>
          <w:rFonts w:ascii="Perpetua" w:hAnsi="Perpetua"/>
          <w:i/>
          <w:iCs/>
          <w:sz w:val="16"/>
          <w:szCs w:val="16"/>
        </w:rPr>
        <w:t xml:space="preserve"> of the Land Ethic: Essays in Environmental Philosophy </w:t>
      </w:r>
      <w:r w:rsidRPr="00DE4144">
        <w:rPr>
          <w:rFonts w:ascii="Perpetua" w:hAnsi="Perpetua"/>
          <w:sz w:val="16"/>
          <w:szCs w:val="16"/>
        </w:rPr>
        <w:t>(Albany: State University of New York, 1989)</w:t>
      </w:r>
      <w:r w:rsidR="00711B9E" w:rsidRPr="00DE4144">
        <w:rPr>
          <w:rFonts w:ascii="Perpetua" w:hAnsi="Perpetua"/>
          <w:sz w:val="16"/>
          <w:szCs w:val="16"/>
        </w:rPr>
        <w:t>.</w:t>
      </w:r>
    </w:p>
  </w:footnote>
  <w:footnote w:id="114">
    <w:p w14:paraId="7010F7AC" w14:textId="61092653" w:rsidR="009C34C2" w:rsidRPr="00DE4144" w:rsidRDefault="009C34C2" w:rsidP="00DE4144">
      <w:pPr>
        <w:pStyle w:val="FootnoteText"/>
        <w:rPr>
          <w:rFonts w:ascii="Perpetua" w:hAnsi="Perpetua"/>
          <w:sz w:val="16"/>
          <w:szCs w:val="16"/>
        </w:rPr>
      </w:pPr>
      <w:r w:rsidRPr="00DE4144">
        <w:rPr>
          <w:rStyle w:val="FootnoteReference"/>
          <w:rFonts w:ascii="Perpetua" w:hAnsi="Perpetua"/>
          <w:sz w:val="16"/>
          <w:szCs w:val="16"/>
        </w:rPr>
        <w:footnoteRef/>
      </w:r>
      <w:r w:rsidRPr="00DE4144">
        <w:rPr>
          <w:rFonts w:ascii="Perpetua" w:hAnsi="Perpetua"/>
          <w:sz w:val="16"/>
          <w:szCs w:val="16"/>
        </w:rPr>
        <w:t xml:space="preserve"> ‘A secular environmental ethic that is as thoroughly informed by ecology as by evolution would have a holistic </w:t>
      </w:r>
      <w:r w:rsidRPr="00DE4144">
        <w:rPr>
          <w:rFonts w:ascii="Perpetua" w:hAnsi="Perpetua"/>
          <w:i/>
          <w:iCs/>
          <w:sz w:val="16"/>
          <w:szCs w:val="16"/>
        </w:rPr>
        <w:t xml:space="preserve">as well as </w:t>
      </w:r>
      <w:r w:rsidRPr="00DE4144">
        <w:rPr>
          <w:rFonts w:ascii="Perpetua" w:hAnsi="Perpetua"/>
          <w:sz w:val="16"/>
          <w:szCs w:val="16"/>
        </w:rPr>
        <w:t xml:space="preserve">an individualistic dimension. That is, </w:t>
      </w:r>
      <w:r w:rsidRPr="00DE4144">
        <w:rPr>
          <w:rFonts w:ascii="Perpetua" w:hAnsi="Perpetua"/>
          <w:i/>
          <w:iCs/>
          <w:sz w:val="16"/>
          <w:szCs w:val="16"/>
        </w:rPr>
        <w:t xml:space="preserve">both </w:t>
      </w:r>
      <w:r w:rsidRPr="00DE4144">
        <w:rPr>
          <w:rFonts w:ascii="Perpetua" w:hAnsi="Perpetua"/>
          <w:sz w:val="16"/>
          <w:szCs w:val="16"/>
        </w:rPr>
        <w:t xml:space="preserve">the biotic community as such </w:t>
      </w:r>
      <w:r w:rsidRPr="00DE4144">
        <w:rPr>
          <w:rFonts w:ascii="Perpetua" w:hAnsi="Perpetua"/>
          <w:i/>
          <w:iCs/>
          <w:sz w:val="16"/>
          <w:szCs w:val="16"/>
        </w:rPr>
        <w:t xml:space="preserve">and </w:t>
      </w:r>
      <w:r w:rsidRPr="00DE4144">
        <w:rPr>
          <w:rFonts w:ascii="Perpetua" w:hAnsi="Perpetua"/>
          <w:sz w:val="16"/>
          <w:szCs w:val="16"/>
        </w:rPr>
        <w:t xml:space="preserve">(not, I emphasise, instead of its individual members, would be morally considerable’, p. 360. </w:t>
      </w:r>
      <w:r w:rsidR="00711B9E" w:rsidRPr="00DE4144">
        <w:rPr>
          <w:rFonts w:ascii="Perpetua" w:hAnsi="Perpetua"/>
          <w:sz w:val="16"/>
          <w:szCs w:val="16"/>
        </w:rPr>
        <w:t>I suggest it’s the</w:t>
      </w:r>
      <w:r w:rsidRPr="00DE4144">
        <w:rPr>
          <w:rFonts w:ascii="Perpetua" w:hAnsi="Perpetua"/>
          <w:sz w:val="16"/>
          <w:szCs w:val="16"/>
        </w:rPr>
        <w:t xml:space="preserve"> use of ‘I emphasise’ and mention of ‘moral </w:t>
      </w:r>
      <w:proofErr w:type="spellStart"/>
      <w:r w:rsidRPr="00DE4144">
        <w:rPr>
          <w:rFonts w:ascii="Perpetua" w:hAnsi="Perpetua"/>
          <w:sz w:val="16"/>
          <w:szCs w:val="16"/>
        </w:rPr>
        <w:t>considerability</w:t>
      </w:r>
      <w:proofErr w:type="spellEnd"/>
      <w:r w:rsidRPr="00DE4144">
        <w:rPr>
          <w:rFonts w:ascii="Perpetua" w:hAnsi="Perpetua"/>
          <w:sz w:val="16"/>
          <w:szCs w:val="16"/>
        </w:rPr>
        <w:t>’ which marks it out as not Midgley/not entirely Midgley-</w:t>
      </w:r>
      <w:proofErr w:type="spellStart"/>
      <w:r w:rsidRPr="00DE4144">
        <w:rPr>
          <w:rFonts w:ascii="Perpetua" w:hAnsi="Perpetua"/>
          <w:sz w:val="16"/>
          <w:szCs w:val="16"/>
        </w:rPr>
        <w:t>esque</w:t>
      </w:r>
      <w:proofErr w:type="spellEnd"/>
      <w:r w:rsidRPr="00DE4144">
        <w:rPr>
          <w:rFonts w:ascii="Perpetua" w:hAnsi="Perpetua"/>
          <w:sz w:val="16"/>
          <w:szCs w:val="16"/>
        </w:rPr>
        <w:t xml:space="preserve">. </w:t>
      </w:r>
    </w:p>
  </w:footnote>
  <w:footnote w:id="115">
    <w:p w14:paraId="55FA7027" w14:textId="1F7832C9" w:rsidR="009C34C2" w:rsidRPr="00DE4144" w:rsidRDefault="009C34C2" w:rsidP="00DE4144">
      <w:pPr>
        <w:spacing w:line="240" w:lineRule="auto"/>
        <w:rPr>
          <w:rFonts w:ascii="Perpetua" w:hAnsi="Perpetua"/>
          <w:sz w:val="16"/>
          <w:szCs w:val="16"/>
        </w:rPr>
      </w:pPr>
      <w:r w:rsidRPr="00DE4144">
        <w:rPr>
          <w:rStyle w:val="FootnoteReference"/>
          <w:rFonts w:ascii="Perpetua" w:hAnsi="Perpetua"/>
          <w:sz w:val="16"/>
          <w:szCs w:val="16"/>
        </w:rPr>
        <w:footnoteRef/>
      </w:r>
      <w:r w:rsidRPr="00DE4144">
        <w:rPr>
          <w:rFonts w:ascii="Perpetua" w:hAnsi="Perpetua"/>
          <w:sz w:val="16"/>
          <w:szCs w:val="16"/>
        </w:rPr>
        <w:t xml:space="preserve"> Midgley was not the only resource he drew upon. Famously, he also drew on Native-American tradition. As to the wisdom of that decision, see </w:t>
      </w:r>
      <w:proofErr w:type="spellStart"/>
      <w:proofErr w:type="gramStart"/>
      <w:r w:rsidRPr="00DE4144">
        <w:rPr>
          <w:rFonts w:ascii="Perpetua" w:hAnsi="Perpetua"/>
          <w:sz w:val="16"/>
          <w:szCs w:val="16"/>
        </w:rPr>
        <w:t>A</w:t>
      </w:r>
      <w:r w:rsidR="00DE4144" w:rsidRPr="00DE4144">
        <w:rPr>
          <w:rFonts w:ascii="Perpetua" w:hAnsi="Perpetua"/>
          <w:sz w:val="16"/>
          <w:szCs w:val="16"/>
        </w:rPr>
        <w:t>.</w:t>
      </w:r>
      <w:r w:rsidRPr="00DE4144">
        <w:rPr>
          <w:rFonts w:ascii="Perpetua" w:hAnsi="Perpetua"/>
          <w:sz w:val="16"/>
          <w:szCs w:val="16"/>
        </w:rPr>
        <w:t>Taylor</w:t>
      </w:r>
      <w:proofErr w:type="spellEnd"/>
      <w:proofErr w:type="gramEnd"/>
      <w:r w:rsidRPr="00DE4144">
        <w:rPr>
          <w:rFonts w:ascii="Perpetua" w:hAnsi="Perpetua"/>
          <w:sz w:val="16"/>
          <w:szCs w:val="16"/>
        </w:rPr>
        <w:t xml:space="preserve"> “Environmental Ethics and Respect for Animals” in W. Ouderkirk and J. Hill eds., </w:t>
      </w:r>
      <w:r w:rsidRPr="00DE4144">
        <w:rPr>
          <w:rFonts w:ascii="Perpetua" w:hAnsi="Perpetua"/>
          <w:i/>
          <w:iCs/>
          <w:sz w:val="16"/>
          <w:szCs w:val="16"/>
        </w:rPr>
        <w:t>Land, Value, Community: Callicott and Environmental Philosophy</w:t>
      </w:r>
      <w:r w:rsidRPr="00DE4144">
        <w:rPr>
          <w:rFonts w:ascii="Perpetua" w:hAnsi="Perpetua"/>
          <w:sz w:val="16"/>
          <w:szCs w:val="16"/>
        </w:rPr>
        <w:t>. (Albany: State of University of New York Press, 2002), pp. 229 - 236.</w:t>
      </w:r>
    </w:p>
    <w:p w14:paraId="03AD6CF3" w14:textId="77777777" w:rsidR="009C34C2" w:rsidRPr="00414A2A" w:rsidRDefault="009C34C2" w:rsidP="009C34C2">
      <w:pPr>
        <w:spacing w:line="240" w:lineRule="auto"/>
        <w:jc w:val="both"/>
        <w:rPr>
          <w:rFonts w:ascii="Perpetua" w:hAnsi="Perpetua"/>
        </w:rPr>
      </w:pPr>
    </w:p>
    <w:p w14:paraId="2F396585" w14:textId="77777777" w:rsidR="009C34C2" w:rsidRPr="00414A2A" w:rsidRDefault="009C34C2" w:rsidP="009C34C2">
      <w:pPr>
        <w:pStyle w:val="FootnoteText"/>
        <w:jc w:val="both"/>
        <w:rPr>
          <w:rFonts w:ascii="Perpetua" w:hAnsi="Perpetua"/>
        </w:rPr>
      </w:pPr>
    </w:p>
  </w:footnote>
  <w:footnote w:id="116">
    <w:p w14:paraId="427B5C39" w14:textId="77777777" w:rsidR="009C34C2" w:rsidRPr="0038701E" w:rsidRDefault="009C34C2" w:rsidP="009C34C2">
      <w:pPr>
        <w:pStyle w:val="FootnoteText"/>
        <w:jc w:val="both"/>
        <w:rPr>
          <w:rFonts w:ascii="Perpetua" w:hAnsi="Perpetua"/>
          <w:color w:val="000000" w:themeColor="text1"/>
          <w:sz w:val="16"/>
          <w:szCs w:val="16"/>
        </w:rPr>
      </w:pPr>
      <w:r w:rsidRPr="0038701E">
        <w:rPr>
          <w:rStyle w:val="FootnoteReference"/>
          <w:rFonts w:ascii="Perpetua" w:hAnsi="Perpetua"/>
          <w:color w:val="000000" w:themeColor="text1"/>
          <w:sz w:val="16"/>
          <w:szCs w:val="16"/>
        </w:rPr>
        <w:footnoteRef/>
      </w:r>
      <w:r w:rsidRPr="0038701E">
        <w:rPr>
          <w:rFonts w:ascii="Perpetua" w:hAnsi="Perpetua"/>
          <w:color w:val="000000" w:themeColor="text1"/>
          <w:sz w:val="16"/>
          <w:szCs w:val="16"/>
        </w:rPr>
        <w:t xml:space="preserve"> K. McShane, ‘Anthropocentrism vs. </w:t>
      </w:r>
      <w:proofErr w:type="spellStart"/>
      <w:r w:rsidRPr="0038701E">
        <w:rPr>
          <w:rFonts w:ascii="Perpetua" w:hAnsi="Perpetua"/>
          <w:color w:val="000000" w:themeColor="text1"/>
          <w:sz w:val="16"/>
          <w:szCs w:val="16"/>
        </w:rPr>
        <w:t>Nonanthropocentrism</w:t>
      </w:r>
      <w:proofErr w:type="spellEnd"/>
      <w:r w:rsidRPr="0038701E">
        <w:rPr>
          <w:rFonts w:ascii="Perpetua" w:hAnsi="Perpetua"/>
          <w:color w:val="000000" w:themeColor="text1"/>
          <w:sz w:val="16"/>
          <w:szCs w:val="16"/>
        </w:rPr>
        <w:t xml:space="preserve">: Why Should We Care?’, </w:t>
      </w:r>
      <w:r w:rsidRPr="0038701E">
        <w:rPr>
          <w:rFonts w:ascii="Perpetua" w:hAnsi="Perpetua"/>
          <w:i/>
          <w:color w:val="000000" w:themeColor="text1"/>
          <w:sz w:val="16"/>
          <w:szCs w:val="16"/>
        </w:rPr>
        <w:t xml:space="preserve">Environmental Values </w:t>
      </w:r>
      <w:r w:rsidRPr="0038701E">
        <w:rPr>
          <w:rFonts w:ascii="Perpetua" w:hAnsi="Perpetua"/>
          <w:iCs/>
          <w:color w:val="000000" w:themeColor="text1"/>
          <w:sz w:val="16"/>
          <w:szCs w:val="16"/>
        </w:rPr>
        <w:t xml:space="preserve">16 (2007), pp. 169 – 185. For ‘convergence hypothesis’: see Bryan Norton (Text 3). For </w:t>
      </w:r>
      <w:r w:rsidRPr="0038701E">
        <w:rPr>
          <w:rFonts w:ascii="Perpetua" w:hAnsi="Perpetua"/>
          <w:color w:val="000000" w:themeColor="text1"/>
          <w:sz w:val="16"/>
          <w:szCs w:val="16"/>
        </w:rPr>
        <w:t xml:space="preserve">pragmatist take on intrinsic value/what is often regarded as the arrival of pragmatism in EE, see A. Weston, ‘Beyond Intrinsic Value: Pragmatism in Environmental Ethics’, </w:t>
      </w:r>
      <w:r w:rsidRPr="0038701E">
        <w:rPr>
          <w:rFonts w:ascii="Perpetua" w:hAnsi="Perpetua"/>
          <w:i/>
          <w:iCs/>
          <w:color w:val="000000" w:themeColor="text1"/>
          <w:sz w:val="16"/>
          <w:szCs w:val="16"/>
        </w:rPr>
        <w:t xml:space="preserve">Environmental Ethics </w:t>
      </w:r>
      <w:r w:rsidRPr="0038701E">
        <w:rPr>
          <w:rFonts w:ascii="Perpetua" w:hAnsi="Perpetua"/>
          <w:color w:val="000000" w:themeColor="text1"/>
          <w:sz w:val="16"/>
          <w:szCs w:val="16"/>
        </w:rPr>
        <w:t>Vol 7 (Winter 1985), pp. 321 – 339. ‘Environmental pragmatism can be understood as emerging in the 1980s, with Anthony Weston’s ‘Beyond Intrinsic Value…’, Kawall (2015), p.19.</w:t>
      </w:r>
    </w:p>
  </w:footnote>
  <w:footnote w:id="117">
    <w:p w14:paraId="118DCD2D" w14:textId="006B82C2" w:rsidR="009C34C2" w:rsidRPr="0038701E" w:rsidRDefault="009C34C2" w:rsidP="009C34C2">
      <w:pPr>
        <w:pStyle w:val="FootnoteText"/>
        <w:jc w:val="both"/>
        <w:rPr>
          <w:rFonts w:ascii="Perpetua" w:hAnsi="Perpetua"/>
          <w:iCs/>
          <w:color w:val="000000" w:themeColor="text1"/>
          <w:sz w:val="16"/>
          <w:szCs w:val="16"/>
        </w:rPr>
      </w:pPr>
      <w:r w:rsidRPr="0038701E">
        <w:rPr>
          <w:rStyle w:val="FootnoteReference"/>
          <w:rFonts w:ascii="Perpetua" w:hAnsi="Perpetua"/>
          <w:color w:val="000000" w:themeColor="text1"/>
          <w:sz w:val="16"/>
          <w:szCs w:val="16"/>
        </w:rPr>
        <w:footnoteRef/>
      </w:r>
      <w:r w:rsidRPr="0038701E">
        <w:rPr>
          <w:rFonts w:ascii="Perpetua" w:hAnsi="Perpetua"/>
          <w:color w:val="000000" w:themeColor="text1"/>
          <w:sz w:val="16"/>
          <w:szCs w:val="16"/>
        </w:rPr>
        <w:t xml:space="preserve"> K. McShane,</w:t>
      </w:r>
      <w:r w:rsidRPr="0038701E">
        <w:rPr>
          <w:rFonts w:ascii="Perpetua" w:hAnsi="Perpetua"/>
          <w:i/>
          <w:color w:val="000000" w:themeColor="text1"/>
          <w:sz w:val="16"/>
          <w:szCs w:val="16"/>
        </w:rPr>
        <w:t xml:space="preserve"> </w:t>
      </w:r>
      <w:r w:rsidRPr="0038701E">
        <w:rPr>
          <w:rFonts w:ascii="Perpetua" w:hAnsi="Perpetua"/>
          <w:iCs/>
          <w:color w:val="000000" w:themeColor="text1"/>
          <w:sz w:val="16"/>
          <w:szCs w:val="16"/>
        </w:rPr>
        <w:t>‘Anthropocentrism’ (2007), p. 179. In the context of ‘how we ought to feel about the world’ the difference between anthropocentrism/</w:t>
      </w:r>
      <w:proofErr w:type="spellStart"/>
      <w:r w:rsidRPr="0038701E">
        <w:rPr>
          <w:rFonts w:ascii="Perpetua" w:hAnsi="Perpetua"/>
          <w:iCs/>
          <w:color w:val="000000" w:themeColor="text1"/>
          <w:sz w:val="16"/>
          <w:szCs w:val="16"/>
        </w:rPr>
        <w:t>nonanthropocentrism</w:t>
      </w:r>
      <w:proofErr w:type="spellEnd"/>
      <w:r w:rsidRPr="0038701E">
        <w:rPr>
          <w:rFonts w:ascii="Perpetua" w:hAnsi="Perpetua"/>
          <w:iCs/>
          <w:color w:val="000000" w:themeColor="text1"/>
          <w:sz w:val="16"/>
          <w:szCs w:val="16"/>
        </w:rPr>
        <w:t xml:space="preserve"> is ‘considerable’, p. 179. McShane’s normative anthropocentrism purposefully avoids any reference to ‘intrinsic value’ because intrinsic value (IV) (</w:t>
      </w:r>
      <w:proofErr w:type="spellStart"/>
      <w:r w:rsidRPr="0038701E">
        <w:rPr>
          <w:rFonts w:ascii="Perpetua" w:hAnsi="Perpetua"/>
          <w:iCs/>
          <w:color w:val="000000" w:themeColor="text1"/>
          <w:sz w:val="16"/>
          <w:szCs w:val="16"/>
        </w:rPr>
        <w:t>i</w:t>
      </w:r>
      <w:proofErr w:type="spellEnd"/>
      <w:r w:rsidRPr="0038701E">
        <w:rPr>
          <w:rFonts w:ascii="Perpetua" w:hAnsi="Perpetua"/>
          <w:iCs/>
          <w:color w:val="000000" w:themeColor="text1"/>
          <w:sz w:val="16"/>
          <w:szCs w:val="16"/>
        </w:rPr>
        <w:t>) carries metaphysical baggage but is a normative concept and (ii) it is not true that IV is the only way to deny anthropocentrism (‘</w:t>
      </w:r>
      <w:proofErr w:type="spellStart"/>
      <w:r w:rsidRPr="0038701E">
        <w:rPr>
          <w:rFonts w:ascii="Perpetua" w:hAnsi="Perpetua"/>
          <w:iCs/>
          <w:color w:val="000000" w:themeColor="text1"/>
          <w:sz w:val="16"/>
          <w:szCs w:val="16"/>
        </w:rPr>
        <w:t>Anthropcentrism</w:t>
      </w:r>
      <w:proofErr w:type="spellEnd"/>
      <w:r w:rsidRPr="0038701E">
        <w:rPr>
          <w:rFonts w:ascii="Perpetua" w:hAnsi="Perpetua"/>
          <w:iCs/>
          <w:color w:val="000000" w:themeColor="text1"/>
          <w:sz w:val="16"/>
          <w:szCs w:val="16"/>
        </w:rPr>
        <w:t>’ pp. 170 – 171).</w:t>
      </w:r>
    </w:p>
  </w:footnote>
  <w:footnote w:id="118">
    <w:p w14:paraId="0805025B" w14:textId="77777777" w:rsidR="009C34C2" w:rsidRPr="0038701E" w:rsidRDefault="009C34C2" w:rsidP="009C34C2">
      <w:pPr>
        <w:pStyle w:val="FootnoteText"/>
        <w:jc w:val="both"/>
        <w:rPr>
          <w:rFonts w:ascii="Perpetua" w:hAnsi="Perpetua"/>
          <w:color w:val="000000" w:themeColor="text1"/>
          <w:sz w:val="16"/>
          <w:szCs w:val="16"/>
        </w:rPr>
      </w:pPr>
      <w:r w:rsidRPr="0038701E">
        <w:rPr>
          <w:rStyle w:val="FootnoteReference"/>
          <w:rFonts w:ascii="Perpetua" w:hAnsi="Perpetua"/>
          <w:color w:val="000000" w:themeColor="text1"/>
          <w:sz w:val="16"/>
          <w:szCs w:val="16"/>
        </w:rPr>
        <w:footnoteRef/>
      </w:r>
      <w:r w:rsidRPr="0038701E">
        <w:rPr>
          <w:rFonts w:ascii="Perpetua" w:hAnsi="Perpetua"/>
          <w:color w:val="000000" w:themeColor="text1"/>
          <w:sz w:val="16"/>
          <w:szCs w:val="16"/>
        </w:rPr>
        <w:t xml:space="preserve"> K. McShane, ‘Why Environmental Ethic Shouldn’t Give Up on Intrinsic Value’, </w:t>
      </w:r>
      <w:r w:rsidRPr="0038701E">
        <w:rPr>
          <w:rFonts w:ascii="Perpetua" w:hAnsi="Perpetua"/>
          <w:i/>
          <w:iCs/>
          <w:color w:val="000000" w:themeColor="text1"/>
          <w:sz w:val="16"/>
          <w:szCs w:val="16"/>
        </w:rPr>
        <w:t>Environmental Ethics</w:t>
      </w:r>
      <w:r w:rsidRPr="0038701E">
        <w:rPr>
          <w:rFonts w:ascii="Perpetua" w:hAnsi="Perpetua"/>
          <w:color w:val="000000" w:themeColor="text1"/>
          <w:sz w:val="16"/>
          <w:szCs w:val="16"/>
        </w:rPr>
        <w:t xml:space="preserve">, Vol. 29(1) (Spring 2007), pp. 43 – 61. Similarly, in ‘Truth and Goodness: Metaethics in Environmental Ethics’, she argues against the idea that EE should have no interest in metaethics on the basis that it ‘is an important part of our story …and human practices in the world’, p.147. Her view on normative/metaethics divide being that metaethics can have normative implications (per R. Dworkin etc. ‘Truth and Goodness: Metaethics in Environmental Ethics’, S.M. Gardiner and A. Thompson (eds.), </w:t>
      </w:r>
      <w:r w:rsidRPr="0038701E">
        <w:rPr>
          <w:rFonts w:ascii="Perpetua" w:hAnsi="Perpetua"/>
          <w:i/>
          <w:iCs/>
          <w:color w:val="000000" w:themeColor="text1"/>
          <w:sz w:val="16"/>
          <w:szCs w:val="16"/>
        </w:rPr>
        <w:t xml:space="preserve">The Oxford Handbook of Environmental Ethics </w:t>
      </w:r>
      <w:r w:rsidRPr="0038701E">
        <w:rPr>
          <w:rFonts w:ascii="Perpetua" w:hAnsi="Perpetua"/>
          <w:color w:val="000000" w:themeColor="text1"/>
          <w:sz w:val="16"/>
          <w:szCs w:val="16"/>
        </w:rPr>
        <w:t>(Oxford: OUP, 2015), pp. 139 – 150.</w:t>
      </w:r>
    </w:p>
  </w:footnote>
  <w:footnote w:id="119">
    <w:p w14:paraId="433809B7" w14:textId="77777777" w:rsidR="009C34C2" w:rsidRPr="0038701E" w:rsidRDefault="009C34C2" w:rsidP="009C34C2">
      <w:pPr>
        <w:pStyle w:val="FootnoteText"/>
        <w:jc w:val="both"/>
        <w:rPr>
          <w:rFonts w:ascii="Perpetua" w:hAnsi="Perpetua"/>
          <w:color w:val="000000" w:themeColor="text1"/>
          <w:sz w:val="16"/>
          <w:szCs w:val="16"/>
        </w:rPr>
      </w:pPr>
      <w:r w:rsidRPr="0038701E">
        <w:rPr>
          <w:rStyle w:val="FootnoteReference"/>
          <w:rFonts w:ascii="Perpetua" w:hAnsi="Perpetua"/>
          <w:color w:val="000000" w:themeColor="text1"/>
          <w:sz w:val="16"/>
          <w:szCs w:val="16"/>
        </w:rPr>
        <w:footnoteRef/>
      </w:r>
      <w:r w:rsidRPr="0038701E">
        <w:rPr>
          <w:rFonts w:ascii="Perpetua" w:hAnsi="Perpetua"/>
          <w:color w:val="000000" w:themeColor="text1"/>
          <w:sz w:val="16"/>
          <w:szCs w:val="16"/>
        </w:rPr>
        <w:t xml:space="preserve"> For pragmatist take on intrinsic value/what is often regarded as the arrival of pragmatism in EE, see A. Weston, ‘Beyond Intrinsic Value: Pragmatism in Environmental Ethics’, </w:t>
      </w:r>
      <w:r w:rsidRPr="0038701E">
        <w:rPr>
          <w:rFonts w:ascii="Perpetua" w:hAnsi="Perpetua"/>
          <w:i/>
          <w:iCs/>
          <w:color w:val="000000" w:themeColor="text1"/>
          <w:sz w:val="16"/>
          <w:szCs w:val="16"/>
        </w:rPr>
        <w:t xml:space="preserve">Environmental Ethics </w:t>
      </w:r>
      <w:r w:rsidRPr="0038701E">
        <w:rPr>
          <w:rFonts w:ascii="Perpetua" w:hAnsi="Perpetua"/>
          <w:color w:val="000000" w:themeColor="text1"/>
          <w:sz w:val="16"/>
          <w:szCs w:val="16"/>
        </w:rPr>
        <w:t xml:space="preserve">Vol 7 (Winter 1985), pp. 321 – 339. </w:t>
      </w:r>
    </w:p>
  </w:footnote>
  <w:footnote w:id="120">
    <w:p w14:paraId="57D99535" w14:textId="77777777" w:rsidR="009C34C2" w:rsidRPr="0038701E" w:rsidRDefault="009C34C2" w:rsidP="009C34C2">
      <w:pPr>
        <w:pStyle w:val="FootnoteText"/>
        <w:jc w:val="both"/>
        <w:rPr>
          <w:rFonts w:ascii="Perpetua" w:hAnsi="Perpetua"/>
          <w:sz w:val="16"/>
          <w:szCs w:val="16"/>
        </w:rPr>
      </w:pPr>
      <w:r w:rsidRPr="0038701E">
        <w:rPr>
          <w:rStyle w:val="FootnoteReference"/>
          <w:rFonts w:ascii="Perpetua" w:hAnsi="Perpetua"/>
          <w:color w:val="000000" w:themeColor="text1"/>
          <w:sz w:val="16"/>
          <w:szCs w:val="16"/>
        </w:rPr>
        <w:footnoteRef/>
      </w:r>
      <w:r w:rsidRPr="0038701E">
        <w:rPr>
          <w:rFonts w:ascii="Perpetua" w:hAnsi="Perpetua"/>
          <w:color w:val="000000" w:themeColor="text1"/>
          <w:sz w:val="16"/>
          <w:szCs w:val="16"/>
        </w:rPr>
        <w:t xml:space="preserve"> Take sentimentalism as the view associated with Hume, Shaftesbury, Hutcheson…Callicott etc. that morality is ‘founded upon human sentiments’ and is not ‘the deliverance of reason or revelation’ (S. Blackburn</w:t>
      </w:r>
      <w:r w:rsidRPr="0038701E">
        <w:rPr>
          <w:rFonts w:ascii="Perpetua" w:hAnsi="Perpetua"/>
          <w:i/>
          <w:iCs/>
          <w:color w:val="000000" w:themeColor="text1"/>
          <w:sz w:val="16"/>
          <w:szCs w:val="16"/>
        </w:rPr>
        <w:t>, The Oxford Dictionary of</w:t>
      </w:r>
      <w:r w:rsidRPr="0038701E">
        <w:rPr>
          <w:rFonts w:ascii="Perpetua" w:hAnsi="Perpetua"/>
          <w:color w:val="000000" w:themeColor="text1"/>
          <w:sz w:val="16"/>
          <w:szCs w:val="16"/>
        </w:rPr>
        <w:t xml:space="preserve"> </w:t>
      </w:r>
      <w:r w:rsidRPr="0038701E">
        <w:rPr>
          <w:rFonts w:ascii="Perpetua" w:hAnsi="Perpetua"/>
          <w:i/>
          <w:iCs/>
          <w:color w:val="000000" w:themeColor="text1"/>
          <w:sz w:val="16"/>
          <w:szCs w:val="16"/>
        </w:rPr>
        <w:t xml:space="preserve">Philosophy (Oxford: OUP, 2016). </w:t>
      </w:r>
      <w:r w:rsidRPr="0038701E">
        <w:rPr>
          <w:rFonts w:ascii="Perpetua" w:hAnsi="Perpetua"/>
          <w:color w:val="000000" w:themeColor="text1"/>
          <w:sz w:val="16"/>
          <w:szCs w:val="16"/>
        </w:rPr>
        <w:t>Example of Sentimentalist in EE: see Callicott. Take a sentimentalist theory of value founded upon the claim that emotions determine/</w:t>
      </w:r>
      <w:proofErr w:type="gramStart"/>
      <w:r w:rsidRPr="0038701E">
        <w:rPr>
          <w:rFonts w:ascii="Perpetua" w:hAnsi="Perpetua"/>
          <w:color w:val="000000" w:themeColor="text1"/>
          <w:sz w:val="16"/>
          <w:szCs w:val="16"/>
        </w:rPr>
        <w:t>cause</w:t>
      </w:r>
      <w:proofErr w:type="gramEnd"/>
      <w:r w:rsidRPr="0038701E">
        <w:rPr>
          <w:rFonts w:ascii="Perpetua" w:hAnsi="Perpetua"/>
          <w:color w:val="000000" w:themeColor="text1"/>
          <w:sz w:val="16"/>
          <w:szCs w:val="16"/>
        </w:rPr>
        <w:t xml:space="preserve"> what is valuable.  </w:t>
      </w:r>
      <w:r w:rsidRPr="0038701E">
        <w:rPr>
          <w:rFonts w:ascii="Perpetua" w:hAnsi="Perpetua"/>
          <w:iCs/>
          <w:color w:val="000000" w:themeColor="text1"/>
          <w:sz w:val="16"/>
          <w:szCs w:val="16"/>
        </w:rPr>
        <w:t xml:space="preserve">By sentimentalism, when we </w:t>
      </w:r>
      <w:proofErr w:type="gramStart"/>
      <w:r w:rsidRPr="0038701E">
        <w:rPr>
          <w:rFonts w:ascii="Perpetua" w:hAnsi="Perpetua"/>
          <w:iCs/>
          <w:color w:val="000000" w:themeColor="text1"/>
          <w:sz w:val="16"/>
          <w:szCs w:val="16"/>
        </w:rPr>
        <w:t>value</w:t>
      </w:r>
      <w:proofErr w:type="gramEnd"/>
      <w:r w:rsidRPr="0038701E">
        <w:rPr>
          <w:rFonts w:ascii="Perpetua" w:hAnsi="Perpetua"/>
          <w:iCs/>
          <w:color w:val="000000" w:themeColor="text1"/>
          <w:sz w:val="16"/>
          <w:szCs w:val="16"/>
        </w:rPr>
        <w:t xml:space="preserve"> we adopt a valuing attitude. </w:t>
      </w:r>
      <w:r w:rsidRPr="0038701E">
        <w:rPr>
          <w:rFonts w:ascii="Perpetua" w:hAnsi="Perpetua"/>
          <w:color w:val="000000" w:themeColor="text1"/>
          <w:sz w:val="16"/>
          <w:szCs w:val="16"/>
        </w:rPr>
        <w:t>Commonly it is supposed that sentimentalism (</w:t>
      </w:r>
      <w:proofErr w:type="spellStart"/>
      <w:r w:rsidRPr="0038701E">
        <w:rPr>
          <w:rFonts w:ascii="Perpetua" w:hAnsi="Perpetua"/>
          <w:color w:val="000000" w:themeColor="text1"/>
          <w:sz w:val="16"/>
          <w:szCs w:val="16"/>
        </w:rPr>
        <w:t>i</w:t>
      </w:r>
      <w:proofErr w:type="spellEnd"/>
      <w:r w:rsidRPr="0038701E">
        <w:rPr>
          <w:rFonts w:ascii="Perpetua" w:hAnsi="Perpetua"/>
          <w:color w:val="000000" w:themeColor="text1"/>
          <w:sz w:val="16"/>
          <w:szCs w:val="16"/>
        </w:rPr>
        <w:t>) well explains motivation but (ii) poorly explains normativity</w:t>
      </w:r>
      <w:r>
        <w:rPr>
          <w:rFonts w:ascii="Perpetua" w:hAnsi="Perpetua"/>
          <w:color w:val="000000" w:themeColor="text1"/>
          <w:sz w:val="16"/>
          <w:szCs w:val="16"/>
        </w:rPr>
        <w:t>.</w:t>
      </w:r>
      <w:r w:rsidRPr="0038701E">
        <w:rPr>
          <w:rFonts w:ascii="Perpetua" w:hAnsi="Perpetua"/>
          <w:color w:val="000000" w:themeColor="text1"/>
          <w:sz w:val="16"/>
          <w:szCs w:val="16"/>
        </w:rPr>
        <w:t xml:space="preserve"> ‘</w:t>
      </w:r>
      <w:proofErr w:type="spellStart"/>
      <w:r w:rsidRPr="0038701E">
        <w:rPr>
          <w:rFonts w:ascii="Perpetua" w:hAnsi="Perpetua"/>
          <w:color w:val="000000" w:themeColor="text1"/>
          <w:sz w:val="16"/>
          <w:szCs w:val="16"/>
        </w:rPr>
        <w:t>Neosentimentalism</w:t>
      </w:r>
      <w:proofErr w:type="spellEnd"/>
      <w:r w:rsidRPr="0038701E">
        <w:rPr>
          <w:rFonts w:ascii="Perpetua" w:hAnsi="Perpetua"/>
          <w:color w:val="000000" w:themeColor="text1"/>
          <w:sz w:val="16"/>
          <w:szCs w:val="16"/>
        </w:rPr>
        <w:t xml:space="preserve">’ (see also </w:t>
      </w:r>
      <w:proofErr w:type="spellStart"/>
      <w:r w:rsidRPr="0038701E">
        <w:rPr>
          <w:rFonts w:ascii="Perpetua" w:hAnsi="Perpetua"/>
          <w:color w:val="000000" w:themeColor="text1"/>
          <w:sz w:val="16"/>
          <w:szCs w:val="16"/>
        </w:rPr>
        <w:t>SensibilityTheory</w:t>
      </w:r>
      <w:proofErr w:type="spellEnd"/>
      <w:r w:rsidRPr="0038701E">
        <w:rPr>
          <w:rFonts w:ascii="Perpetua" w:hAnsi="Perpetua"/>
          <w:color w:val="000000" w:themeColor="text1"/>
          <w:sz w:val="16"/>
          <w:szCs w:val="16"/>
        </w:rPr>
        <w:t>; Fitting Attitudes Analysis) being an attempt to correct the supposed lack of normativity. Thus ‘a</w:t>
      </w:r>
      <w:r w:rsidRPr="0038701E">
        <w:rPr>
          <w:rFonts w:ascii="Perpetua" w:hAnsi="Perpetua"/>
          <w:color w:val="000000" w:themeColor="text1"/>
          <w:sz w:val="16"/>
          <w:szCs w:val="16"/>
          <w:shd w:val="clear" w:color="auto" w:fill="FFFFFF"/>
        </w:rPr>
        <w:t>n evaluative property is not a disposition to </w:t>
      </w:r>
      <w:r w:rsidRPr="0038701E">
        <w:rPr>
          <w:rStyle w:val="Emphasis"/>
          <w:rFonts w:ascii="Perpetua" w:hAnsi="Perpetua"/>
          <w:color w:val="000000" w:themeColor="text1"/>
          <w:sz w:val="16"/>
          <w:szCs w:val="16"/>
          <w:shd w:val="clear" w:color="auto" w:fill="FFFFFF"/>
        </w:rPr>
        <w:t>cause</w:t>
      </w:r>
      <w:r w:rsidRPr="0038701E">
        <w:rPr>
          <w:rFonts w:ascii="Perpetua" w:hAnsi="Perpetua"/>
          <w:color w:val="000000" w:themeColor="text1"/>
          <w:sz w:val="16"/>
          <w:szCs w:val="16"/>
          <w:shd w:val="clear" w:color="auto" w:fill="FFFFFF"/>
        </w:rPr>
        <w:t> responses in us, but the property of </w:t>
      </w:r>
      <w:r w:rsidRPr="0038701E">
        <w:rPr>
          <w:rStyle w:val="Emphasis"/>
          <w:rFonts w:ascii="Perpetua" w:hAnsi="Perpetua"/>
          <w:color w:val="000000" w:themeColor="text1"/>
          <w:sz w:val="16"/>
          <w:szCs w:val="16"/>
          <w:shd w:val="clear" w:color="auto" w:fill="FFFFFF"/>
        </w:rPr>
        <w:t>meriting</w:t>
      </w:r>
      <w:r w:rsidRPr="0038701E">
        <w:rPr>
          <w:rFonts w:ascii="Perpetua" w:hAnsi="Perpetua"/>
          <w:color w:val="000000" w:themeColor="text1"/>
          <w:sz w:val="16"/>
          <w:szCs w:val="16"/>
          <w:shd w:val="clear" w:color="auto" w:fill="FFFFFF"/>
        </w:rPr>
        <w:t> a response from us. An evaluative property is not a disposition to </w:t>
      </w:r>
      <w:r w:rsidRPr="0038701E">
        <w:rPr>
          <w:rStyle w:val="Emphasis"/>
          <w:rFonts w:ascii="Perpetua" w:hAnsi="Perpetua"/>
          <w:color w:val="000000" w:themeColor="text1"/>
          <w:sz w:val="16"/>
          <w:szCs w:val="16"/>
          <w:shd w:val="clear" w:color="auto" w:fill="FFFFFF"/>
        </w:rPr>
        <w:t>cause</w:t>
      </w:r>
      <w:r w:rsidRPr="0038701E">
        <w:rPr>
          <w:rFonts w:ascii="Perpetua" w:hAnsi="Perpetua"/>
          <w:color w:val="000000" w:themeColor="text1"/>
          <w:sz w:val="16"/>
          <w:szCs w:val="16"/>
          <w:shd w:val="clear" w:color="auto" w:fill="FFFFFF"/>
        </w:rPr>
        <w:t> responses in us, but the property of </w:t>
      </w:r>
      <w:r w:rsidRPr="0038701E">
        <w:rPr>
          <w:rStyle w:val="Emphasis"/>
          <w:rFonts w:ascii="Perpetua" w:hAnsi="Perpetua"/>
          <w:color w:val="000000" w:themeColor="text1"/>
          <w:sz w:val="16"/>
          <w:szCs w:val="16"/>
          <w:shd w:val="clear" w:color="auto" w:fill="FFFFFF"/>
        </w:rPr>
        <w:t>meriting</w:t>
      </w:r>
      <w:r w:rsidRPr="0038701E">
        <w:rPr>
          <w:rFonts w:ascii="Perpetua" w:hAnsi="Perpetua"/>
          <w:color w:val="000000" w:themeColor="text1"/>
          <w:sz w:val="16"/>
          <w:szCs w:val="16"/>
          <w:shd w:val="clear" w:color="auto" w:fill="FFFFFF"/>
        </w:rPr>
        <w:t> a response from us.’ (</w:t>
      </w:r>
      <w:r w:rsidRPr="0038701E">
        <w:rPr>
          <w:rFonts w:ascii="Perpetua" w:hAnsi="Perpetua"/>
          <w:color w:val="000000" w:themeColor="text1"/>
          <w:sz w:val="16"/>
          <w:szCs w:val="16"/>
        </w:rPr>
        <w:t>Kauppinen, Antti, "Moral Sentimentalism", </w:t>
      </w:r>
      <w:r w:rsidRPr="0038701E">
        <w:rPr>
          <w:rStyle w:val="Emphasis"/>
          <w:rFonts w:ascii="Perpetua" w:hAnsi="Perpetua"/>
          <w:color w:val="000000" w:themeColor="text1"/>
          <w:sz w:val="16"/>
          <w:szCs w:val="16"/>
        </w:rPr>
        <w:t xml:space="preserve">The Stanford </w:t>
      </w:r>
      <w:proofErr w:type="spellStart"/>
      <w:r w:rsidRPr="0038701E">
        <w:rPr>
          <w:rStyle w:val="Emphasis"/>
          <w:rFonts w:ascii="Perpetua" w:hAnsi="Perpetua"/>
          <w:color w:val="000000" w:themeColor="text1"/>
          <w:sz w:val="16"/>
          <w:szCs w:val="16"/>
        </w:rPr>
        <w:t>Encyclopedia</w:t>
      </w:r>
      <w:proofErr w:type="spellEnd"/>
      <w:r w:rsidRPr="0038701E">
        <w:rPr>
          <w:rStyle w:val="Emphasis"/>
          <w:rFonts w:ascii="Perpetua" w:hAnsi="Perpetua"/>
          <w:color w:val="000000" w:themeColor="text1"/>
          <w:sz w:val="16"/>
          <w:szCs w:val="16"/>
        </w:rPr>
        <w:t xml:space="preserve"> of Philosophy </w:t>
      </w:r>
      <w:r w:rsidRPr="0038701E">
        <w:rPr>
          <w:rFonts w:ascii="Perpetua" w:hAnsi="Perpetua"/>
          <w:color w:val="000000" w:themeColor="text1"/>
          <w:sz w:val="16"/>
          <w:szCs w:val="16"/>
        </w:rPr>
        <w:t xml:space="preserve">(Spring 2022 Edition), Edward N. Zalta (ed.), URL = </w:t>
      </w:r>
      <w:r w:rsidRPr="0038701E">
        <w:rPr>
          <w:rFonts w:ascii="Perpetua" w:hAnsi="Perpetua"/>
          <w:color w:val="1A1A1A"/>
          <w:sz w:val="16"/>
          <w:szCs w:val="16"/>
        </w:rPr>
        <w:t>&lt;https://plato.stanford.edu/archives/spr2022/entries/moral-sentimentalism/&gt;.)</w:t>
      </w:r>
      <w:r w:rsidRPr="0038701E">
        <w:rPr>
          <w:rFonts w:ascii="Perpetua" w:hAnsi="Perpetua"/>
          <w:color w:val="1A1A1A"/>
          <w:sz w:val="16"/>
          <w:szCs w:val="16"/>
          <w:shd w:val="clear" w:color="auto" w:fill="FFFFFF"/>
        </w:rPr>
        <w:t> </w:t>
      </w:r>
      <w:r w:rsidRPr="0038701E">
        <w:rPr>
          <w:rFonts w:ascii="Perpetua" w:hAnsi="Perpetua"/>
          <w:sz w:val="16"/>
          <w:szCs w:val="16"/>
        </w:rPr>
        <w:t xml:space="preserve">   The first use of </w:t>
      </w:r>
      <w:proofErr w:type="spellStart"/>
      <w:r w:rsidRPr="0038701E">
        <w:rPr>
          <w:rFonts w:ascii="Perpetua" w:hAnsi="Perpetua"/>
          <w:sz w:val="16"/>
          <w:szCs w:val="16"/>
        </w:rPr>
        <w:t>neosentimentalism</w:t>
      </w:r>
      <w:proofErr w:type="spellEnd"/>
      <w:r w:rsidRPr="0038701E">
        <w:rPr>
          <w:rFonts w:ascii="Perpetua" w:hAnsi="Perpetua"/>
          <w:sz w:val="16"/>
          <w:szCs w:val="16"/>
        </w:rPr>
        <w:t xml:space="preserve"> being in J. </w:t>
      </w:r>
      <w:proofErr w:type="spellStart"/>
      <w:r w:rsidRPr="0038701E">
        <w:rPr>
          <w:rFonts w:ascii="Perpetua" w:hAnsi="Perpetua"/>
          <w:sz w:val="16"/>
          <w:szCs w:val="16"/>
        </w:rPr>
        <w:t>D’Arms</w:t>
      </w:r>
      <w:proofErr w:type="spellEnd"/>
      <w:r w:rsidRPr="0038701E">
        <w:rPr>
          <w:rFonts w:ascii="Perpetua" w:hAnsi="Perpetua"/>
          <w:sz w:val="16"/>
          <w:szCs w:val="16"/>
        </w:rPr>
        <w:t xml:space="preserve"> and D. Jacobson ‘Sentiment and Value’, </w:t>
      </w:r>
      <w:r w:rsidRPr="0038701E">
        <w:rPr>
          <w:rFonts w:ascii="Perpetua" w:hAnsi="Perpetua"/>
          <w:i/>
          <w:iCs/>
          <w:sz w:val="16"/>
          <w:szCs w:val="16"/>
        </w:rPr>
        <w:t xml:space="preserve">Ethics </w:t>
      </w:r>
      <w:r w:rsidRPr="0038701E">
        <w:rPr>
          <w:rFonts w:ascii="Perpetua" w:hAnsi="Perpetua"/>
          <w:sz w:val="16"/>
          <w:szCs w:val="16"/>
        </w:rPr>
        <w:t xml:space="preserve">110 (2000): </w:t>
      </w:r>
      <w:r>
        <w:rPr>
          <w:rFonts w:ascii="Perpetua" w:hAnsi="Perpetua"/>
          <w:sz w:val="16"/>
          <w:szCs w:val="16"/>
        </w:rPr>
        <w:t>p. 39.</w:t>
      </w:r>
      <w:r w:rsidRPr="0038701E">
        <w:rPr>
          <w:rFonts w:ascii="Perpetua" w:hAnsi="Perpetua"/>
          <w:sz w:val="16"/>
          <w:szCs w:val="16"/>
        </w:rPr>
        <w:t xml:space="preserve"> </w:t>
      </w:r>
    </w:p>
    <w:p w14:paraId="513E0964" w14:textId="77777777" w:rsidR="009C34C2" w:rsidRPr="0038701E" w:rsidRDefault="009C34C2" w:rsidP="009C34C2">
      <w:pPr>
        <w:pStyle w:val="FootnoteText"/>
        <w:jc w:val="both"/>
        <w:rPr>
          <w:rFonts w:ascii="Perpetua" w:hAnsi="Perpetua"/>
          <w:sz w:val="16"/>
          <w:szCs w:val="16"/>
        </w:rPr>
      </w:pPr>
    </w:p>
    <w:p w14:paraId="53FB13D3" w14:textId="77777777" w:rsidR="009C34C2" w:rsidRPr="001C6225" w:rsidRDefault="009C34C2" w:rsidP="009C34C2">
      <w:pPr>
        <w:pStyle w:val="FootnoteText"/>
        <w:rPr>
          <w:sz w:val="16"/>
          <w:szCs w:val="16"/>
        </w:rPr>
      </w:pPr>
      <w:r w:rsidRPr="0038701E">
        <w:rPr>
          <w:rFonts w:ascii="Perpetua" w:hAnsi="Perpetua"/>
          <w:sz w:val="16"/>
          <w:szCs w:val="16"/>
        </w:rPr>
        <w:t xml:space="preserve">For K. McShane’s extended treatment of </w:t>
      </w:r>
      <w:r>
        <w:rPr>
          <w:rFonts w:ascii="Perpetua" w:hAnsi="Perpetua"/>
          <w:sz w:val="16"/>
          <w:szCs w:val="16"/>
        </w:rPr>
        <w:t xml:space="preserve">a named </w:t>
      </w:r>
      <w:proofErr w:type="spellStart"/>
      <w:r w:rsidRPr="0038701E">
        <w:rPr>
          <w:rFonts w:ascii="Perpetua" w:hAnsi="Perpetua"/>
          <w:sz w:val="16"/>
          <w:szCs w:val="16"/>
        </w:rPr>
        <w:t>Neosentimentalism</w:t>
      </w:r>
      <w:proofErr w:type="spellEnd"/>
      <w:r w:rsidRPr="0038701E">
        <w:rPr>
          <w:rFonts w:ascii="Perpetua" w:hAnsi="Perpetua"/>
          <w:sz w:val="16"/>
          <w:szCs w:val="16"/>
        </w:rPr>
        <w:t xml:space="preserve"> in EE: ‘</w:t>
      </w:r>
      <w:proofErr w:type="spellStart"/>
      <w:r w:rsidRPr="0038701E">
        <w:rPr>
          <w:rFonts w:ascii="Perpetua" w:hAnsi="Perpetua"/>
          <w:sz w:val="16"/>
          <w:szCs w:val="16"/>
        </w:rPr>
        <w:t>Neosentimentalism</w:t>
      </w:r>
      <w:proofErr w:type="spellEnd"/>
      <w:r w:rsidRPr="0038701E">
        <w:rPr>
          <w:rFonts w:ascii="Perpetua" w:hAnsi="Perpetua"/>
          <w:sz w:val="16"/>
          <w:szCs w:val="16"/>
        </w:rPr>
        <w:t xml:space="preserve"> and Environmental Ethics’, </w:t>
      </w:r>
      <w:r w:rsidRPr="0038701E">
        <w:rPr>
          <w:rFonts w:ascii="Perpetua" w:hAnsi="Perpetua"/>
          <w:i/>
          <w:iCs/>
          <w:sz w:val="16"/>
          <w:szCs w:val="16"/>
        </w:rPr>
        <w:t xml:space="preserve">Environmental </w:t>
      </w:r>
      <w:r w:rsidRPr="0038701E">
        <w:rPr>
          <w:rFonts w:ascii="Perpetua" w:hAnsi="Perpetua"/>
          <w:sz w:val="16"/>
          <w:szCs w:val="16"/>
        </w:rPr>
        <w:t>Ethics</w:t>
      </w:r>
      <w:r>
        <w:rPr>
          <w:rFonts w:ascii="Perpetua" w:hAnsi="Perpetua"/>
          <w:sz w:val="16"/>
          <w:szCs w:val="16"/>
        </w:rPr>
        <w:t xml:space="preserve">, </w:t>
      </w:r>
      <w:r w:rsidRPr="0038701E">
        <w:rPr>
          <w:rFonts w:ascii="Perpetua" w:hAnsi="Perpetua"/>
          <w:sz w:val="16"/>
          <w:szCs w:val="16"/>
        </w:rPr>
        <w:t xml:space="preserve">Vol. 33 (6), pp. 5 – 23.  </w:t>
      </w:r>
    </w:p>
  </w:footnote>
  <w:footnote w:id="121">
    <w:p w14:paraId="62345EF7" w14:textId="77777777" w:rsidR="009C34C2" w:rsidRPr="007A463E" w:rsidRDefault="009C34C2" w:rsidP="009C34C2">
      <w:pPr>
        <w:spacing w:after="0" w:line="240" w:lineRule="auto"/>
        <w:jc w:val="both"/>
        <w:rPr>
          <w:rFonts w:ascii="Perpetua" w:hAnsi="Perpetua"/>
          <w:sz w:val="16"/>
          <w:szCs w:val="16"/>
        </w:rPr>
      </w:pPr>
      <w:r w:rsidRPr="007A463E">
        <w:rPr>
          <w:rStyle w:val="FootnoteReference"/>
          <w:rFonts w:ascii="Perpetua" w:hAnsi="Perpetua"/>
          <w:sz w:val="16"/>
          <w:szCs w:val="16"/>
        </w:rPr>
        <w:footnoteRef/>
      </w:r>
      <w:r w:rsidRPr="007A463E">
        <w:rPr>
          <w:rFonts w:ascii="Perpetua" w:hAnsi="Perpetua"/>
          <w:sz w:val="16"/>
          <w:szCs w:val="16"/>
        </w:rPr>
        <w:t xml:space="preserve"> </w:t>
      </w:r>
      <w:r w:rsidRPr="007A463E">
        <w:rPr>
          <w:rFonts w:ascii="Perpetua" w:hAnsi="Perpetua"/>
          <w:sz w:val="16"/>
          <w:szCs w:val="16"/>
        </w:rPr>
        <w:tab/>
        <w:t>p. 43, pp. 46 – 47.</w:t>
      </w:r>
    </w:p>
  </w:footnote>
  <w:footnote w:id="122">
    <w:p w14:paraId="0E2C175B" w14:textId="77777777" w:rsidR="009C34C2" w:rsidRPr="007A463E" w:rsidRDefault="009C34C2" w:rsidP="009C34C2">
      <w:pPr>
        <w:pStyle w:val="FootnoteText"/>
        <w:jc w:val="both"/>
        <w:rPr>
          <w:rFonts w:ascii="Perpetua" w:hAnsi="Perpetua"/>
          <w:sz w:val="16"/>
          <w:szCs w:val="16"/>
        </w:rPr>
      </w:pPr>
      <w:r w:rsidRPr="007A463E">
        <w:rPr>
          <w:rStyle w:val="FootnoteReference"/>
          <w:rFonts w:ascii="Perpetua" w:hAnsi="Perpetua"/>
          <w:sz w:val="16"/>
          <w:szCs w:val="16"/>
        </w:rPr>
        <w:footnoteRef/>
      </w:r>
      <w:r w:rsidRPr="007A463E">
        <w:rPr>
          <w:rFonts w:ascii="Perpetua" w:hAnsi="Perpetua"/>
          <w:sz w:val="16"/>
          <w:szCs w:val="16"/>
        </w:rPr>
        <w:t xml:space="preserve">  </w:t>
      </w:r>
      <w:r w:rsidRPr="007A463E">
        <w:rPr>
          <w:rFonts w:ascii="Perpetua" w:hAnsi="Perpetua"/>
          <w:sz w:val="16"/>
          <w:szCs w:val="16"/>
        </w:rPr>
        <w:tab/>
        <w:t xml:space="preserve">p.47. </w:t>
      </w:r>
    </w:p>
  </w:footnote>
  <w:footnote w:id="123">
    <w:p w14:paraId="4C88A792" w14:textId="77777777" w:rsidR="009C34C2" w:rsidRPr="007A463E" w:rsidRDefault="009C34C2" w:rsidP="009C34C2">
      <w:pPr>
        <w:pStyle w:val="FootnoteText"/>
        <w:jc w:val="both"/>
        <w:rPr>
          <w:rFonts w:ascii="Perpetua" w:hAnsi="Perpetua"/>
          <w:sz w:val="16"/>
          <w:szCs w:val="16"/>
        </w:rPr>
      </w:pPr>
      <w:r w:rsidRPr="007A463E">
        <w:rPr>
          <w:rStyle w:val="FootnoteReference"/>
          <w:rFonts w:ascii="Perpetua" w:hAnsi="Perpetua"/>
          <w:sz w:val="16"/>
          <w:szCs w:val="16"/>
        </w:rPr>
        <w:footnoteRef/>
      </w:r>
      <w:r w:rsidRPr="007A463E">
        <w:rPr>
          <w:rFonts w:ascii="Perpetua" w:hAnsi="Perpetua"/>
          <w:sz w:val="16"/>
          <w:szCs w:val="16"/>
        </w:rPr>
        <w:t xml:space="preserve"> </w:t>
      </w:r>
      <w:r w:rsidRPr="007A463E">
        <w:rPr>
          <w:rFonts w:ascii="Perpetua" w:hAnsi="Perpetua"/>
          <w:sz w:val="16"/>
          <w:szCs w:val="16"/>
        </w:rPr>
        <w:tab/>
      </w:r>
      <w:r>
        <w:rPr>
          <w:rFonts w:ascii="Perpetua" w:hAnsi="Perpetua"/>
          <w:sz w:val="16"/>
          <w:szCs w:val="16"/>
        </w:rPr>
        <w:t>ibid.</w:t>
      </w:r>
    </w:p>
  </w:footnote>
  <w:footnote w:id="124">
    <w:p w14:paraId="319157A5" w14:textId="77777777" w:rsidR="009C34C2" w:rsidRPr="007A463E" w:rsidRDefault="009C34C2" w:rsidP="009C34C2">
      <w:pPr>
        <w:pStyle w:val="FootnoteText"/>
        <w:jc w:val="both"/>
        <w:rPr>
          <w:rFonts w:ascii="Perpetua" w:hAnsi="Perpetua"/>
          <w:sz w:val="16"/>
          <w:szCs w:val="16"/>
        </w:rPr>
      </w:pPr>
      <w:r w:rsidRPr="007A463E">
        <w:rPr>
          <w:rStyle w:val="FootnoteReference"/>
          <w:rFonts w:ascii="Perpetua" w:hAnsi="Perpetua"/>
          <w:sz w:val="16"/>
          <w:szCs w:val="16"/>
        </w:rPr>
        <w:footnoteRef/>
      </w:r>
      <w:r w:rsidRPr="007A463E">
        <w:rPr>
          <w:rFonts w:ascii="Perpetua" w:hAnsi="Perpetua"/>
          <w:iCs/>
          <w:sz w:val="16"/>
          <w:szCs w:val="16"/>
        </w:rPr>
        <w:t xml:space="preserve"> </w:t>
      </w:r>
      <w:r w:rsidRPr="007A463E">
        <w:rPr>
          <w:rFonts w:ascii="Perpetua" w:hAnsi="Perpetua"/>
          <w:iCs/>
          <w:sz w:val="16"/>
          <w:szCs w:val="16"/>
        </w:rPr>
        <w:tab/>
      </w:r>
      <w:r>
        <w:rPr>
          <w:rFonts w:ascii="Perpetua" w:hAnsi="Perpetua"/>
          <w:iCs/>
          <w:sz w:val="16"/>
          <w:szCs w:val="16"/>
        </w:rPr>
        <w:t>Ibid.</w:t>
      </w:r>
    </w:p>
  </w:footnote>
  <w:footnote w:id="125">
    <w:p w14:paraId="2FDC12FC" w14:textId="77777777" w:rsidR="009C34C2" w:rsidRPr="007A463E" w:rsidRDefault="009C34C2" w:rsidP="009C34C2">
      <w:pPr>
        <w:pStyle w:val="FootnoteText"/>
        <w:jc w:val="both"/>
        <w:rPr>
          <w:rFonts w:ascii="Perpetua" w:hAnsi="Perpetua"/>
          <w:sz w:val="16"/>
          <w:szCs w:val="16"/>
        </w:rPr>
      </w:pPr>
      <w:r w:rsidRPr="007A463E">
        <w:rPr>
          <w:rStyle w:val="FootnoteReference"/>
          <w:rFonts w:ascii="Perpetua" w:hAnsi="Perpetua"/>
          <w:sz w:val="16"/>
          <w:szCs w:val="16"/>
        </w:rPr>
        <w:footnoteRef/>
      </w:r>
      <w:r w:rsidRPr="007A463E">
        <w:rPr>
          <w:rFonts w:ascii="Perpetua" w:hAnsi="Perpetua"/>
          <w:sz w:val="16"/>
          <w:szCs w:val="16"/>
        </w:rPr>
        <w:t xml:space="preserve">  </w:t>
      </w:r>
      <w:r w:rsidRPr="007A463E">
        <w:rPr>
          <w:rFonts w:ascii="Perpetua" w:hAnsi="Perpetua"/>
          <w:sz w:val="16"/>
          <w:szCs w:val="16"/>
        </w:rPr>
        <w:tab/>
        <w:t>p.49.</w:t>
      </w:r>
    </w:p>
  </w:footnote>
  <w:footnote w:id="126">
    <w:p w14:paraId="28D1104F" w14:textId="77777777" w:rsidR="009C34C2" w:rsidRPr="001C6225" w:rsidRDefault="009C34C2" w:rsidP="009C34C2">
      <w:pPr>
        <w:pStyle w:val="FootnoteText"/>
        <w:jc w:val="both"/>
        <w:rPr>
          <w:sz w:val="16"/>
          <w:szCs w:val="16"/>
        </w:rPr>
      </w:pPr>
      <w:r w:rsidRPr="007A463E">
        <w:rPr>
          <w:rStyle w:val="FootnoteReference"/>
          <w:rFonts w:ascii="Perpetua" w:hAnsi="Perpetua"/>
          <w:sz w:val="16"/>
          <w:szCs w:val="16"/>
        </w:rPr>
        <w:footnoteRef/>
      </w:r>
      <w:r w:rsidRPr="007A463E">
        <w:rPr>
          <w:rFonts w:ascii="Perpetua" w:hAnsi="Perpetua"/>
          <w:sz w:val="16"/>
          <w:szCs w:val="16"/>
        </w:rPr>
        <w:t xml:space="preserve"> </w:t>
      </w:r>
      <w:r w:rsidRPr="007A463E">
        <w:rPr>
          <w:rFonts w:ascii="Perpetua" w:hAnsi="Perpetua"/>
          <w:sz w:val="16"/>
          <w:szCs w:val="16"/>
        </w:rPr>
        <w:tab/>
      </w:r>
      <w:r>
        <w:rPr>
          <w:rFonts w:ascii="Perpetua" w:hAnsi="Perpetua"/>
          <w:sz w:val="16"/>
          <w:szCs w:val="16"/>
        </w:rPr>
        <w:t>ibid.</w:t>
      </w:r>
    </w:p>
  </w:footnote>
  <w:footnote w:id="127">
    <w:p w14:paraId="776B7A77" w14:textId="77777777" w:rsidR="009C34C2" w:rsidRPr="00AF7CFE" w:rsidRDefault="009C34C2" w:rsidP="009C34C2">
      <w:pPr>
        <w:pStyle w:val="FootnoteText"/>
        <w:jc w:val="both"/>
        <w:rPr>
          <w:rFonts w:ascii="Perpetua" w:hAnsi="Perpetua"/>
          <w:sz w:val="16"/>
          <w:szCs w:val="16"/>
        </w:rPr>
      </w:pPr>
      <w:r w:rsidRPr="00AF7CFE">
        <w:rPr>
          <w:rStyle w:val="FootnoteReference"/>
          <w:rFonts w:ascii="Perpetua" w:hAnsi="Perpetua"/>
          <w:sz w:val="16"/>
          <w:szCs w:val="16"/>
        </w:rPr>
        <w:footnoteRef/>
      </w:r>
      <w:r w:rsidRPr="00AF7CFE">
        <w:rPr>
          <w:rFonts w:ascii="Perpetua" w:hAnsi="Perpetua"/>
          <w:sz w:val="16"/>
          <w:szCs w:val="16"/>
        </w:rPr>
        <w:t xml:space="preserve"> </w:t>
      </w:r>
      <w:r w:rsidRPr="00AF7CFE">
        <w:rPr>
          <w:rFonts w:ascii="Perpetua" w:hAnsi="Perpetua"/>
          <w:iCs/>
          <w:sz w:val="16"/>
          <w:szCs w:val="16"/>
        </w:rPr>
        <w:t>pp. 49 – 50.</w:t>
      </w:r>
    </w:p>
  </w:footnote>
  <w:footnote w:id="128">
    <w:p w14:paraId="71462A47" w14:textId="77777777" w:rsidR="009C34C2" w:rsidRPr="00AF7CFE" w:rsidRDefault="009C34C2" w:rsidP="009C34C2">
      <w:pPr>
        <w:pStyle w:val="FootnoteText"/>
        <w:jc w:val="both"/>
        <w:rPr>
          <w:rFonts w:ascii="Perpetua" w:hAnsi="Perpetua"/>
          <w:sz w:val="16"/>
          <w:szCs w:val="16"/>
        </w:rPr>
      </w:pPr>
      <w:r w:rsidRPr="00AF7CFE">
        <w:rPr>
          <w:rStyle w:val="FootnoteReference"/>
          <w:rFonts w:ascii="Perpetua" w:hAnsi="Perpetua"/>
          <w:sz w:val="16"/>
          <w:szCs w:val="16"/>
        </w:rPr>
        <w:footnoteRef/>
      </w:r>
      <w:r w:rsidRPr="00AF7CFE">
        <w:rPr>
          <w:rFonts w:ascii="Perpetua" w:hAnsi="Perpetua"/>
          <w:sz w:val="16"/>
          <w:szCs w:val="16"/>
        </w:rPr>
        <w:t xml:space="preserve"> McShane cites F. Brentano, E. Anderson, T. Ronnow-Rasmussen etc. accordingly (p.48). She does not, as far as I can see, cite J. McDowell which is perhaps odd when he is often the first cited (albeit re. his cognitivist sensibility theory). McDowell is cited in McShane (2011), p.10. As McShane notes whilst the term was introduced in 2000, what we might call the new sentimentalism had been around since the 1960s: see McShane (2011), p.6. McShane cites F. Brentano, E. Anderson, T. Ronnow-Rasmussen etc. accordingly.</w:t>
      </w:r>
    </w:p>
  </w:footnote>
  <w:footnote w:id="129">
    <w:p w14:paraId="2BD0DA28" w14:textId="77777777" w:rsidR="009C34C2" w:rsidRPr="00AF7CFE" w:rsidRDefault="009C34C2" w:rsidP="009C34C2">
      <w:pPr>
        <w:pStyle w:val="FootnoteText"/>
        <w:jc w:val="both"/>
        <w:rPr>
          <w:rFonts w:ascii="Perpetua" w:hAnsi="Perpetua"/>
          <w:sz w:val="16"/>
          <w:szCs w:val="16"/>
        </w:rPr>
      </w:pPr>
      <w:r w:rsidRPr="00AF7CFE">
        <w:rPr>
          <w:rStyle w:val="FootnoteReference"/>
          <w:rFonts w:ascii="Perpetua" w:hAnsi="Perpetua"/>
          <w:sz w:val="16"/>
          <w:szCs w:val="16"/>
        </w:rPr>
        <w:footnoteRef/>
      </w:r>
      <w:r w:rsidRPr="00AF7CFE">
        <w:rPr>
          <w:rFonts w:ascii="Perpetua" w:hAnsi="Perpetua"/>
          <w:sz w:val="16"/>
          <w:szCs w:val="16"/>
        </w:rPr>
        <w:t xml:space="preserve"> That is ‘an account of value according to which the nature of value itself is essentially related to our practices of valuing’, see K. McShane (2011) p.10. N.B To avoid circularity, ‘</w:t>
      </w:r>
      <w:proofErr w:type="spellStart"/>
      <w:r w:rsidRPr="00AF7CFE">
        <w:rPr>
          <w:rFonts w:ascii="Perpetua" w:hAnsi="Perpetua"/>
          <w:sz w:val="16"/>
          <w:szCs w:val="16"/>
        </w:rPr>
        <w:t>Neosentimentalism</w:t>
      </w:r>
      <w:proofErr w:type="spellEnd"/>
      <w:r w:rsidRPr="00AF7CFE">
        <w:rPr>
          <w:rFonts w:ascii="Perpetua" w:hAnsi="Perpetua"/>
          <w:sz w:val="16"/>
          <w:szCs w:val="16"/>
        </w:rPr>
        <w:t xml:space="preserve"> requires that our moral claims be explained by appeal to which sentiments are warranted, </w:t>
      </w:r>
      <w:r w:rsidRPr="00AF7CFE">
        <w:rPr>
          <w:rFonts w:ascii="Perpetua" w:hAnsi="Perpetua"/>
          <w:b/>
          <w:bCs/>
          <w:sz w:val="16"/>
          <w:szCs w:val="16"/>
          <w:u w:val="single"/>
        </w:rPr>
        <w:t>and</w:t>
      </w:r>
      <w:r w:rsidRPr="00AF7CFE">
        <w:rPr>
          <w:rFonts w:ascii="Perpetua" w:hAnsi="Perpetua"/>
          <w:sz w:val="16"/>
          <w:szCs w:val="16"/>
        </w:rPr>
        <w:t xml:space="preserve"> that which sentiments are warranted </w:t>
      </w:r>
      <w:r w:rsidRPr="00AF7CFE">
        <w:rPr>
          <w:rFonts w:ascii="Perpetua" w:hAnsi="Perpetua"/>
          <w:i/>
          <w:iCs/>
          <w:sz w:val="16"/>
          <w:szCs w:val="16"/>
        </w:rPr>
        <w:t xml:space="preserve">not </w:t>
      </w:r>
      <w:r w:rsidRPr="00AF7CFE">
        <w:rPr>
          <w:rFonts w:ascii="Perpetua" w:hAnsi="Perpetua"/>
          <w:sz w:val="16"/>
          <w:szCs w:val="16"/>
        </w:rPr>
        <w:t>be exp</w:t>
      </w:r>
      <w:r w:rsidRPr="00AF7CFE">
        <w:rPr>
          <w:rFonts w:ascii="Perpetua" w:hAnsi="Perpetua"/>
          <w:iCs/>
          <w:sz w:val="16"/>
          <w:szCs w:val="16"/>
        </w:rPr>
        <w:t xml:space="preserve">and not the other way around’, </w:t>
      </w:r>
      <w:r w:rsidRPr="00AF7CFE">
        <w:rPr>
          <w:rFonts w:ascii="Perpetua" w:hAnsi="Perpetua"/>
          <w:sz w:val="16"/>
          <w:szCs w:val="16"/>
        </w:rPr>
        <w:t xml:space="preserve">K. McShane (2011), p.22. </w:t>
      </w:r>
    </w:p>
  </w:footnote>
  <w:footnote w:id="130">
    <w:p w14:paraId="064E0DD2" w14:textId="77777777" w:rsidR="009C34C2" w:rsidRPr="00AF7CFE" w:rsidRDefault="009C34C2" w:rsidP="009C34C2">
      <w:pPr>
        <w:pStyle w:val="FootnoteText"/>
        <w:jc w:val="both"/>
        <w:rPr>
          <w:rFonts w:ascii="Perpetua" w:hAnsi="Perpetua"/>
          <w:sz w:val="16"/>
          <w:szCs w:val="16"/>
        </w:rPr>
      </w:pPr>
      <w:r w:rsidRPr="00AF7CFE">
        <w:rPr>
          <w:rStyle w:val="FootnoteReference"/>
          <w:rFonts w:ascii="Perpetua" w:hAnsi="Perpetua"/>
          <w:sz w:val="16"/>
          <w:szCs w:val="16"/>
        </w:rPr>
        <w:footnoteRef/>
      </w:r>
      <w:r w:rsidRPr="00AF7CFE">
        <w:rPr>
          <w:rFonts w:ascii="Perpetua" w:hAnsi="Perpetua"/>
          <w:sz w:val="16"/>
          <w:szCs w:val="16"/>
        </w:rPr>
        <w:t xml:space="preserve"> </w:t>
      </w:r>
      <w:r w:rsidRPr="00AF7CFE">
        <w:rPr>
          <w:rFonts w:ascii="Perpetua" w:hAnsi="Perpetua"/>
          <w:iCs/>
          <w:sz w:val="16"/>
          <w:szCs w:val="16"/>
        </w:rPr>
        <w:t xml:space="preserve">p. 53. </w:t>
      </w:r>
    </w:p>
  </w:footnote>
  <w:footnote w:id="131">
    <w:p w14:paraId="7B74EA3B" w14:textId="77777777" w:rsidR="009C34C2" w:rsidRPr="00AF7CFE" w:rsidRDefault="009C34C2" w:rsidP="009C34C2">
      <w:pPr>
        <w:pStyle w:val="FootnoteText"/>
        <w:jc w:val="both"/>
        <w:rPr>
          <w:rFonts w:ascii="Perpetua" w:hAnsi="Perpetua"/>
          <w:sz w:val="16"/>
          <w:szCs w:val="16"/>
        </w:rPr>
      </w:pPr>
      <w:r w:rsidRPr="00AF7CFE">
        <w:rPr>
          <w:rStyle w:val="FootnoteReference"/>
          <w:rFonts w:ascii="Perpetua" w:hAnsi="Perpetua"/>
          <w:sz w:val="16"/>
          <w:szCs w:val="16"/>
        </w:rPr>
        <w:footnoteRef/>
      </w:r>
      <w:r w:rsidRPr="00AF7CFE">
        <w:rPr>
          <w:rFonts w:ascii="Perpetua" w:hAnsi="Perpetua"/>
          <w:sz w:val="16"/>
          <w:szCs w:val="16"/>
        </w:rPr>
        <w:t xml:space="preserve"> </w:t>
      </w:r>
      <w:r>
        <w:rPr>
          <w:rFonts w:ascii="Perpetua" w:hAnsi="Perpetua"/>
          <w:sz w:val="16"/>
          <w:szCs w:val="16"/>
        </w:rPr>
        <w:t>p</w:t>
      </w:r>
      <w:r w:rsidRPr="00AF7CFE">
        <w:rPr>
          <w:rFonts w:ascii="Perpetua" w:hAnsi="Perpetua"/>
          <w:sz w:val="16"/>
          <w:szCs w:val="16"/>
        </w:rPr>
        <w:t xml:space="preserve">.53. </w:t>
      </w:r>
      <w:r>
        <w:rPr>
          <w:rFonts w:ascii="Perpetua" w:hAnsi="Perpetua"/>
          <w:sz w:val="16"/>
          <w:szCs w:val="16"/>
        </w:rPr>
        <w:t>See also ‘awe’, ‘respect’ etc.</w:t>
      </w:r>
    </w:p>
  </w:footnote>
  <w:footnote w:id="132">
    <w:p w14:paraId="4F4ADB6F" w14:textId="77777777" w:rsidR="009C34C2" w:rsidRPr="00AF7CFE" w:rsidRDefault="009C34C2" w:rsidP="009C34C2">
      <w:pPr>
        <w:pStyle w:val="FootnoteText"/>
        <w:jc w:val="both"/>
        <w:rPr>
          <w:rFonts w:ascii="Perpetua" w:hAnsi="Perpetua"/>
          <w:sz w:val="16"/>
          <w:szCs w:val="16"/>
        </w:rPr>
      </w:pPr>
      <w:r w:rsidRPr="00AF7CFE">
        <w:rPr>
          <w:rStyle w:val="FootnoteReference"/>
          <w:rFonts w:ascii="Perpetua" w:hAnsi="Perpetua"/>
          <w:sz w:val="16"/>
          <w:szCs w:val="16"/>
        </w:rPr>
        <w:footnoteRef/>
      </w:r>
      <w:r w:rsidRPr="00AF7CFE">
        <w:rPr>
          <w:rFonts w:ascii="Perpetua" w:hAnsi="Perpetua"/>
          <w:sz w:val="16"/>
          <w:szCs w:val="16"/>
        </w:rPr>
        <w:t xml:space="preserve"> ‘Seeing’ p.52. ‘Thinking of…’ p.53.</w:t>
      </w:r>
    </w:p>
  </w:footnote>
  <w:footnote w:id="133">
    <w:p w14:paraId="05D110DD" w14:textId="77777777" w:rsidR="009C34C2" w:rsidRPr="00AF7CFE" w:rsidRDefault="009C34C2" w:rsidP="009C34C2">
      <w:pPr>
        <w:pStyle w:val="FootnoteText"/>
        <w:jc w:val="both"/>
        <w:rPr>
          <w:rFonts w:ascii="Perpetua" w:hAnsi="Perpetua"/>
          <w:sz w:val="16"/>
          <w:szCs w:val="16"/>
        </w:rPr>
      </w:pPr>
      <w:r w:rsidRPr="00AF7CFE">
        <w:rPr>
          <w:rStyle w:val="FootnoteReference"/>
          <w:rFonts w:ascii="Perpetua" w:hAnsi="Perpetua"/>
          <w:sz w:val="16"/>
          <w:szCs w:val="16"/>
        </w:rPr>
        <w:footnoteRef/>
      </w:r>
      <w:r w:rsidRPr="00AF7CFE">
        <w:rPr>
          <w:rFonts w:ascii="Perpetua" w:hAnsi="Perpetua"/>
          <w:sz w:val="16"/>
          <w:szCs w:val="16"/>
        </w:rPr>
        <w:t xml:space="preserve"> Obviously, the love in question is a </w:t>
      </w:r>
      <w:r w:rsidRPr="00864BEC">
        <w:rPr>
          <w:rFonts w:ascii="Perpetua" w:hAnsi="Perpetua"/>
          <w:b/>
          <w:bCs/>
          <w:sz w:val="16"/>
          <w:szCs w:val="16"/>
          <w:u w:val="single"/>
        </w:rPr>
        <w:t>love of nature</w:t>
      </w:r>
      <w:r>
        <w:rPr>
          <w:rFonts w:ascii="Perpetua" w:hAnsi="Perpetua"/>
          <w:b/>
          <w:bCs/>
          <w:sz w:val="16"/>
          <w:szCs w:val="16"/>
          <w:u w:val="single"/>
        </w:rPr>
        <w:t>/natural world</w:t>
      </w:r>
      <w:r>
        <w:rPr>
          <w:rFonts w:ascii="Perpetua" w:hAnsi="Perpetua"/>
          <w:sz w:val="16"/>
          <w:szCs w:val="16"/>
        </w:rPr>
        <w:t xml:space="preserve"> (‘nature’ used in the ordinary, uncontested sense). The structure of that love is, however,</w:t>
      </w:r>
      <w:r w:rsidRPr="00AF7CFE">
        <w:rPr>
          <w:rFonts w:ascii="Perpetua" w:hAnsi="Perpetua"/>
          <w:sz w:val="16"/>
          <w:szCs w:val="16"/>
        </w:rPr>
        <w:t xml:space="preserve"> modelled on romantic and familial love, see footnote 34 at p. 52.</w:t>
      </w:r>
    </w:p>
  </w:footnote>
  <w:footnote w:id="134">
    <w:p w14:paraId="4080921A" w14:textId="77777777" w:rsidR="009C34C2" w:rsidRPr="00F25B0D" w:rsidRDefault="009C34C2" w:rsidP="009C34C2">
      <w:pPr>
        <w:pStyle w:val="FootnoteText"/>
        <w:jc w:val="both"/>
        <w:rPr>
          <w:rFonts w:ascii="Perpetua" w:hAnsi="Perpetua"/>
          <w:sz w:val="16"/>
          <w:szCs w:val="16"/>
        </w:rPr>
      </w:pPr>
      <w:r w:rsidRPr="00AF7CFE">
        <w:rPr>
          <w:rStyle w:val="FootnoteReference"/>
          <w:rFonts w:ascii="Perpetua" w:hAnsi="Perpetua"/>
          <w:sz w:val="16"/>
          <w:szCs w:val="16"/>
        </w:rPr>
        <w:footnoteRef/>
      </w:r>
      <w:r w:rsidRPr="00AF7CFE">
        <w:rPr>
          <w:rFonts w:ascii="Perpetua" w:hAnsi="Perpetua"/>
          <w:sz w:val="16"/>
          <w:szCs w:val="16"/>
        </w:rPr>
        <w:t xml:space="preserve"> There seems a valid point of comparison with the </w:t>
      </w:r>
      <w:r w:rsidRPr="00864BEC">
        <w:rPr>
          <w:rFonts w:ascii="Perpetua" w:hAnsi="Perpetua"/>
          <w:sz w:val="16"/>
          <w:szCs w:val="16"/>
        </w:rPr>
        <w:t>vexed question within Virtue Ethics about the use/elimination of the deontological and whether it has a place alongside the aretaic. Some might say the deontological should not be retained because there is no divine authority to justify any commandment</w:t>
      </w:r>
      <w:r>
        <w:rPr>
          <w:rFonts w:ascii="Perpetua" w:hAnsi="Perpetua"/>
          <w:sz w:val="16"/>
          <w:szCs w:val="16"/>
        </w:rPr>
        <w:t>.</w:t>
      </w:r>
      <w:r w:rsidRPr="00864BEC">
        <w:rPr>
          <w:rFonts w:ascii="Perpetua" w:hAnsi="Perpetua"/>
          <w:sz w:val="16"/>
          <w:szCs w:val="16"/>
        </w:rPr>
        <w:t xml:space="preserve"> A similar position might be adopted without the metaphysics (i.e. ethics just is about character and excellence</w:t>
      </w:r>
      <w:r>
        <w:rPr>
          <w:rFonts w:ascii="Perpetua" w:hAnsi="Perpetua"/>
          <w:sz w:val="16"/>
          <w:szCs w:val="16"/>
        </w:rPr>
        <w:t>/</w:t>
      </w:r>
      <w:r w:rsidRPr="00864BEC">
        <w:rPr>
          <w:rFonts w:ascii="Perpetua" w:hAnsi="Perpetua"/>
          <w:sz w:val="16"/>
          <w:szCs w:val="16"/>
        </w:rPr>
        <w:t xml:space="preserve"> the aretaic and not a series of ‘oughts’</w:t>
      </w:r>
      <w:r>
        <w:rPr>
          <w:rFonts w:ascii="Perpetua" w:hAnsi="Perpetua"/>
          <w:sz w:val="16"/>
          <w:szCs w:val="16"/>
        </w:rPr>
        <w:t>/the deontological</w:t>
      </w:r>
      <w:r w:rsidRPr="00864BEC">
        <w:rPr>
          <w:rFonts w:ascii="Perpetua" w:hAnsi="Perpetua"/>
          <w:sz w:val="16"/>
          <w:szCs w:val="16"/>
        </w:rPr>
        <w:t xml:space="preserve">). Or, it might be said there is a place for ‘ought’ even without divine authority because there are many ways of using ‘ought’. </w:t>
      </w:r>
      <w:r>
        <w:rPr>
          <w:rFonts w:ascii="Perpetua" w:hAnsi="Perpetua"/>
          <w:sz w:val="16"/>
          <w:szCs w:val="16"/>
        </w:rPr>
        <w:t xml:space="preserve">That is, what do we think we lose when we abandon a concept? </w:t>
      </w:r>
      <w:proofErr w:type="gramStart"/>
      <w:r w:rsidRPr="00864BEC">
        <w:rPr>
          <w:rFonts w:ascii="Perpetua" w:hAnsi="Perpetua"/>
          <w:sz w:val="16"/>
          <w:szCs w:val="16"/>
        </w:rPr>
        <w:t>Or,</w:t>
      </w:r>
      <w:proofErr w:type="gramEnd"/>
      <w:r w:rsidRPr="00864BEC">
        <w:rPr>
          <w:rFonts w:ascii="Perpetua" w:hAnsi="Perpetua"/>
          <w:sz w:val="16"/>
          <w:szCs w:val="16"/>
        </w:rPr>
        <w:t xml:space="preserve"> do metaphysical consequences follow from abandoning a word? </w:t>
      </w:r>
      <w:r>
        <w:rPr>
          <w:rFonts w:ascii="Perpetua" w:hAnsi="Perpetua"/>
          <w:sz w:val="16"/>
          <w:szCs w:val="16"/>
        </w:rPr>
        <w:t xml:space="preserve">It seems to me that diametrically opposed positions would both answer no. </w:t>
      </w:r>
      <w:r w:rsidRPr="00F65D58">
        <w:rPr>
          <w:rFonts w:ascii="Perpetua" w:hAnsi="Perpetua"/>
          <w:sz w:val="16"/>
          <w:szCs w:val="16"/>
          <w:u w:val="single"/>
        </w:rPr>
        <w:t>But</w:t>
      </w:r>
      <w:r>
        <w:rPr>
          <w:rFonts w:ascii="Perpetua" w:hAnsi="Perpetua"/>
          <w:sz w:val="16"/>
          <w:szCs w:val="16"/>
          <w:u w:val="single"/>
        </w:rPr>
        <w:t xml:space="preserve"> </w:t>
      </w:r>
      <w:r>
        <w:rPr>
          <w:rFonts w:ascii="Perpetua" w:hAnsi="Perpetua"/>
          <w:sz w:val="16"/>
          <w:szCs w:val="16"/>
        </w:rPr>
        <w:t xml:space="preserve">we might also consider that where metaethics/normativity is concerned, McShane advocates the advantage of </w:t>
      </w:r>
      <w:r>
        <w:rPr>
          <w:rFonts w:ascii="Perpetua" w:hAnsi="Perpetua"/>
          <w:i/>
          <w:iCs/>
          <w:sz w:val="16"/>
          <w:szCs w:val="16"/>
        </w:rPr>
        <w:t>choosing</w:t>
      </w:r>
      <w:r>
        <w:rPr>
          <w:rFonts w:ascii="Perpetua" w:hAnsi="Perpetua"/>
          <w:sz w:val="16"/>
          <w:szCs w:val="16"/>
        </w:rPr>
        <w:t xml:space="preserve"> a </w:t>
      </w:r>
      <w:r w:rsidRPr="00F25B0D">
        <w:rPr>
          <w:rFonts w:ascii="Perpetua" w:hAnsi="Perpetua"/>
          <w:sz w:val="16"/>
          <w:szCs w:val="16"/>
        </w:rPr>
        <w:t xml:space="preserve">metaethics that supports our normative positions (‘If some metaethical positions can avoid normative implications, then we face the question of whether we should prefer those that guarantee the truth of our normative positions’, McShane (2015), pp. 146 - 147). </w:t>
      </w:r>
    </w:p>
  </w:footnote>
  <w:footnote w:id="135">
    <w:p w14:paraId="1F71C28B" w14:textId="77777777" w:rsidR="009C34C2" w:rsidRPr="00F25B0D" w:rsidRDefault="009C34C2" w:rsidP="009C34C2">
      <w:pPr>
        <w:pStyle w:val="p1"/>
        <w:jc w:val="both"/>
        <w:rPr>
          <w:rFonts w:ascii="Perpetua" w:hAnsi="Perpetua"/>
          <w:sz w:val="16"/>
          <w:szCs w:val="16"/>
        </w:rPr>
      </w:pPr>
      <w:r w:rsidRPr="00F25B0D">
        <w:rPr>
          <w:rStyle w:val="FootnoteReference"/>
          <w:rFonts w:ascii="Perpetua" w:hAnsi="Perpetua"/>
          <w:sz w:val="16"/>
          <w:szCs w:val="16"/>
        </w:rPr>
        <w:footnoteRef/>
      </w:r>
      <w:r w:rsidRPr="00F25B0D">
        <w:rPr>
          <w:rFonts w:ascii="Perpetua" w:hAnsi="Perpetua"/>
          <w:sz w:val="16"/>
          <w:szCs w:val="16"/>
        </w:rPr>
        <w:t xml:space="preserve"> The argument I am referring to begins </w:t>
      </w:r>
      <w:r w:rsidRPr="00F25B0D">
        <w:rPr>
          <w:rFonts w:ascii="Perpetua" w:hAnsi="Perpetua"/>
          <w:iCs/>
          <w:sz w:val="16"/>
          <w:szCs w:val="16"/>
        </w:rPr>
        <w:t>at the start of the final paragraph on p. 53 (‘On this picture…) and runs to the top of p. 54. ‘…</w:t>
      </w:r>
      <w:r w:rsidRPr="00F25B0D">
        <w:rPr>
          <w:rFonts w:ascii="Perpetua" w:hAnsi="Perpetua"/>
          <w:sz w:val="16"/>
          <w:szCs w:val="16"/>
        </w:rPr>
        <w:t xml:space="preserve">If we were to agree with those who say that nothing could have intrinsic value, then none of these kinds of intrinsic valuation could be warranted in the sense that none of them could be merited by their objects. If loving something involves thinking of it as having </w:t>
      </w:r>
      <w:proofErr w:type="gramStart"/>
      <w:r w:rsidRPr="00F25B0D">
        <w:rPr>
          <w:rFonts w:ascii="Perpetua" w:hAnsi="Perpetua"/>
          <w:sz w:val="16"/>
          <w:szCs w:val="16"/>
        </w:rPr>
        <w:t>value in its own right, then</w:t>
      </w:r>
      <w:proofErr w:type="gramEnd"/>
      <w:r w:rsidRPr="00F25B0D">
        <w:rPr>
          <w:rFonts w:ascii="Perpetua" w:hAnsi="Perpetua"/>
          <w:sz w:val="16"/>
          <w:szCs w:val="16"/>
        </w:rPr>
        <w:t xml:space="preserve"> if nothing </w:t>
      </w:r>
      <w:r w:rsidRPr="00F25B0D">
        <w:rPr>
          <w:rFonts w:ascii="Perpetua" w:hAnsi="Perpetua"/>
          <w:i/>
          <w:iCs/>
          <w:sz w:val="16"/>
          <w:szCs w:val="16"/>
        </w:rPr>
        <w:t>does</w:t>
      </w:r>
      <w:r w:rsidRPr="00F25B0D">
        <w:rPr>
          <w:rFonts w:ascii="Perpetua" w:hAnsi="Perpetua"/>
          <w:sz w:val="16"/>
          <w:szCs w:val="16"/>
        </w:rPr>
        <w:t xml:space="preserve"> have </w:t>
      </w:r>
      <w:proofErr w:type="gramStart"/>
      <w:r w:rsidRPr="00F25B0D">
        <w:rPr>
          <w:rFonts w:ascii="Perpetua" w:hAnsi="Perpetua"/>
          <w:sz w:val="16"/>
          <w:szCs w:val="16"/>
        </w:rPr>
        <w:t>value in its own right, loving</w:t>
      </w:r>
      <w:proofErr w:type="gramEnd"/>
      <w:r w:rsidRPr="00F25B0D">
        <w:rPr>
          <w:rFonts w:ascii="Perpetua" w:hAnsi="Perpetua"/>
          <w:sz w:val="16"/>
          <w:szCs w:val="16"/>
        </w:rPr>
        <w:t xml:space="preserve"> things would involve a kind/of mistake’. </w:t>
      </w:r>
    </w:p>
  </w:footnote>
  <w:footnote w:id="136">
    <w:p w14:paraId="6A4112D4" w14:textId="77777777" w:rsidR="009C34C2" w:rsidRPr="00F25B0D" w:rsidRDefault="009C34C2" w:rsidP="009C34C2">
      <w:pPr>
        <w:pStyle w:val="FootnoteText"/>
        <w:jc w:val="both"/>
        <w:rPr>
          <w:rFonts w:ascii="Perpetua" w:hAnsi="Perpetua"/>
          <w:sz w:val="16"/>
          <w:szCs w:val="16"/>
        </w:rPr>
      </w:pPr>
      <w:r w:rsidRPr="00F25B0D">
        <w:rPr>
          <w:rStyle w:val="FootnoteReference"/>
          <w:rFonts w:ascii="Perpetua" w:hAnsi="Perpetua"/>
          <w:sz w:val="16"/>
          <w:szCs w:val="16"/>
        </w:rPr>
        <w:footnoteRef/>
      </w:r>
      <w:r w:rsidRPr="00F25B0D">
        <w:rPr>
          <w:rFonts w:ascii="Perpetua" w:hAnsi="Perpetua"/>
          <w:sz w:val="16"/>
          <w:szCs w:val="16"/>
        </w:rPr>
        <w:t xml:space="preserve"> B. Norton, ‘</w:t>
      </w:r>
      <w:r w:rsidRPr="00F25B0D">
        <w:rPr>
          <w:rFonts w:ascii="Perpetua" w:eastAsia="Times New Roman" w:hAnsi="Perpetua" w:cs="Arial"/>
          <w:color w:val="555555"/>
          <w:kern w:val="36"/>
          <w:sz w:val="16"/>
          <w:szCs w:val="16"/>
          <w:lang w:eastAsia="en-GB"/>
          <w14:ligatures w14:val="none"/>
        </w:rPr>
        <w:t xml:space="preserve">Convergence, </w:t>
      </w:r>
      <w:proofErr w:type="spellStart"/>
      <w:r w:rsidRPr="00F25B0D">
        <w:rPr>
          <w:rFonts w:ascii="Perpetua" w:eastAsia="Times New Roman" w:hAnsi="Perpetua" w:cs="Arial"/>
          <w:color w:val="555555"/>
          <w:kern w:val="36"/>
          <w:sz w:val="16"/>
          <w:szCs w:val="16"/>
          <w:lang w:eastAsia="en-GB"/>
          <w14:ligatures w14:val="none"/>
        </w:rPr>
        <w:t>Noninstrumental</w:t>
      </w:r>
      <w:proofErr w:type="spellEnd"/>
      <w:r w:rsidRPr="00F25B0D">
        <w:rPr>
          <w:rFonts w:ascii="Perpetua" w:eastAsia="Times New Roman" w:hAnsi="Perpetua" w:cs="Arial"/>
          <w:color w:val="555555"/>
          <w:kern w:val="36"/>
          <w:sz w:val="16"/>
          <w:szCs w:val="16"/>
          <w:lang w:eastAsia="en-GB"/>
          <w14:ligatures w14:val="none"/>
        </w:rPr>
        <w:t xml:space="preserve"> Value and the Semantics of ‘Love': Comment on</w:t>
      </w:r>
      <w:r w:rsidRPr="00F25B0D">
        <w:rPr>
          <w:rFonts w:ascii="Perpetua" w:hAnsi="Perpetua"/>
          <w:sz w:val="16"/>
          <w:szCs w:val="16"/>
        </w:rPr>
        <w:t xml:space="preserve"> McShane’, </w:t>
      </w:r>
      <w:r w:rsidRPr="00F25B0D">
        <w:rPr>
          <w:rFonts w:ascii="Perpetua" w:hAnsi="Perpetua"/>
          <w:i/>
          <w:iCs/>
          <w:color w:val="444444"/>
          <w:sz w:val="16"/>
          <w:szCs w:val="16"/>
        </w:rPr>
        <w:t>Environmental Values</w:t>
      </w:r>
      <w:r w:rsidRPr="00F25B0D">
        <w:rPr>
          <w:rStyle w:val="apple-converted-space"/>
          <w:rFonts w:ascii="Perpetua" w:hAnsi="Perpetua"/>
          <w:color w:val="444444"/>
          <w:sz w:val="16"/>
          <w:szCs w:val="16"/>
          <w:shd w:val="clear" w:color="auto" w:fill="FFFFFF"/>
        </w:rPr>
        <w:t> </w:t>
      </w:r>
      <w:r w:rsidRPr="00F25B0D">
        <w:rPr>
          <w:rFonts w:ascii="Perpetua" w:hAnsi="Perpetua"/>
          <w:color w:val="444444"/>
          <w:sz w:val="16"/>
          <w:szCs w:val="16"/>
          <w:shd w:val="clear" w:color="auto" w:fill="FFFFFF"/>
        </w:rPr>
        <w:t>17, no. 1 (2008), pp. 5 – 14.</w:t>
      </w:r>
      <w:r w:rsidRPr="00F25B0D">
        <w:rPr>
          <w:rStyle w:val="apple-converted-space"/>
          <w:rFonts w:ascii="Perpetua" w:hAnsi="Perpetua"/>
          <w:color w:val="444444"/>
          <w:sz w:val="16"/>
          <w:szCs w:val="16"/>
          <w:shd w:val="clear" w:color="auto" w:fill="FFFFFF"/>
        </w:rPr>
        <w:t> </w:t>
      </w:r>
      <w:hyperlink r:id="rId1" w:tgtFrame="_blank" w:history="1">
        <w:r w:rsidRPr="00F25B0D">
          <w:rPr>
            <w:rStyle w:val="Hyperlink"/>
            <w:rFonts w:ascii="Perpetua" w:hAnsi="Perpetua"/>
            <w:color w:val="444444"/>
            <w:sz w:val="16"/>
            <w:szCs w:val="16"/>
            <w:u w:val="none"/>
          </w:rPr>
          <w:t>doi:10.3197/096327108X271914</w:t>
        </w:r>
      </w:hyperlink>
      <w:r w:rsidRPr="00F25B0D">
        <w:rPr>
          <w:rFonts w:ascii="Perpetua" w:hAnsi="Perpetua"/>
          <w:color w:val="444444"/>
          <w:sz w:val="16"/>
          <w:szCs w:val="16"/>
          <w:shd w:val="clear" w:color="auto" w:fill="FFFFFF"/>
        </w:rPr>
        <w:t>.</w:t>
      </w:r>
      <w:r w:rsidRPr="00F25B0D">
        <w:rPr>
          <w:rFonts w:ascii="Perpetua" w:hAnsi="Perpetua"/>
          <w:sz w:val="16"/>
          <w:szCs w:val="16"/>
        </w:rPr>
        <w:t xml:space="preserve"> </w:t>
      </w:r>
    </w:p>
  </w:footnote>
  <w:footnote w:id="137">
    <w:p w14:paraId="5D7C4207" w14:textId="77777777" w:rsidR="009C34C2" w:rsidRPr="00F25B0D" w:rsidRDefault="009C34C2" w:rsidP="009C34C2">
      <w:pPr>
        <w:pStyle w:val="p1"/>
        <w:jc w:val="both"/>
        <w:rPr>
          <w:rFonts w:ascii="Perpetua" w:hAnsi="Perpetua"/>
          <w:color w:val="1A1718"/>
          <w:sz w:val="16"/>
          <w:szCs w:val="16"/>
        </w:rPr>
      </w:pPr>
      <w:r w:rsidRPr="00F25B0D">
        <w:rPr>
          <w:rStyle w:val="FootnoteReference"/>
          <w:rFonts w:ascii="Perpetua" w:hAnsi="Perpetua"/>
          <w:sz w:val="16"/>
          <w:szCs w:val="16"/>
        </w:rPr>
        <w:footnoteRef/>
      </w:r>
      <w:r w:rsidRPr="00F25B0D">
        <w:rPr>
          <w:rFonts w:ascii="Perpetua" w:hAnsi="Perpetua"/>
          <w:sz w:val="16"/>
          <w:szCs w:val="16"/>
        </w:rPr>
        <w:t>McShane (2011), p.6.  ‘I think that the most promising type of evaluative standard is a procedural one, i.e. one on which a sentiment is deemed merited so long as the claim that it is so survives a specified procedure for subjecting it to critical scrutiny’, (2011), p.11. By classic sentimentalism, ordinary observers in ordinary conditions. See footnote 58 at p. 60 of this article, ‘</w:t>
      </w:r>
      <w:r w:rsidRPr="00F25B0D">
        <w:rPr>
          <w:rFonts w:ascii="Perpetua" w:hAnsi="Perpetua"/>
          <w:color w:val="1A1718"/>
          <w:sz w:val="16"/>
          <w:szCs w:val="16"/>
        </w:rPr>
        <w:t xml:space="preserve">a complete theory of this type will have to say something, for every </w:t>
      </w:r>
      <w:proofErr w:type="gramStart"/>
      <w:r w:rsidRPr="00F25B0D">
        <w:rPr>
          <w:rFonts w:ascii="Perpetua" w:hAnsi="Perpetua"/>
          <w:color w:val="1A1718"/>
          <w:sz w:val="16"/>
          <w:szCs w:val="16"/>
        </w:rPr>
        <w:t>particular valuing</w:t>
      </w:r>
      <w:proofErr w:type="gramEnd"/>
      <w:r w:rsidRPr="00F25B0D">
        <w:rPr>
          <w:rFonts w:ascii="Perpetua" w:hAnsi="Perpetua"/>
          <w:color w:val="1A1718"/>
          <w:sz w:val="16"/>
          <w:szCs w:val="16"/>
        </w:rPr>
        <w:t xml:space="preserve"> attitude, about which properties these might be. It will not do simply to say, for example, that the something merits awe because it is awesome—this would leave one with a circular explanation’.</w:t>
      </w:r>
    </w:p>
  </w:footnote>
  <w:footnote w:id="138">
    <w:p w14:paraId="02FDFFC8" w14:textId="77777777" w:rsidR="009C34C2" w:rsidRPr="00F25B0D" w:rsidRDefault="009C34C2" w:rsidP="009C34C2">
      <w:pPr>
        <w:pStyle w:val="FootnoteText"/>
        <w:jc w:val="both"/>
        <w:rPr>
          <w:rFonts w:ascii="Perpetua" w:hAnsi="Perpetua"/>
          <w:sz w:val="16"/>
          <w:szCs w:val="16"/>
        </w:rPr>
      </w:pPr>
      <w:r w:rsidRPr="00F25B0D">
        <w:rPr>
          <w:rStyle w:val="FootnoteReference"/>
          <w:rFonts w:ascii="Perpetua" w:hAnsi="Perpetua"/>
          <w:sz w:val="16"/>
          <w:szCs w:val="16"/>
        </w:rPr>
        <w:footnoteRef/>
      </w:r>
      <w:r w:rsidRPr="00F25B0D">
        <w:rPr>
          <w:rFonts w:ascii="Perpetua" w:hAnsi="Perpetua"/>
          <w:sz w:val="16"/>
          <w:szCs w:val="16"/>
        </w:rPr>
        <w:t xml:space="preserve"> pp. 60 – 61. </w:t>
      </w:r>
    </w:p>
  </w:footnote>
  <w:footnote w:id="139">
    <w:p w14:paraId="654A4B15" w14:textId="77777777" w:rsidR="009C34C2" w:rsidRPr="008A30C1" w:rsidRDefault="009C34C2" w:rsidP="009C34C2">
      <w:pPr>
        <w:pStyle w:val="FootnoteText"/>
        <w:jc w:val="both"/>
        <w:rPr>
          <w:rFonts w:ascii="Perpetua" w:hAnsi="Perpetua"/>
          <w:sz w:val="16"/>
          <w:szCs w:val="16"/>
        </w:rPr>
      </w:pPr>
      <w:r w:rsidRPr="00F25B0D">
        <w:rPr>
          <w:rStyle w:val="FootnoteReference"/>
          <w:rFonts w:ascii="Perpetua" w:hAnsi="Perpetua"/>
          <w:sz w:val="16"/>
          <w:szCs w:val="16"/>
        </w:rPr>
        <w:footnoteRef/>
      </w:r>
      <w:r w:rsidRPr="00F25B0D">
        <w:rPr>
          <w:rFonts w:ascii="Perpetua" w:hAnsi="Perpetua"/>
          <w:sz w:val="16"/>
          <w:szCs w:val="16"/>
        </w:rPr>
        <w:t xml:space="preserve"> e.g. Hard determinism. Whether any </w:t>
      </w:r>
      <w:proofErr w:type="gramStart"/>
      <w:r w:rsidRPr="00F25B0D">
        <w:rPr>
          <w:rFonts w:ascii="Perpetua" w:hAnsi="Perpetua"/>
          <w:sz w:val="16"/>
          <w:szCs w:val="16"/>
        </w:rPr>
        <w:t>particular EE</w:t>
      </w:r>
      <w:proofErr w:type="gramEnd"/>
      <w:r w:rsidRPr="00F25B0D">
        <w:rPr>
          <w:rFonts w:ascii="Perpetua" w:hAnsi="Perpetua"/>
          <w:sz w:val="16"/>
          <w:szCs w:val="16"/>
        </w:rPr>
        <w:t xml:space="preserve"> (e.g. biocentrism) involves hypocrisy is, at least, complicated by Goodpaster’s distinction between the regulative and operative and ideals generally.</w:t>
      </w:r>
    </w:p>
  </w:footnote>
  <w:footnote w:id="140">
    <w:p w14:paraId="6E2F6402" w14:textId="77777777" w:rsidR="009C34C2" w:rsidRPr="00F25B0D" w:rsidRDefault="009C34C2" w:rsidP="009C34C2">
      <w:pPr>
        <w:pStyle w:val="FootnoteText"/>
        <w:jc w:val="both"/>
        <w:rPr>
          <w:rFonts w:ascii="Perpetua" w:hAnsi="Perpetua"/>
          <w:sz w:val="16"/>
          <w:szCs w:val="16"/>
        </w:rPr>
      </w:pPr>
      <w:r w:rsidRPr="00F25B0D">
        <w:rPr>
          <w:rStyle w:val="FootnoteReference"/>
          <w:rFonts w:ascii="Perpetua" w:hAnsi="Perpetua"/>
          <w:sz w:val="16"/>
          <w:szCs w:val="16"/>
        </w:rPr>
        <w:footnoteRef/>
      </w:r>
      <w:r w:rsidRPr="00F25B0D">
        <w:rPr>
          <w:rFonts w:ascii="Perpetua" w:hAnsi="Perpetua"/>
          <w:sz w:val="16"/>
          <w:szCs w:val="16"/>
        </w:rPr>
        <w:t xml:space="preserve"> i.e. the well-meaning bungler whose action is laudable/virtuous because of his intentions and </w:t>
      </w:r>
      <w:proofErr w:type="gramStart"/>
      <w:r w:rsidRPr="00F25B0D">
        <w:rPr>
          <w:rFonts w:ascii="Perpetua" w:hAnsi="Perpetua"/>
          <w:sz w:val="16"/>
          <w:szCs w:val="16"/>
        </w:rPr>
        <w:t>in spite of</w:t>
      </w:r>
      <w:proofErr w:type="gramEnd"/>
      <w:r w:rsidRPr="00F25B0D">
        <w:rPr>
          <w:rFonts w:ascii="Perpetua" w:hAnsi="Perpetua"/>
          <w:sz w:val="16"/>
          <w:szCs w:val="16"/>
        </w:rPr>
        <w:t xml:space="preserve"> the catastrophic consequences.</w:t>
      </w:r>
    </w:p>
  </w:footnote>
  <w:footnote w:id="141">
    <w:p w14:paraId="2B1C897A" w14:textId="77777777" w:rsidR="009C34C2" w:rsidRPr="00F25B0D" w:rsidRDefault="009C34C2" w:rsidP="009C34C2">
      <w:pPr>
        <w:pStyle w:val="FootnoteText"/>
        <w:jc w:val="both"/>
        <w:rPr>
          <w:rFonts w:ascii="Perpetua" w:hAnsi="Perpetua"/>
          <w:color w:val="000000" w:themeColor="text1"/>
          <w:sz w:val="16"/>
          <w:szCs w:val="16"/>
        </w:rPr>
      </w:pPr>
      <w:r w:rsidRPr="00F25B0D">
        <w:rPr>
          <w:rStyle w:val="FootnoteReference"/>
          <w:rFonts w:ascii="Perpetua" w:hAnsi="Perpetua"/>
          <w:sz w:val="16"/>
          <w:szCs w:val="16"/>
        </w:rPr>
        <w:footnoteRef/>
      </w:r>
      <w:r w:rsidRPr="00F25B0D">
        <w:rPr>
          <w:rFonts w:ascii="Perpetua" w:hAnsi="Perpetua"/>
          <w:sz w:val="16"/>
          <w:szCs w:val="16"/>
        </w:rPr>
        <w:t xml:space="preserve"> Referring to the criticism of B. </w:t>
      </w:r>
      <w:proofErr w:type="spellStart"/>
      <w:r w:rsidRPr="00F25B0D">
        <w:rPr>
          <w:rFonts w:ascii="Perpetua" w:hAnsi="Perpetua"/>
          <w:sz w:val="16"/>
          <w:szCs w:val="16"/>
        </w:rPr>
        <w:t>Morito</w:t>
      </w:r>
      <w:proofErr w:type="spellEnd"/>
      <w:r w:rsidRPr="00F25B0D">
        <w:rPr>
          <w:rFonts w:ascii="Perpetua" w:hAnsi="Perpetua"/>
          <w:sz w:val="16"/>
          <w:szCs w:val="16"/>
        </w:rPr>
        <w:t xml:space="preserve"> and A. Weston, p. 44 and pp. 56 – 58. See B. </w:t>
      </w:r>
      <w:proofErr w:type="spellStart"/>
      <w:r w:rsidRPr="00F25B0D">
        <w:rPr>
          <w:rFonts w:ascii="Perpetua" w:hAnsi="Perpetua"/>
          <w:sz w:val="16"/>
          <w:szCs w:val="16"/>
        </w:rPr>
        <w:t>Morito</w:t>
      </w:r>
      <w:proofErr w:type="spellEnd"/>
      <w:r w:rsidRPr="00F25B0D">
        <w:rPr>
          <w:rFonts w:ascii="Perpetua" w:hAnsi="Perpetua"/>
          <w:sz w:val="16"/>
          <w:szCs w:val="16"/>
        </w:rPr>
        <w:t xml:space="preserve">, ‘Intrinsic Value: A Modern Albatross for the Ecological Approach’, </w:t>
      </w:r>
      <w:r w:rsidRPr="00F25B0D">
        <w:rPr>
          <w:rFonts w:ascii="Perpetua" w:hAnsi="Perpetua"/>
          <w:i/>
          <w:iCs/>
          <w:sz w:val="16"/>
          <w:szCs w:val="16"/>
        </w:rPr>
        <w:t xml:space="preserve">Environmental Values </w:t>
      </w:r>
      <w:r w:rsidRPr="00F25B0D">
        <w:rPr>
          <w:rFonts w:ascii="Perpetua" w:hAnsi="Perpetua"/>
          <w:sz w:val="16"/>
          <w:szCs w:val="16"/>
        </w:rPr>
        <w:t>12 (2003), pp. 317 – 336; A. Westo</w:t>
      </w:r>
      <w:r w:rsidRPr="00F25B0D">
        <w:rPr>
          <w:rFonts w:ascii="Perpetua" w:hAnsi="Perpetua"/>
          <w:color w:val="000000" w:themeColor="text1"/>
          <w:sz w:val="16"/>
          <w:szCs w:val="16"/>
        </w:rPr>
        <w:t xml:space="preserve">n, ‘Beyond Intrinsic Value: Pragmatism in Environmental Ethics’, </w:t>
      </w:r>
      <w:r w:rsidRPr="00F25B0D">
        <w:rPr>
          <w:rFonts w:ascii="Perpetua" w:hAnsi="Perpetua"/>
          <w:i/>
          <w:iCs/>
          <w:color w:val="000000" w:themeColor="text1"/>
          <w:sz w:val="16"/>
          <w:szCs w:val="16"/>
        </w:rPr>
        <w:t>Environmental Ethics</w:t>
      </w:r>
      <w:r w:rsidRPr="00F25B0D">
        <w:rPr>
          <w:rFonts w:ascii="Perpetua" w:hAnsi="Perpetua"/>
          <w:color w:val="000000" w:themeColor="text1"/>
          <w:sz w:val="16"/>
          <w:szCs w:val="16"/>
        </w:rPr>
        <w:t>,</w:t>
      </w:r>
      <w:r w:rsidRPr="00F25B0D">
        <w:rPr>
          <w:rFonts w:ascii="Perpetua" w:hAnsi="Perpetua"/>
          <w:i/>
          <w:iCs/>
          <w:color w:val="000000" w:themeColor="text1"/>
          <w:sz w:val="16"/>
          <w:szCs w:val="16"/>
        </w:rPr>
        <w:t xml:space="preserve"> </w:t>
      </w:r>
      <w:r w:rsidRPr="00F25B0D">
        <w:rPr>
          <w:rFonts w:ascii="Perpetua" w:hAnsi="Perpetua"/>
          <w:color w:val="000000" w:themeColor="text1"/>
          <w:sz w:val="16"/>
          <w:szCs w:val="16"/>
        </w:rPr>
        <w:t xml:space="preserve">Vol 7 (Winter 1985), pp. 321 – 339. </w:t>
      </w:r>
    </w:p>
  </w:footnote>
  <w:footnote w:id="142">
    <w:p w14:paraId="00D2E49E" w14:textId="77777777" w:rsidR="009C34C2" w:rsidRPr="00F25B0D" w:rsidRDefault="009C34C2" w:rsidP="009C34C2">
      <w:pPr>
        <w:pStyle w:val="FootnoteText"/>
        <w:jc w:val="both"/>
        <w:rPr>
          <w:rFonts w:ascii="Perpetua" w:hAnsi="Perpetua"/>
          <w:sz w:val="16"/>
          <w:szCs w:val="16"/>
        </w:rPr>
      </w:pPr>
      <w:r w:rsidRPr="00F25B0D">
        <w:rPr>
          <w:rStyle w:val="FootnoteReference"/>
          <w:rFonts w:ascii="Perpetua" w:hAnsi="Perpetua"/>
          <w:sz w:val="16"/>
          <w:szCs w:val="16"/>
        </w:rPr>
        <w:footnoteRef/>
      </w:r>
      <w:r w:rsidRPr="00F25B0D">
        <w:rPr>
          <w:rFonts w:ascii="Perpetua" w:hAnsi="Perpetua"/>
          <w:sz w:val="16"/>
          <w:szCs w:val="16"/>
        </w:rPr>
        <w:t xml:space="preserve"> pp. 56 – 58. </w:t>
      </w:r>
    </w:p>
  </w:footnote>
  <w:footnote w:id="143">
    <w:p w14:paraId="359925F7" w14:textId="77777777" w:rsidR="009C34C2" w:rsidRPr="00F25B0D" w:rsidRDefault="009C34C2" w:rsidP="009C34C2">
      <w:pPr>
        <w:pStyle w:val="FootnoteText"/>
        <w:jc w:val="both"/>
        <w:rPr>
          <w:rFonts w:ascii="Perpetua" w:hAnsi="Perpetua"/>
          <w:sz w:val="16"/>
          <w:szCs w:val="16"/>
        </w:rPr>
      </w:pPr>
      <w:r w:rsidRPr="00F25B0D">
        <w:rPr>
          <w:rStyle w:val="FootnoteReference"/>
          <w:rFonts w:ascii="Perpetua" w:hAnsi="Perpetua"/>
          <w:sz w:val="16"/>
          <w:szCs w:val="16"/>
        </w:rPr>
        <w:footnoteRef/>
      </w:r>
      <w:r w:rsidRPr="00F25B0D">
        <w:rPr>
          <w:rFonts w:ascii="Perpetua" w:hAnsi="Perpetua"/>
          <w:sz w:val="16"/>
          <w:szCs w:val="16"/>
        </w:rPr>
        <w:t xml:space="preserve"> Referring to B. Norton (1984).</w:t>
      </w:r>
    </w:p>
  </w:footnote>
  <w:footnote w:id="144">
    <w:p w14:paraId="4F5240C9" w14:textId="77777777" w:rsidR="009C34C2" w:rsidRPr="00F25B0D" w:rsidRDefault="009C34C2" w:rsidP="009C34C2">
      <w:pPr>
        <w:pStyle w:val="FootnoteText"/>
        <w:jc w:val="both"/>
        <w:rPr>
          <w:rFonts w:ascii="Perpetua" w:hAnsi="Perpetua"/>
          <w:sz w:val="16"/>
          <w:szCs w:val="16"/>
        </w:rPr>
      </w:pPr>
      <w:r w:rsidRPr="00F25B0D">
        <w:rPr>
          <w:rStyle w:val="FootnoteReference"/>
          <w:rFonts w:ascii="Perpetua" w:hAnsi="Perpetua"/>
          <w:sz w:val="16"/>
          <w:szCs w:val="16"/>
        </w:rPr>
        <w:footnoteRef/>
      </w:r>
      <w:r w:rsidRPr="00F25B0D">
        <w:rPr>
          <w:rFonts w:ascii="Perpetua" w:hAnsi="Perpetua"/>
          <w:sz w:val="16"/>
          <w:szCs w:val="16"/>
        </w:rPr>
        <w:t xml:space="preserve"> The extrinsic value considerations ‘would not be able to justify taking the same attitudes’ (p. 60). </w:t>
      </w:r>
    </w:p>
  </w:footnote>
  <w:footnote w:id="145">
    <w:p w14:paraId="218C2BF9" w14:textId="77777777" w:rsidR="009C34C2" w:rsidRPr="00F25B0D" w:rsidRDefault="009C34C2" w:rsidP="009C34C2">
      <w:pPr>
        <w:pStyle w:val="FootnoteText"/>
        <w:jc w:val="both"/>
        <w:rPr>
          <w:rFonts w:ascii="Perpetua" w:hAnsi="Perpetua"/>
          <w:sz w:val="16"/>
          <w:szCs w:val="16"/>
        </w:rPr>
      </w:pPr>
      <w:r w:rsidRPr="00F25B0D">
        <w:rPr>
          <w:rStyle w:val="FootnoteReference"/>
          <w:rFonts w:ascii="Perpetua" w:hAnsi="Perpetua"/>
          <w:sz w:val="16"/>
          <w:szCs w:val="16"/>
        </w:rPr>
        <w:footnoteRef/>
      </w:r>
      <w:r w:rsidRPr="00F25B0D">
        <w:rPr>
          <w:rFonts w:ascii="Perpetua" w:hAnsi="Perpetua"/>
          <w:sz w:val="16"/>
          <w:szCs w:val="16"/>
        </w:rPr>
        <w:t xml:space="preserve"> B. Norton (2008). </w:t>
      </w:r>
    </w:p>
  </w:footnote>
  <w:footnote w:id="146">
    <w:p w14:paraId="197FB7D7" w14:textId="77777777" w:rsidR="009C34C2" w:rsidRDefault="009C34C2" w:rsidP="009C34C2">
      <w:pPr>
        <w:pStyle w:val="FootnoteText"/>
        <w:jc w:val="both"/>
      </w:pPr>
      <w:r w:rsidRPr="00F25B0D">
        <w:rPr>
          <w:rStyle w:val="FootnoteReference"/>
          <w:rFonts w:ascii="Perpetua" w:hAnsi="Perpetua"/>
          <w:sz w:val="16"/>
          <w:szCs w:val="16"/>
        </w:rPr>
        <w:footnoteRef/>
      </w:r>
      <w:r w:rsidRPr="00F25B0D">
        <w:rPr>
          <w:rFonts w:ascii="Perpetua" w:hAnsi="Perpetua"/>
          <w:sz w:val="16"/>
          <w:szCs w:val="16"/>
        </w:rPr>
        <w:t xml:space="preserve"> A. Light, ‘Contemporary Environmental Ethics: From Metaethics to Public Philosophy’, </w:t>
      </w:r>
      <w:proofErr w:type="spellStart"/>
      <w:r w:rsidRPr="00F25B0D">
        <w:rPr>
          <w:rFonts w:ascii="Perpetua" w:hAnsi="Perpetua"/>
          <w:i/>
          <w:iCs/>
          <w:sz w:val="16"/>
          <w:szCs w:val="16"/>
        </w:rPr>
        <w:t>Metaphilosophy</w:t>
      </w:r>
      <w:proofErr w:type="spellEnd"/>
      <w:r w:rsidRPr="00F25B0D">
        <w:rPr>
          <w:rFonts w:ascii="Perpetua" w:hAnsi="Perpetua"/>
          <w:i/>
          <w:iCs/>
          <w:sz w:val="16"/>
          <w:szCs w:val="16"/>
        </w:rPr>
        <w:t xml:space="preserve"> </w:t>
      </w:r>
      <w:r w:rsidRPr="00F25B0D">
        <w:rPr>
          <w:rFonts w:ascii="Perpetua" w:hAnsi="Perpetua"/>
          <w:sz w:val="16"/>
          <w:szCs w:val="16"/>
        </w:rPr>
        <w:t xml:space="preserve">33 (2002), pp. 426 – 429. See also A. Weston, B. Norton (1984) </w:t>
      </w:r>
      <w:proofErr w:type="spellStart"/>
      <w:r w:rsidRPr="00F25B0D">
        <w:rPr>
          <w:rFonts w:ascii="Perpetua" w:hAnsi="Perpetua"/>
          <w:sz w:val="16"/>
          <w:szCs w:val="16"/>
        </w:rPr>
        <w:t>etc.but</w:t>
      </w:r>
      <w:proofErr w:type="spellEnd"/>
      <w:r w:rsidRPr="00F25B0D">
        <w:rPr>
          <w:rFonts w:ascii="Perpetua" w:hAnsi="Perpetua"/>
          <w:sz w:val="16"/>
          <w:szCs w:val="16"/>
        </w:rPr>
        <w:t xml:space="preserve"> not B. Minteer, ‘Intrinsic Value for Pragmatists?’, </w:t>
      </w:r>
      <w:r w:rsidRPr="00F25B0D">
        <w:rPr>
          <w:rFonts w:ascii="Perpetua" w:hAnsi="Perpetua"/>
          <w:i/>
          <w:iCs/>
          <w:sz w:val="16"/>
          <w:szCs w:val="16"/>
        </w:rPr>
        <w:t xml:space="preserve">Environmental Ethics </w:t>
      </w:r>
      <w:r w:rsidRPr="00F25B0D">
        <w:rPr>
          <w:rFonts w:ascii="Perpetua" w:hAnsi="Perpetua"/>
          <w:sz w:val="16"/>
          <w:szCs w:val="16"/>
        </w:rPr>
        <w:t>22 (2001), pp. 57 – 75.</w:t>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E34928"/>
    <w:multiLevelType w:val="hybridMultilevel"/>
    <w:tmpl w:val="3E0E24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01966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B55"/>
    <w:rsid w:val="00001539"/>
    <w:rsid w:val="00013F17"/>
    <w:rsid w:val="00037BF5"/>
    <w:rsid w:val="00051FD0"/>
    <w:rsid w:val="00067958"/>
    <w:rsid w:val="00131424"/>
    <w:rsid w:val="0014363C"/>
    <w:rsid w:val="00204FBF"/>
    <w:rsid w:val="00256A2A"/>
    <w:rsid w:val="002C5337"/>
    <w:rsid w:val="002F6C27"/>
    <w:rsid w:val="00305BAF"/>
    <w:rsid w:val="003563B4"/>
    <w:rsid w:val="0044242D"/>
    <w:rsid w:val="0046390E"/>
    <w:rsid w:val="004753E5"/>
    <w:rsid w:val="00574D6E"/>
    <w:rsid w:val="00711B9E"/>
    <w:rsid w:val="00773E0E"/>
    <w:rsid w:val="008306C6"/>
    <w:rsid w:val="008B36C7"/>
    <w:rsid w:val="008D7E68"/>
    <w:rsid w:val="009422E2"/>
    <w:rsid w:val="00995268"/>
    <w:rsid w:val="009C34C2"/>
    <w:rsid w:val="00AB10BF"/>
    <w:rsid w:val="00B24C5D"/>
    <w:rsid w:val="00BE0B55"/>
    <w:rsid w:val="00BF5880"/>
    <w:rsid w:val="00C6093A"/>
    <w:rsid w:val="00C73E28"/>
    <w:rsid w:val="00DA532B"/>
    <w:rsid w:val="00DD7C70"/>
    <w:rsid w:val="00DE2A50"/>
    <w:rsid w:val="00DE4144"/>
    <w:rsid w:val="00E0548F"/>
    <w:rsid w:val="00E33B39"/>
    <w:rsid w:val="00E566B0"/>
    <w:rsid w:val="00F10436"/>
    <w:rsid w:val="00F22C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6532FAB"/>
  <w15:chartTrackingRefBased/>
  <w15:docId w15:val="{13734B46-BA20-F34A-98EB-0324FEBBA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0B55"/>
  </w:style>
  <w:style w:type="paragraph" w:styleId="Heading1">
    <w:name w:val="heading 1"/>
    <w:basedOn w:val="Normal"/>
    <w:next w:val="Normal"/>
    <w:link w:val="Heading1Char"/>
    <w:uiPriority w:val="9"/>
    <w:qFormat/>
    <w:rsid w:val="00BE0B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0B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0B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0B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0B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0B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0B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0B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0B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0B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0B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0B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0B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0B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0B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0B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0B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0B55"/>
    <w:rPr>
      <w:rFonts w:eastAsiaTheme="majorEastAsia" w:cstheme="majorBidi"/>
      <w:color w:val="272727" w:themeColor="text1" w:themeTint="D8"/>
    </w:rPr>
  </w:style>
  <w:style w:type="paragraph" w:styleId="Title">
    <w:name w:val="Title"/>
    <w:basedOn w:val="Normal"/>
    <w:next w:val="Normal"/>
    <w:link w:val="TitleChar"/>
    <w:uiPriority w:val="10"/>
    <w:qFormat/>
    <w:rsid w:val="00BE0B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0B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0B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0B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0B55"/>
    <w:pPr>
      <w:spacing w:before="160"/>
      <w:jc w:val="center"/>
    </w:pPr>
    <w:rPr>
      <w:i/>
      <w:iCs/>
      <w:color w:val="404040" w:themeColor="text1" w:themeTint="BF"/>
    </w:rPr>
  </w:style>
  <w:style w:type="character" w:customStyle="1" w:styleId="QuoteChar">
    <w:name w:val="Quote Char"/>
    <w:basedOn w:val="DefaultParagraphFont"/>
    <w:link w:val="Quote"/>
    <w:uiPriority w:val="29"/>
    <w:rsid w:val="00BE0B55"/>
    <w:rPr>
      <w:i/>
      <w:iCs/>
      <w:color w:val="404040" w:themeColor="text1" w:themeTint="BF"/>
    </w:rPr>
  </w:style>
  <w:style w:type="paragraph" w:styleId="ListParagraph">
    <w:name w:val="List Paragraph"/>
    <w:basedOn w:val="Normal"/>
    <w:uiPriority w:val="34"/>
    <w:qFormat/>
    <w:rsid w:val="00BE0B55"/>
    <w:pPr>
      <w:ind w:left="720"/>
      <w:contextualSpacing/>
    </w:pPr>
  </w:style>
  <w:style w:type="character" w:styleId="IntenseEmphasis">
    <w:name w:val="Intense Emphasis"/>
    <w:basedOn w:val="DefaultParagraphFont"/>
    <w:uiPriority w:val="21"/>
    <w:qFormat/>
    <w:rsid w:val="00BE0B55"/>
    <w:rPr>
      <w:i/>
      <w:iCs/>
      <w:color w:val="0F4761" w:themeColor="accent1" w:themeShade="BF"/>
    </w:rPr>
  </w:style>
  <w:style w:type="paragraph" w:styleId="IntenseQuote">
    <w:name w:val="Intense Quote"/>
    <w:basedOn w:val="Normal"/>
    <w:next w:val="Normal"/>
    <w:link w:val="IntenseQuoteChar"/>
    <w:uiPriority w:val="30"/>
    <w:qFormat/>
    <w:rsid w:val="00BE0B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0B55"/>
    <w:rPr>
      <w:i/>
      <w:iCs/>
      <w:color w:val="0F4761" w:themeColor="accent1" w:themeShade="BF"/>
    </w:rPr>
  </w:style>
  <w:style w:type="character" w:styleId="IntenseReference">
    <w:name w:val="Intense Reference"/>
    <w:basedOn w:val="DefaultParagraphFont"/>
    <w:uiPriority w:val="32"/>
    <w:qFormat/>
    <w:rsid w:val="00BE0B55"/>
    <w:rPr>
      <w:b/>
      <w:bCs/>
      <w:smallCaps/>
      <w:color w:val="0F4761" w:themeColor="accent1" w:themeShade="BF"/>
      <w:spacing w:val="5"/>
    </w:rPr>
  </w:style>
  <w:style w:type="paragraph" w:styleId="FootnoteText">
    <w:name w:val="footnote text"/>
    <w:basedOn w:val="Normal"/>
    <w:link w:val="FootnoteTextChar"/>
    <w:uiPriority w:val="99"/>
    <w:unhideWhenUsed/>
    <w:rsid w:val="00BE0B55"/>
    <w:pPr>
      <w:spacing w:after="0" w:line="240" w:lineRule="auto"/>
    </w:pPr>
    <w:rPr>
      <w:sz w:val="20"/>
      <w:szCs w:val="20"/>
    </w:rPr>
  </w:style>
  <w:style w:type="character" w:customStyle="1" w:styleId="FootnoteTextChar">
    <w:name w:val="Footnote Text Char"/>
    <w:basedOn w:val="DefaultParagraphFont"/>
    <w:link w:val="FootnoteText"/>
    <w:uiPriority w:val="99"/>
    <w:rsid w:val="00BE0B55"/>
    <w:rPr>
      <w:sz w:val="20"/>
      <w:szCs w:val="20"/>
    </w:rPr>
  </w:style>
  <w:style w:type="character" w:styleId="FootnoteReference">
    <w:name w:val="footnote reference"/>
    <w:basedOn w:val="DefaultParagraphFont"/>
    <w:uiPriority w:val="99"/>
    <w:semiHidden/>
    <w:unhideWhenUsed/>
    <w:rsid w:val="00BE0B55"/>
    <w:rPr>
      <w:vertAlign w:val="superscript"/>
    </w:rPr>
  </w:style>
  <w:style w:type="character" w:customStyle="1" w:styleId="contributors">
    <w:name w:val="contributors"/>
    <w:basedOn w:val="DefaultParagraphFont"/>
    <w:rsid w:val="00BE0B55"/>
  </w:style>
  <w:style w:type="character" w:styleId="Emphasis">
    <w:name w:val="Emphasis"/>
    <w:basedOn w:val="DefaultParagraphFont"/>
    <w:uiPriority w:val="20"/>
    <w:qFormat/>
    <w:rsid w:val="00BE0B55"/>
    <w:rPr>
      <w:i/>
      <w:iCs/>
    </w:rPr>
  </w:style>
  <w:style w:type="character" w:customStyle="1" w:styleId="publisher-location">
    <w:name w:val="publisher-location"/>
    <w:basedOn w:val="DefaultParagraphFont"/>
    <w:rsid w:val="00BE0B55"/>
  </w:style>
  <w:style w:type="character" w:customStyle="1" w:styleId="print-publication-date">
    <w:name w:val="print-publication-date"/>
    <w:basedOn w:val="DefaultParagraphFont"/>
    <w:rsid w:val="00BE0B55"/>
  </w:style>
  <w:style w:type="character" w:customStyle="1" w:styleId="online-edition">
    <w:name w:val="online-edition"/>
    <w:basedOn w:val="DefaultParagraphFont"/>
    <w:rsid w:val="00BE0B55"/>
  </w:style>
  <w:style w:type="character" w:customStyle="1" w:styleId="containing-site">
    <w:name w:val="containing-site"/>
    <w:basedOn w:val="DefaultParagraphFont"/>
    <w:rsid w:val="00BE0B55"/>
  </w:style>
  <w:style w:type="character" w:customStyle="1" w:styleId="online-publication-date">
    <w:name w:val="online-publication-date"/>
    <w:basedOn w:val="DefaultParagraphFont"/>
    <w:rsid w:val="00BE0B55"/>
  </w:style>
  <w:style w:type="character" w:customStyle="1" w:styleId="accessed-date">
    <w:name w:val="accessed-date"/>
    <w:basedOn w:val="DefaultParagraphFont"/>
    <w:rsid w:val="00BE0B55"/>
  </w:style>
  <w:style w:type="paragraph" w:styleId="BlockText">
    <w:name w:val="Block Text"/>
    <w:basedOn w:val="Normal"/>
    <w:rsid w:val="00BE0B55"/>
    <w:pPr>
      <w:spacing w:after="0" w:line="240" w:lineRule="auto"/>
      <w:ind w:left="993" w:right="34"/>
    </w:pPr>
    <w:rPr>
      <w:rFonts w:ascii="Times New Roman" w:eastAsia="Times New Roman" w:hAnsi="Times New Roman" w:cs="Times New Roman"/>
      <w:kern w:val="0"/>
      <w14:ligatures w14:val="none"/>
    </w:rPr>
  </w:style>
  <w:style w:type="paragraph" w:styleId="NoSpacing">
    <w:name w:val="No Spacing"/>
    <w:uiPriority w:val="1"/>
    <w:qFormat/>
    <w:rsid w:val="009C34C2"/>
    <w:pPr>
      <w:spacing w:after="0" w:line="240" w:lineRule="auto"/>
    </w:pPr>
  </w:style>
  <w:style w:type="character" w:customStyle="1" w:styleId="apple-converted-space">
    <w:name w:val="apple-converted-space"/>
    <w:basedOn w:val="DefaultParagraphFont"/>
    <w:rsid w:val="009C34C2"/>
  </w:style>
  <w:style w:type="character" w:styleId="Strong">
    <w:name w:val="Strong"/>
    <w:basedOn w:val="DefaultParagraphFont"/>
    <w:uiPriority w:val="22"/>
    <w:qFormat/>
    <w:rsid w:val="009C34C2"/>
    <w:rPr>
      <w:b/>
      <w:bCs/>
    </w:rPr>
  </w:style>
  <w:style w:type="paragraph" w:customStyle="1" w:styleId="p1">
    <w:name w:val="p1"/>
    <w:basedOn w:val="Normal"/>
    <w:rsid w:val="009C34C2"/>
    <w:pPr>
      <w:spacing w:after="0" w:line="240" w:lineRule="auto"/>
    </w:pPr>
    <w:rPr>
      <w:rFonts w:ascii="Times" w:eastAsia="Times New Roman" w:hAnsi="Times" w:cs="Times"/>
      <w:color w:val="1A1818"/>
      <w:kern w:val="0"/>
      <w:sz w:val="15"/>
      <w:szCs w:val="15"/>
      <w:lang w:eastAsia="en-GB"/>
      <w14:ligatures w14:val="none"/>
    </w:rPr>
  </w:style>
  <w:style w:type="character" w:styleId="Hyperlink">
    <w:name w:val="Hyperlink"/>
    <w:basedOn w:val="DefaultParagraphFont"/>
    <w:uiPriority w:val="99"/>
    <w:unhideWhenUsed/>
    <w:rsid w:val="009C34C2"/>
    <w:rPr>
      <w:color w:val="0000FF"/>
      <w:u w:val="single"/>
    </w:rPr>
  </w:style>
  <w:style w:type="paragraph" w:styleId="Footer">
    <w:name w:val="footer"/>
    <w:basedOn w:val="Normal"/>
    <w:link w:val="FooterChar"/>
    <w:uiPriority w:val="99"/>
    <w:unhideWhenUsed/>
    <w:rsid w:val="00773E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3E0E"/>
  </w:style>
  <w:style w:type="character" w:styleId="PageNumber">
    <w:name w:val="page number"/>
    <w:basedOn w:val="DefaultParagraphFont"/>
    <w:uiPriority w:val="99"/>
    <w:semiHidden/>
    <w:unhideWhenUsed/>
    <w:rsid w:val="00773E0E"/>
  </w:style>
  <w:style w:type="character" w:customStyle="1" w:styleId="maintitle">
    <w:name w:val="maintitle"/>
    <w:basedOn w:val="DefaultParagraphFont"/>
    <w:rsid w:val="003563B4"/>
  </w:style>
  <w:style w:type="character" w:customStyle="1" w:styleId="editors">
    <w:name w:val="editors"/>
    <w:basedOn w:val="DefaultParagraphFont"/>
    <w:rsid w:val="003563B4"/>
  </w:style>
  <w:style w:type="character" w:customStyle="1" w:styleId="series-title">
    <w:name w:val="series-title"/>
    <w:basedOn w:val="DefaultParagraphFont"/>
    <w:rsid w:val="003563B4"/>
  </w:style>
  <w:style w:type="character" w:styleId="UnresolvedMention">
    <w:name w:val="Unresolved Mention"/>
    <w:basedOn w:val="DefaultParagraphFont"/>
    <w:uiPriority w:val="99"/>
    <w:semiHidden/>
    <w:unhideWhenUsed/>
    <w:rsid w:val="00BF58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3197/096327108X27191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1" Type="http://schemas.openxmlformats.org/officeDocument/2006/relationships/hyperlink" Target="http://dx.doi.org/10.3197/096327108X2719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54A96B-0BFC-C64D-BBA7-ECCFAFAD2E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27</Pages>
  <Words>6478</Words>
  <Characters>29933</Characters>
  <Application>Microsoft Office Word</Application>
  <DocSecurity>0</DocSecurity>
  <Lines>467</Lines>
  <Paragraphs>112</Paragraphs>
  <ScaleCrop>false</ScaleCrop>
  <Company/>
  <LinksUpToDate>false</LinksUpToDate>
  <CharactersWithSpaces>36299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 Kenny</dc:creator>
  <cp:keywords/>
  <dc:description/>
  <cp:lastModifiedBy>Ed Kenny</cp:lastModifiedBy>
  <cp:revision>2</cp:revision>
  <cp:lastPrinted>2026-07-27T16:09:00Z</cp:lastPrinted>
  <dcterms:created xsi:type="dcterms:W3CDTF">2026-07-27T22:41:00Z</dcterms:created>
  <dcterms:modified xsi:type="dcterms:W3CDTF">2026-07-27T22:41:00Z</dcterms:modified>
</cp:coreProperties>
</file>