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3FCB8" w14:textId="5D338124" w:rsidR="003679EE" w:rsidRDefault="009A69E3">
      <w:pPr>
        <w:rPr>
          <w:rFonts w:ascii="Arial" w:hAnsi="Arial" w:cs="Arial"/>
          <w:b/>
          <w:bCs/>
          <w:sz w:val="32"/>
          <w:szCs w:val="32"/>
        </w:rPr>
      </w:pPr>
      <w:r w:rsidRPr="009A69E3">
        <w:rPr>
          <w:rFonts w:ascii="Arial" w:hAnsi="Arial" w:cs="Arial"/>
          <w:b/>
          <w:bCs/>
          <w:sz w:val="32"/>
          <w:szCs w:val="32"/>
        </w:rPr>
        <w:t>Leadership Strat abstracts</w:t>
      </w:r>
    </w:p>
    <w:p w14:paraId="1BEE2B81" w14:textId="1B07BD25" w:rsidR="00DB6FA2" w:rsidRDefault="00DB6FA2">
      <w:pPr>
        <w:rPr>
          <w:rFonts w:ascii="Arial" w:hAnsi="Arial" w:cs="Arial"/>
          <w:b/>
          <w:bCs/>
          <w:sz w:val="32"/>
          <w:szCs w:val="32"/>
        </w:rPr>
      </w:pPr>
    </w:p>
    <w:p w14:paraId="12F000A6" w14:textId="52A4AF4E" w:rsidR="00DB6FA2" w:rsidRDefault="00DB6FA2">
      <w:pPr>
        <w:rPr>
          <w:rFonts w:ascii="Arial" w:hAnsi="Arial" w:cs="Arial"/>
          <w:b/>
          <w:bCs/>
          <w:sz w:val="32"/>
          <w:szCs w:val="32"/>
        </w:rPr>
      </w:pPr>
      <w:r>
        <w:rPr>
          <w:rFonts w:ascii="Arial" w:hAnsi="Arial" w:cs="Arial"/>
          <w:b/>
          <w:bCs/>
          <w:sz w:val="32"/>
          <w:szCs w:val="32"/>
        </w:rPr>
        <w:t>22-01-23</w:t>
      </w:r>
    </w:p>
    <w:p w14:paraId="12E63741" w14:textId="77777777" w:rsidR="00DB6FA2" w:rsidRDefault="00DB6FA2">
      <w:pPr>
        <w:rPr>
          <w:rFonts w:ascii="Arial" w:hAnsi="Arial" w:cs="Arial"/>
          <w:b/>
          <w:bCs/>
          <w:sz w:val="32"/>
          <w:szCs w:val="32"/>
        </w:rPr>
      </w:pPr>
    </w:p>
    <w:p w14:paraId="06C26E9C" w14:textId="0E9A4CB2" w:rsidR="00AC2FD9" w:rsidRPr="00AC2FD9" w:rsidRDefault="00AC2FD9" w:rsidP="00AC2FD9">
      <w:pPr>
        <w:rPr>
          <w:rFonts w:ascii="Arial" w:hAnsi="Arial" w:cs="Arial"/>
          <w:b/>
          <w:bCs/>
          <w:sz w:val="24"/>
          <w:szCs w:val="24"/>
        </w:rPr>
      </w:pPr>
      <w:r w:rsidRPr="00AC2FD9">
        <w:rPr>
          <w:rFonts w:ascii="Arial" w:eastAsia="Times New Roman" w:hAnsi="Arial" w:cs="Arial"/>
          <w:color w:val="2E2E2E"/>
          <w:sz w:val="24"/>
          <w:szCs w:val="24"/>
          <w:lang w:eastAsia="en-GB"/>
        </w:rPr>
        <w:t xml:space="preserve">Matthew </w:t>
      </w:r>
      <w:proofErr w:type="spellStart"/>
      <w:r w:rsidRPr="00AC2FD9">
        <w:rPr>
          <w:rFonts w:ascii="Arial" w:eastAsia="Times New Roman" w:hAnsi="Arial" w:cs="Arial"/>
          <w:color w:val="2E2E2E"/>
          <w:sz w:val="24"/>
          <w:szCs w:val="24"/>
          <w:lang w:eastAsia="en-GB"/>
        </w:rPr>
        <w:t>D.Jones</w:t>
      </w:r>
      <w:r w:rsidRPr="00AC2FD9">
        <w:rPr>
          <w:rFonts w:ascii="Arial" w:eastAsia="Times New Roman" w:hAnsi="Arial" w:cs="Arial"/>
          <w:color w:val="2E2E2E"/>
          <w:sz w:val="24"/>
          <w:szCs w:val="24"/>
          <w:vertAlign w:val="superscript"/>
          <w:lang w:eastAsia="en-GB"/>
        </w:rPr>
        <w:t>a</w:t>
      </w:r>
      <w:r w:rsidRPr="00AC2FD9">
        <w:rPr>
          <w:rFonts w:ascii="Arial" w:eastAsia="Times New Roman" w:hAnsi="Arial" w:cs="Arial"/>
          <w:color w:val="2E2E2E"/>
          <w:sz w:val="24"/>
          <w:szCs w:val="24"/>
          <w:lang w:eastAsia="en-GB"/>
        </w:rPr>
        <w:t>ScottHutcheson</w:t>
      </w:r>
      <w:r w:rsidRPr="00AC2FD9">
        <w:rPr>
          <w:rFonts w:ascii="Arial" w:eastAsia="Times New Roman" w:hAnsi="Arial" w:cs="Arial"/>
          <w:color w:val="2E2E2E"/>
          <w:sz w:val="24"/>
          <w:szCs w:val="24"/>
          <w:vertAlign w:val="superscript"/>
          <w:lang w:eastAsia="en-GB"/>
        </w:rPr>
        <w:t>a</w:t>
      </w:r>
      <w:r w:rsidRPr="00AC2FD9">
        <w:rPr>
          <w:rFonts w:ascii="Arial" w:eastAsia="Times New Roman" w:hAnsi="Arial" w:cs="Arial"/>
          <w:color w:val="2E2E2E"/>
          <w:sz w:val="24"/>
          <w:szCs w:val="24"/>
          <w:lang w:eastAsia="en-GB"/>
        </w:rPr>
        <w:t>Jorge</w:t>
      </w:r>
      <w:proofErr w:type="spellEnd"/>
      <w:r w:rsidRPr="00AC2FD9">
        <w:rPr>
          <w:rFonts w:ascii="Arial" w:eastAsia="Times New Roman" w:hAnsi="Arial" w:cs="Arial"/>
          <w:color w:val="2E2E2E"/>
          <w:sz w:val="24"/>
          <w:szCs w:val="24"/>
          <w:lang w:eastAsia="en-GB"/>
        </w:rPr>
        <w:t xml:space="preserve"> </w:t>
      </w:r>
      <w:proofErr w:type="spellStart"/>
      <w:r w:rsidRPr="00AC2FD9">
        <w:rPr>
          <w:rFonts w:ascii="Arial" w:eastAsia="Times New Roman" w:hAnsi="Arial" w:cs="Arial"/>
          <w:color w:val="2E2E2E"/>
          <w:sz w:val="24"/>
          <w:szCs w:val="24"/>
          <w:lang w:eastAsia="en-GB"/>
        </w:rPr>
        <w:t>D.Camba</w:t>
      </w:r>
      <w:r w:rsidRPr="00AC2FD9">
        <w:rPr>
          <w:rFonts w:ascii="Arial" w:eastAsia="Times New Roman" w:hAnsi="Arial" w:cs="Arial"/>
          <w:color w:val="2E2E2E"/>
          <w:sz w:val="24"/>
          <w:szCs w:val="24"/>
          <w:vertAlign w:val="superscript"/>
          <w:lang w:eastAsia="en-GB"/>
        </w:rPr>
        <w:t>b</w:t>
      </w:r>
      <w:proofErr w:type="spellEnd"/>
      <w:r>
        <w:rPr>
          <w:rFonts w:ascii="Arial" w:hAnsi="Arial" w:cs="Arial"/>
          <w:b/>
          <w:bCs/>
          <w:sz w:val="24"/>
          <w:szCs w:val="24"/>
        </w:rPr>
        <w:t xml:space="preserve"> </w:t>
      </w:r>
      <w:r w:rsidRPr="00AC2FD9">
        <w:rPr>
          <w:rFonts w:ascii="Arial" w:eastAsia="Times New Roman" w:hAnsi="Arial" w:cs="Arial"/>
          <w:color w:val="505050"/>
          <w:kern w:val="36"/>
          <w:sz w:val="24"/>
          <w:szCs w:val="24"/>
          <w:lang w:eastAsia="en-GB"/>
        </w:rPr>
        <w:t>Past, present, and future barriers to digital transformation in manufacturing: A review</w:t>
      </w:r>
      <w:r>
        <w:rPr>
          <w:rFonts w:ascii="Arial" w:eastAsia="Times New Roman" w:hAnsi="Arial" w:cs="Arial"/>
          <w:color w:val="505050"/>
          <w:kern w:val="36"/>
          <w:sz w:val="24"/>
          <w:szCs w:val="24"/>
          <w:lang w:eastAsia="en-GB"/>
        </w:rPr>
        <w:t xml:space="preserve"> </w:t>
      </w:r>
      <w:hyperlink r:id="rId5" w:tooltip="Go to Journal of Manufacturing Systems on ScienceDirect" w:history="1">
        <w:r w:rsidRPr="00AC2FD9">
          <w:rPr>
            <w:rFonts w:ascii="Arial" w:eastAsia="Times New Roman" w:hAnsi="Arial" w:cs="Arial"/>
            <w:color w:val="505050"/>
            <w:sz w:val="24"/>
            <w:szCs w:val="24"/>
            <w:u w:val="single"/>
            <w:lang w:eastAsia="en-GB"/>
          </w:rPr>
          <w:t>Journal of Manufacturing Systems</w:t>
        </w:r>
      </w:hyperlink>
      <w:r>
        <w:rPr>
          <w:rFonts w:ascii="Arial" w:hAnsi="Arial" w:cs="Arial"/>
          <w:b/>
          <w:bCs/>
          <w:sz w:val="24"/>
          <w:szCs w:val="24"/>
        </w:rPr>
        <w:t xml:space="preserve"> </w:t>
      </w:r>
      <w:hyperlink r:id="rId6" w:tooltip="Go to table of contents for this volume/issue" w:history="1">
        <w:r w:rsidRPr="00AC2FD9">
          <w:rPr>
            <w:rFonts w:ascii="Arial" w:eastAsia="Times New Roman" w:hAnsi="Arial" w:cs="Arial"/>
            <w:color w:val="0C7DBB"/>
            <w:sz w:val="24"/>
            <w:szCs w:val="24"/>
            <w:u w:val="single"/>
            <w:lang w:eastAsia="en-GB"/>
          </w:rPr>
          <w:t>Volume 60</w:t>
        </w:r>
      </w:hyperlink>
      <w:r w:rsidRPr="00AC2FD9">
        <w:rPr>
          <w:rFonts w:ascii="Arial" w:eastAsia="Times New Roman" w:hAnsi="Arial" w:cs="Arial"/>
          <w:color w:val="2E2E2E"/>
          <w:sz w:val="24"/>
          <w:szCs w:val="24"/>
          <w:lang w:eastAsia="en-GB"/>
        </w:rPr>
        <w:t>, July 2021, Pages 936-948</w:t>
      </w:r>
      <w:r>
        <w:rPr>
          <w:rFonts w:ascii="Arial" w:eastAsia="Times New Roman" w:hAnsi="Arial" w:cs="Arial"/>
          <w:color w:val="2E2E2E"/>
          <w:sz w:val="24"/>
          <w:szCs w:val="24"/>
          <w:lang w:eastAsia="en-GB"/>
        </w:rPr>
        <w:t>.</w:t>
      </w:r>
    </w:p>
    <w:p w14:paraId="4D9E4200" w14:textId="6C1A0846" w:rsidR="00AC2FD9" w:rsidRPr="00AC2FD9" w:rsidRDefault="00AC2FD9" w:rsidP="00AC2FD9">
      <w:pPr>
        <w:spacing w:line="240" w:lineRule="auto"/>
        <w:rPr>
          <w:rFonts w:ascii="Arial" w:eastAsia="Times New Roman" w:hAnsi="Arial" w:cs="Arial"/>
          <w:color w:val="2E2E2E"/>
          <w:sz w:val="21"/>
          <w:szCs w:val="21"/>
          <w:lang w:eastAsia="en-GB"/>
        </w:rPr>
      </w:pPr>
    </w:p>
    <w:p w14:paraId="32148B0C" w14:textId="77777777" w:rsidR="00AC2FD9" w:rsidRDefault="00AC2FD9">
      <w:pPr>
        <w:rPr>
          <w:rFonts w:ascii="Arial" w:hAnsi="Arial" w:cs="Arial"/>
          <w:b/>
          <w:bCs/>
          <w:sz w:val="32"/>
          <w:szCs w:val="32"/>
        </w:rPr>
      </w:pPr>
    </w:p>
    <w:p w14:paraId="44CC8233" w14:textId="1C089B91" w:rsidR="00AC2FD9" w:rsidRDefault="00AC2FD9">
      <w:pPr>
        <w:rPr>
          <w:rFonts w:ascii="Arial" w:hAnsi="Arial" w:cs="Arial"/>
          <w:b/>
          <w:bCs/>
          <w:sz w:val="32"/>
          <w:szCs w:val="32"/>
        </w:rPr>
      </w:pPr>
      <w:r>
        <w:rPr>
          <w:noProof/>
        </w:rPr>
        <w:drawing>
          <wp:inline distT="0" distB="0" distL="0" distR="0" wp14:anchorId="1144C53F" wp14:editId="1C68F539">
            <wp:extent cx="5731510" cy="2786532"/>
            <wp:effectExtent l="0" t="0" r="254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86532"/>
                    </a:xfrm>
                    <a:prstGeom prst="rect">
                      <a:avLst/>
                    </a:prstGeom>
                    <a:noFill/>
                    <a:ln>
                      <a:noFill/>
                    </a:ln>
                  </pic:spPr>
                </pic:pic>
              </a:graphicData>
            </a:graphic>
          </wp:inline>
        </w:drawing>
      </w:r>
    </w:p>
    <w:p w14:paraId="7AAD213D" w14:textId="6A4C083B" w:rsidR="00AC2FD9" w:rsidRDefault="00AC2FD9">
      <w:pPr>
        <w:rPr>
          <w:rFonts w:ascii="Georgia" w:hAnsi="Georgia"/>
          <w:color w:val="2E2E2E"/>
          <w:sz w:val="27"/>
          <w:szCs w:val="27"/>
        </w:rPr>
      </w:pPr>
      <w:r>
        <w:rPr>
          <w:rFonts w:ascii="Georgia" w:hAnsi="Georgia"/>
          <w:color w:val="2E2E2E"/>
          <w:sz w:val="27"/>
          <w:szCs w:val="27"/>
        </w:rPr>
        <w:t>Research in digital transformation (DT) is burgeoning. Meanwhile, the COVID-19 pandemic has not only influenced both day-to-day functions of firms dramatically, but also their efforts to become more digitally mature. In this review paper, we discuss the barriers to DT before, during, and what may well continue after the COVID-19 pandemic and offer a new strategy discipline—Strategic Doing—that may be useful to manufacturing firms in achieving successful DT. We discuss the divergent definitions and drivers of DT diving deep into the barriers for manufacturing firms to mature digitally. We briefly describe digital readiness and current efforts of DT in manufacturing while describing the impact of COVID-19 on DT initiatives. We conclude by describing Strategic Doing and suggesting new paths for research in this area.</w:t>
      </w:r>
    </w:p>
    <w:p w14:paraId="01E4BFF1" w14:textId="436F5672" w:rsidR="00AC2FD9" w:rsidRDefault="00AC2FD9">
      <w:pPr>
        <w:rPr>
          <w:rFonts w:ascii="Arial" w:hAnsi="Arial" w:cs="Arial"/>
          <w:b/>
          <w:bCs/>
          <w:sz w:val="32"/>
          <w:szCs w:val="32"/>
        </w:rPr>
      </w:pPr>
      <w:r>
        <w:rPr>
          <w:noProof/>
        </w:rPr>
        <w:lastRenderedPageBreak/>
        <w:drawing>
          <wp:inline distT="0" distB="0" distL="0" distR="0" wp14:anchorId="21542CCE" wp14:editId="536CCB77">
            <wp:extent cx="5731510" cy="2126706"/>
            <wp:effectExtent l="0" t="0" r="2540" b="698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126706"/>
                    </a:xfrm>
                    <a:prstGeom prst="rect">
                      <a:avLst/>
                    </a:prstGeom>
                    <a:noFill/>
                    <a:ln>
                      <a:noFill/>
                    </a:ln>
                  </pic:spPr>
                </pic:pic>
              </a:graphicData>
            </a:graphic>
          </wp:inline>
        </w:drawing>
      </w:r>
    </w:p>
    <w:p w14:paraId="0603AF83" w14:textId="317A8816" w:rsidR="00C21F90" w:rsidRDefault="00C21F90" w:rsidP="00105F26">
      <w:pPr>
        <w:shd w:val="clear" w:color="auto" w:fill="FFFFFF"/>
        <w:spacing w:after="0" w:afterAutospacing="1" w:line="240" w:lineRule="auto"/>
      </w:pPr>
      <w:hyperlink r:id="rId9" w:tooltip="Brian Leavy" w:history="1">
        <w:r w:rsidRPr="00C21F90">
          <w:rPr>
            <w:rFonts w:ascii="Open Sans" w:hAnsi="Open Sans" w:cs="Open Sans"/>
            <w:color w:val="0000FF"/>
            <w:sz w:val="27"/>
            <w:szCs w:val="27"/>
            <w:u w:val="single"/>
            <w:shd w:val="clear" w:color="auto" w:fill="FFFFFF"/>
          </w:rPr>
          <w:t>Leavy, B.</w:t>
        </w:r>
      </w:hyperlink>
      <w:r w:rsidRPr="00C21F90">
        <w:rPr>
          <w:rFonts w:ascii="Open Sans" w:hAnsi="Open Sans" w:cs="Open Sans"/>
          <w:sz w:val="27"/>
          <w:szCs w:val="27"/>
          <w:shd w:val="clear" w:color="auto" w:fill="FFFFFF"/>
        </w:rPr>
        <w:t> (2022), "Roger Martin: The power of questioning conventional models in management practice", </w:t>
      </w:r>
      <w:hyperlink r:id="rId10" w:history="1">
        <w:r w:rsidRPr="00C21F90">
          <w:rPr>
            <w:rFonts w:ascii="Open Sans" w:hAnsi="Open Sans" w:cs="Open Sans"/>
            <w:i/>
            <w:iCs/>
            <w:color w:val="007377"/>
            <w:sz w:val="27"/>
            <w:szCs w:val="27"/>
            <w:u w:val="single"/>
          </w:rPr>
          <w:t>Strategy &amp; Leadership</w:t>
        </w:r>
      </w:hyperlink>
      <w:r w:rsidRPr="00C21F90">
        <w:rPr>
          <w:rFonts w:ascii="Open Sans" w:hAnsi="Open Sans" w:cs="Open Sans"/>
          <w:sz w:val="27"/>
          <w:szCs w:val="27"/>
          <w:shd w:val="clear" w:color="auto" w:fill="FFFFFF"/>
        </w:rPr>
        <w:t>, Vol. 50 No. 4, pp. 2-8. </w:t>
      </w:r>
      <w:hyperlink r:id="rId11" w:tooltip="DOI: https://doi.org/10.1108/SL-04-2022-0036" w:history="1">
        <w:r w:rsidRPr="00C21F90">
          <w:rPr>
            <w:rFonts w:ascii="Open Sans" w:hAnsi="Open Sans" w:cs="Open Sans"/>
            <w:color w:val="007377"/>
            <w:sz w:val="27"/>
            <w:szCs w:val="27"/>
            <w:u w:val="single"/>
            <w:shd w:val="clear" w:color="auto" w:fill="FFFFFF"/>
          </w:rPr>
          <w:t>https://doi.org/10.1108/SL-04-2022-0036</w:t>
        </w:r>
      </w:hyperlink>
    </w:p>
    <w:p w14:paraId="6CDB2FDC" w14:textId="286356BF" w:rsidR="00105F26" w:rsidRDefault="00D07C88" w:rsidP="00105F26">
      <w:pPr>
        <w:shd w:val="clear" w:color="auto" w:fill="FFFFFF"/>
        <w:spacing w:after="0" w:afterAutospacing="1" w:line="240" w:lineRule="auto"/>
      </w:pPr>
      <w:hyperlink r:id="rId12" w:tooltip="Robert Chapman Wood" w:history="1">
        <w:r w:rsidRPr="00D07C88">
          <w:rPr>
            <w:rFonts w:ascii="Open Sans" w:hAnsi="Open Sans" w:cs="Open Sans"/>
            <w:color w:val="0000FF"/>
            <w:sz w:val="27"/>
            <w:szCs w:val="27"/>
            <w:u w:val="single"/>
            <w:shd w:val="clear" w:color="auto" w:fill="FFFFFF"/>
          </w:rPr>
          <w:t>Wood, R.C.</w:t>
        </w:r>
      </w:hyperlink>
      <w:r w:rsidRPr="00D07C88">
        <w:rPr>
          <w:rFonts w:ascii="Open Sans" w:hAnsi="Open Sans" w:cs="Open Sans"/>
          <w:sz w:val="27"/>
          <w:szCs w:val="27"/>
          <w:shd w:val="clear" w:color="auto" w:fill="FFFFFF"/>
        </w:rPr>
        <w:t> (2022), "The making of a “Digital Mindset”", </w:t>
      </w:r>
      <w:hyperlink r:id="rId13" w:history="1">
        <w:r w:rsidRPr="00D07C88">
          <w:rPr>
            <w:rFonts w:ascii="Open Sans" w:hAnsi="Open Sans" w:cs="Open Sans"/>
            <w:i/>
            <w:iCs/>
            <w:color w:val="007377"/>
            <w:sz w:val="27"/>
            <w:szCs w:val="27"/>
            <w:u w:val="single"/>
          </w:rPr>
          <w:t>Strategy &amp; Leadership</w:t>
        </w:r>
      </w:hyperlink>
      <w:r w:rsidRPr="00D07C88">
        <w:rPr>
          <w:rFonts w:ascii="Open Sans" w:hAnsi="Open Sans" w:cs="Open Sans"/>
          <w:sz w:val="27"/>
          <w:szCs w:val="27"/>
          <w:shd w:val="clear" w:color="auto" w:fill="FFFFFF"/>
        </w:rPr>
        <w:t>, Vol. 50 No. 6, pp. 41-42. </w:t>
      </w:r>
      <w:hyperlink r:id="rId14" w:tooltip="DOI: https://doi.org/10.1108/SL-11-2022-238" w:history="1">
        <w:r w:rsidRPr="00D07C88">
          <w:rPr>
            <w:rFonts w:ascii="Open Sans" w:hAnsi="Open Sans" w:cs="Open Sans"/>
            <w:color w:val="007377"/>
            <w:sz w:val="27"/>
            <w:szCs w:val="27"/>
            <w:u w:val="single"/>
            <w:shd w:val="clear" w:color="auto" w:fill="FFFFFF"/>
          </w:rPr>
          <w:t>https://doi.org/10.1108/SL-11-2022-238</w:t>
        </w:r>
      </w:hyperlink>
    </w:p>
    <w:p w14:paraId="4F89E898" w14:textId="5CA17E79" w:rsidR="00C21F90" w:rsidRDefault="00C21F90" w:rsidP="00105F26">
      <w:pPr>
        <w:shd w:val="clear" w:color="auto" w:fill="FFFFFF"/>
        <w:spacing w:after="0" w:afterAutospacing="1" w:line="240" w:lineRule="auto"/>
      </w:pPr>
      <w:hyperlink r:id="rId15" w:tooltip="Christian Schuh" w:history="1">
        <w:r w:rsidRPr="00C21F90">
          <w:rPr>
            <w:rFonts w:ascii="Open Sans" w:hAnsi="Open Sans" w:cs="Open Sans"/>
            <w:color w:val="0000FF"/>
            <w:sz w:val="27"/>
            <w:szCs w:val="27"/>
            <w:u w:val="single"/>
            <w:shd w:val="clear" w:color="auto" w:fill="FFFFFF"/>
          </w:rPr>
          <w:t>Schuh, C.</w:t>
        </w:r>
      </w:hyperlink>
      <w:r w:rsidRPr="00C21F90">
        <w:rPr>
          <w:rFonts w:ascii="Open Sans" w:hAnsi="Open Sans" w:cs="Open Sans"/>
          <w:sz w:val="27"/>
          <w:szCs w:val="27"/>
          <w:shd w:val="clear" w:color="auto" w:fill="FFFFFF"/>
        </w:rPr>
        <w:t>, </w:t>
      </w:r>
      <w:hyperlink r:id="rId16" w:tooltip="Wolfgang Schnellbächer" w:history="1">
        <w:r w:rsidRPr="00C21F90">
          <w:rPr>
            <w:rFonts w:ascii="Open Sans" w:hAnsi="Open Sans" w:cs="Open Sans"/>
            <w:color w:val="0000FF"/>
            <w:sz w:val="27"/>
            <w:szCs w:val="27"/>
            <w:u w:val="single"/>
            <w:shd w:val="clear" w:color="auto" w:fill="FFFFFF"/>
          </w:rPr>
          <w:t>Schnellbächer, W.</w:t>
        </w:r>
      </w:hyperlink>
      <w:r w:rsidRPr="00C21F90">
        <w:rPr>
          <w:rFonts w:ascii="Open Sans" w:hAnsi="Open Sans" w:cs="Open Sans"/>
          <w:sz w:val="27"/>
          <w:szCs w:val="27"/>
          <w:shd w:val="clear" w:color="auto" w:fill="FFFFFF"/>
        </w:rPr>
        <w:t>, </w:t>
      </w:r>
      <w:hyperlink r:id="rId17" w:tooltip="Alenka Triplat" w:history="1">
        <w:r w:rsidRPr="00C21F90">
          <w:rPr>
            <w:rFonts w:ascii="Open Sans" w:hAnsi="Open Sans" w:cs="Open Sans"/>
            <w:color w:val="007377"/>
            <w:sz w:val="27"/>
            <w:szCs w:val="27"/>
            <w:u w:val="single"/>
            <w:shd w:val="clear" w:color="auto" w:fill="FFFFFF"/>
          </w:rPr>
          <w:t>Triplat, A.</w:t>
        </w:r>
      </w:hyperlink>
      <w:r w:rsidRPr="00C21F90">
        <w:rPr>
          <w:rFonts w:ascii="Open Sans" w:hAnsi="Open Sans" w:cs="Open Sans"/>
          <w:sz w:val="27"/>
          <w:szCs w:val="27"/>
          <w:shd w:val="clear" w:color="auto" w:fill="FFFFFF"/>
        </w:rPr>
        <w:t> and </w:t>
      </w:r>
      <w:hyperlink r:id="rId18" w:tooltip="Daniel Weise" w:history="1">
        <w:r w:rsidRPr="00C21F90">
          <w:rPr>
            <w:rFonts w:ascii="Open Sans" w:hAnsi="Open Sans" w:cs="Open Sans"/>
            <w:color w:val="0000FF"/>
            <w:sz w:val="27"/>
            <w:szCs w:val="27"/>
            <w:u w:val="single"/>
            <w:shd w:val="clear" w:color="auto" w:fill="FFFFFF"/>
          </w:rPr>
          <w:t>Weise, D.</w:t>
        </w:r>
      </w:hyperlink>
      <w:r w:rsidRPr="00C21F90">
        <w:rPr>
          <w:rFonts w:ascii="Open Sans" w:hAnsi="Open Sans" w:cs="Open Sans"/>
          <w:sz w:val="27"/>
          <w:szCs w:val="27"/>
          <w:shd w:val="clear" w:color="auto" w:fill="FFFFFF"/>
        </w:rPr>
        <w:t> (2022), "Why CEOs need to make supplier strategy and procurement leadership imperatives", </w:t>
      </w:r>
      <w:hyperlink r:id="rId19" w:history="1">
        <w:r w:rsidRPr="00C21F90">
          <w:rPr>
            <w:rFonts w:ascii="Open Sans" w:hAnsi="Open Sans" w:cs="Open Sans"/>
            <w:i/>
            <w:iCs/>
            <w:color w:val="007377"/>
            <w:sz w:val="27"/>
            <w:szCs w:val="27"/>
            <w:u w:val="single"/>
          </w:rPr>
          <w:t>Strategy &amp; Leadership</w:t>
        </w:r>
      </w:hyperlink>
      <w:r w:rsidRPr="00C21F90">
        <w:rPr>
          <w:rFonts w:ascii="Open Sans" w:hAnsi="Open Sans" w:cs="Open Sans"/>
          <w:sz w:val="27"/>
          <w:szCs w:val="27"/>
          <w:shd w:val="clear" w:color="auto" w:fill="FFFFFF"/>
        </w:rPr>
        <w:t>, Vol. 50 No. 4, pp. 24-27. </w:t>
      </w:r>
      <w:hyperlink r:id="rId20" w:tooltip="DOI: https://doi.org/10.1108/SL-04-2022-0038" w:history="1">
        <w:r w:rsidRPr="00C21F90">
          <w:rPr>
            <w:rFonts w:ascii="Open Sans" w:hAnsi="Open Sans" w:cs="Open Sans"/>
            <w:color w:val="007377"/>
            <w:sz w:val="27"/>
            <w:szCs w:val="27"/>
            <w:u w:val="single"/>
            <w:shd w:val="clear" w:color="auto" w:fill="FFFFFF"/>
          </w:rPr>
          <w:t>https://doi.org/10.1108/SL-04-2022-0038</w:t>
        </w:r>
      </w:hyperlink>
    </w:p>
    <w:p w14:paraId="6641FE2C" w14:textId="27A21516" w:rsidR="00D07C88" w:rsidRDefault="00CB49B7" w:rsidP="00105F26">
      <w:pPr>
        <w:shd w:val="clear" w:color="auto" w:fill="FFFFFF"/>
        <w:spacing w:after="0" w:afterAutospacing="1" w:line="240" w:lineRule="auto"/>
      </w:pPr>
      <w:hyperlink r:id="rId21" w:tooltip="Jacob Dencik" w:history="1">
        <w:r w:rsidRPr="00CB49B7">
          <w:rPr>
            <w:rFonts w:ascii="Open Sans" w:hAnsi="Open Sans" w:cs="Open Sans"/>
            <w:color w:val="0000FF"/>
            <w:sz w:val="27"/>
            <w:szCs w:val="27"/>
            <w:u w:val="single"/>
            <w:shd w:val="clear" w:color="auto" w:fill="FFFFFF"/>
          </w:rPr>
          <w:t>Dencik, J.</w:t>
        </w:r>
      </w:hyperlink>
      <w:r w:rsidRPr="00CB49B7">
        <w:rPr>
          <w:rFonts w:ascii="Open Sans" w:hAnsi="Open Sans" w:cs="Open Sans"/>
          <w:sz w:val="27"/>
          <w:szCs w:val="27"/>
          <w:shd w:val="clear" w:color="auto" w:fill="FFFFFF"/>
        </w:rPr>
        <w:t> and </w:t>
      </w:r>
      <w:hyperlink r:id="rId22" w:tooltip="Anthony Marshall" w:history="1">
        <w:r w:rsidRPr="00CB49B7">
          <w:rPr>
            <w:rFonts w:ascii="Open Sans" w:hAnsi="Open Sans" w:cs="Open Sans"/>
            <w:color w:val="0000FF"/>
            <w:sz w:val="27"/>
            <w:szCs w:val="27"/>
            <w:u w:val="single"/>
            <w:shd w:val="clear" w:color="auto" w:fill="FFFFFF"/>
          </w:rPr>
          <w:t>Marshall, A.</w:t>
        </w:r>
      </w:hyperlink>
      <w:r w:rsidRPr="00CB49B7">
        <w:rPr>
          <w:rFonts w:ascii="Open Sans" w:hAnsi="Open Sans" w:cs="Open Sans"/>
          <w:sz w:val="27"/>
          <w:szCs w:val="27"/>
          <w:shd w:val="clear" w:color="auto" w:fill="FFFFFF"/>
        </w:rPr>
        <w:t> (2022), "Rethinking business transformation: how multiple technologies interact with intelligent workflows to produce exponential value", </w:t>
      </w:r>
      <w:hyperlink r:id="rId23" w:history="1">
        <w:r w:rsidRPr="00CB49B7">
          <w:rPr>
            <w:rFonts w:ascii="Open Sans" w:hAnsi="Open Sans" w:cs="Open Sans"/>
            <w:i/>
            <w:iCs/>
            <w:color w:val="007377"/>
            <w:sz w:val="27"/>
            <w:szCs w:val="27"/>
            <w:u w:val="single"/>
          </w:rPr>
          <w:t>Strategy &amp; Leadership</w:t>
        </w:r>
      </w:hyperlink>
      <w:r w:rsidRPr="00CB49B7">
        <w:rPr>
          <w:rFonts w:ascii="Open Sans" w:hAnsi="Open Sans" w:cs="Open Sans"/>
          <w:sz w:val="27"/>
          <w:szCs w:val="27"/>
          <w:shd w:val="clear" w:color="auto" w:fill="FFFFFF"/>
        </w:rPr>
        <w:t>, Vol. 50 No. 5, pp. 32-37. </w:t>
      </w:r>
      <w:hyperlink r:id="rId24" w:tooltip="DOI: https://doi.org/10.1108/SL-06-2022-0066" w:history="1">
        <w:r w:rsidRPr="00CB49B7">
          <w:rPr>
            <w:rFonts w:ascii="Open Sans" w:hAnsi="Open Sans" w:cs="Open Sans"/>
            <w:color w:val="007377"/>
            <w:sz w:val="27"/>
            <w:szCs w:val="27"/>
            <w:u w:val="single"/>
            <w:shd w:val="clear" w:color="auto" w:fill="FFFFFF"/>
          </w:rPr>
          <w:t>https://doi.org/10.1108/SL-06-2022-0066</w:t>
        </w:r>
      </w:hyperlink>
    </w:p>
    <w:p w14:paraId="5B5E1C9A" w14:textId="77777777" w:rsidR="00CB49B7" w:rsidRPr="00CB49B7" w:rsidRDefault="00CB49B7" w:rsidP="00CB49B7">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Purpose</w:t>
      </w:r>
    </w:p>
    <w:p w14:paraId="447C2553" w14:textId="77777777" w:rsidR="00CB49B7" w:rsidRPr="00CB49B7" w:rsidRDefault="00CB49B7" w:rsidP="00CB49B7">
      <w:pPr>
        <w:shd w:val="clear" w:color="auto" w:fill="FFFFFF"/>
        <w:spacing w:after="0" w:line="240" w:lineRule="auto"/>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IBM IBV research shows that interactions between several new digital technologies and between these technologies and other organizational capabilities enable and drive the business value needed for successful transformation.</w:t>
      </w:r>
    </w:p>
    <w:p w14:paraId="69B0B1C6" w14:textId="77777777" w:rsidR="00CB49B7" w:rsidRPr="00CB49B7" w:rsidRDefault="00CB49B7" w:rsidP="00CB49B7">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Design/Methodology/Approach</w:t>
      </w:r>
    </w:p>
    <w:p w14:paraId="3AA0E3DA" w14:textId="77777777" w:rsidR="00CB49B7" w:rsidRPr="00CB49B7" w:rsidRDefault="00CB49B7" w:rsidP="00CB49B7">
      <w:pPr>
        <w:shd w:val="clear" w:color="auto" w:fill="FFFFFF"/>
        <w:spacing w:after="0" w:line="240" w:lineRule="auto"/>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Organizations should first identify the high value workflows and focus on what it takes to transform them.</w:t>
      </w:r>
    </w:p>
    <w:p w14:paraId="495203C0" w14:textId="77777777" w:rsidR="00CB49B7" w:rsidRPr="00CB49B7" w:rsidRDefault="00CB49B7" w:rsidP="00CB49B7">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Findings</w:t>
      </w:r>
    </w:p>
    <w:p w14:paraId="6A66C99E" w14:textId="77777777" w:rsidR="00CB49B7" w:rsidRPr="00CB49B7" w:rsidRDefault="00CB49B7" w:rsidP="00CB49B7">
      <w:pPr>
        <w:shd w:val="clear" w:color="auto" w:fill="FFFFFF"/>
        <w:spacing w:after="0" w:line="240" w:lineRule="auto"/>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lastRenderedPageBreak/>
        <w:t>IBM IBV analysis found that if an organization excels at implementing four key elements of transformation together with an integrated set of digital technologies, the revenue impact of a dollar invested is as much as 13 times greater than the revenue impact of a single technology such as cloud alone.</w:t>
      </w:r>
    </w:p>
    <w:p w14:paraId="0451AFAF" w14:textId="77777777" w:rsidR="00CB49B7" w:rsidRPr="00CB49B7" w:rsidRDefault="00CB49B7" w:rsidP="00CB49B7">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Practical/implications</w:t>
      </w:r>
    </w:p>
    <w:p w14:paraId="4CCD74A9" w14:textId="77777777" w:rsidR="00CB49B7" w:rsidRPr="00CB49B7" w:rsidRDefault="00CB49B7" w:rsidP="00CB49B7">
      <w:pPr>
        <w:shd w:val="clear" w:color="auto" w:fill="FFFFFF"/>
        <w:spacing w:after="0" w:line="240" w:lineRule="auto"/>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Workflows provide an end-to-end perspective of what scaled transformation will look like while enabling identification of appropriate areas of immediate transformation.</w:t>
      </w:r>
    </w:p>
    <w:p w14:paraId="0101580E" w14:textId="77777777" w:rsidR="00CB49B7" w:rsidRPr="00CB49B7" w:rsidRDefault="00CB49B7" w:rsidP="00CB49B7">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Originality/Value</w:t>
      </w:r>
    </w:p>
    <w:p w14:paraId="2B9BD0B4" w14:textId="77777777" w:rsidR="00CB49B7" w:rsidRPr="00CB49B7" w:rsidRDefault="00CB49B7" w:rsidP="00CB49B7">
      <w:pPr>
        <w:shd w:val="clear" w:color="auto" w:fill="FFFFFF"/>
        <w:spacing w:after="0" w:line="240" w:lineRule="auto"/>
        <w:rPr>
          <w:rFonts w:ascii="Open Sans" w:eastAsia="Times New Roman" w:hAnsi="Open Sans" w:cs="Open Sans"/>
          <w:sz w:val="27"/>
          <w:szCs w:val="27"/>
          <w:lang w:eastAsia="en-GB"/>
        </w:rPr>
      </w:pPr>
      <w:r w:rsidRPr="00CB49B7">
        <w:rPr>
          <w:rFonts w:ascii="Open Sans" w:eastAsia="Times New Roman" w:hAnsi="Open Sans" w:cs="Open Sans"/>
          <w:sz w:val="27"/>
          <w:szCs w:val="27"/>
          <w:lang w:eastAsia="en-GB"/>
        </w:rPr>
        <w:t>This paper especially valuable to practitioners and academics because it is sourced from multiple recent large-scale C-suite executive surveys conducted by the IBM Institute for Business Value, working in collaboration with Oxford Economics.</w:t>
      </w:r>
    </w:p>
    <w:p w14:paraId="24DEC4B9" w14:textId="77777777" w:rsidR="00105F26" w:rsidRDefault="00105F26" w:rsidP="00105F26">
      <w:pPr>
        <w:shd w:val="clear" w:color="auto" w:fill="FFFFFF"/>
        <w:spacing w:after="0" w:afterAutospacing="1" w:line="240" w:lineRule="auto"/>
      </w:pPr>
    </w:p>
    <w:p w14:paraId="59C74E03" w14:textId="2FC7F3BF" w:rsidR="00105F26" w:rsidRDefault="00105F26" w:rsidP="00105F26">
      <w:pPr>
        <w:shd w:val="clear" w:color="auto" w:fill="FFFFFF"/>
        <w:spacing w:after="0" w:afterAutospacing="1" w:line="240" w:lineRule="auto"/>
      </w:pPr>
      <w:hyperlink r:id="rId25" w:tooltip="Haydn Shaughnessy" w:history="1">
        <w:r w:rsidRPr="00105F26">
          <w:rPr>
            <w:rFonts w:ascii="Open Sans" w:hAnsi="Open Sans" w:cs="Open Sans"/>
            <w:color w:val="007377"/>
            <w:sz w:val="27"/>
            <w:szCs w:val="27"/>
            <w:u w:val="single"/>
          </w:rPr>
          <w:t>Shaughnessy, H.</w:t>
        </w:r>
      </w:hyperlink>
      <w:r w:rsidRPr="00105F26">
        <w:rPr>
          <w:rFonts w:ascii="Open Sans" w:hAnsi="Open Sans" w:cs="Open Sans"/>
          <w:sz w:val="27"/>
          <w:szCs w:val="27"/>
          <w:shd w:val="clear" w:color="auto" w:fill="FFFFFF"/>
        </w:rPr>
        <w:t> (2018), "Creating digital transformation: strategies and steps", </w:t>
      </w:r>
      <w:hyperlink r:id="rId26" w:history="1">
        <w:r w:rsidRPr="00105F26">
          <w:rPr>
            <w:rFonts w:ascii="Open Sans" w:hAnsi="Open Sans" w:cs="Open Sans"/>
            <w:i/>
            <w:iCs/>
            <w:color w:val="007377"/>
            <w:sz w:val="27"/>
            <w:szCs w:val="27"/>
            <w:u w:val="single"/>
          </w:rPr>
          <w:t>Strategy &amp; Leadership</w:t>
        </w:r>
      </w:hyperlink>
      <w:r w:rsidRPr="00105F26">
        <w:rPr>
          <w:rFonts w:ascii="Open Sans" w:hAnsi="Open Sans" w:cs="Open Sans"/>
          <w:sz w:val="27"/>
          <w:szCs w:val="27"/>
          <w:shd w:val="clear" w:color="auto" w:fill="FFFFFF"/>
        </w:rPr>
        <w:t>, Vol. 46 No. 2, pp. 19-25. </w:t>
      </w:r>
      <w:hyperlink r:id="rId27" w:tooltip="DOI: https://doi.org/10.1108/SL-12-2017-0126" w:history="1">
        <w:r w:rsidRPr="00105F26">
          <w:rPr>
            <w:rFonts w:ascii="Open Sans" w:hAnsi="Open Sans" w:cs="Open Sans"/>
            <w:color w:val="007377"/>
            <w:sz w:val="27"/>
            <w:szCs w:val="27"/>
            <w:u w:val="single"/>
            <w:shd w:val="clear" w:color="auto" w:fill="FFFFFF"/>
          </w:rPr>
          <w:t>https://doi.org/10.1108/SL-12-2017-0126</w:t>
        </w:r>
      </w:hyperlink>
    </w:p>
    <w:p w14:paraId="576E28C3" w14:textId="77777777" w:rsidR="00105F26" w:rsidRPr="00105F26" w:rsidRDefault="00105F26" w:rsidP="00105F26">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Purpose</w:t>
      </w:r>
    </w:p>
    <w:p w14:paraId="381EB2CE" w14:textId="77777777" w:rsidR="00105F26" w:rsidRPr="00105F26" w:rsidRDefault="00105F26" w:rsidP="00105F26">
      <w:pPr>
        <w:shd w:val="clear" w:color="auto" w:fill="FFFFFF"/>
        <w:spacing w:after="0" w:line="240" w:lineRule="auto"/>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 xml:space="preserve">To facilitate the cultural and technical changes that are a hallmark of successful digital transformation, a few leading-edge firms have adopted the principles of FLOW-Agile. 10; 10; </w:t>
      </w:r>
      <w:proofErr w:type="gramStart"/>
      <w:r w:rsidRPr="00105F26">
        <w:rPr>
          <w:rFonts w:ascii="Open Sans" w:eastAsia="Times New Roman" w:hAnsi="Open Sans" w:cs="Open Sans"/>
          <w:sz w:val="27"/>
          <w:szCs w:val="27"/>
          <w:lang w:eastAsia="en-GB"/>
        </w:rPr>
        <w:t>10;</w:t>
      </w:r>
      <w:proofErr w:type="gramEnd"/>
    </w:p>
    <w:p w14:paraId="0CBE6D3E" w14:textId="77777777" w:rsidR="00105F26" w:rsidRPr="00105F26" w:rsidRDefault="00105F26" w:rsidP="00105F26">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Design/methodology/approach</w:t>
      </w:r>
    </w:p>
    <w:p w14:paraId="0071A64A" w14:textId="77777777" w:rsidR="00105F26" w:rsidRPr="00105F26" w:rsidRDefault="00105F26" w:rsidP="00105F26">
      <w:pPr>
        <w:shd w:val="clear" w:color="auto" w:fill="FFFFFF"/>
        <w:spacing w:after="0" w:line="240" w:lineRule="auto"/>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 xml:space="preserve">The FLOW framework formalizes a visual representation of a company’s adaptive value-seeking process being implemented by Agile teams. </w:t>
      </w:r>
      <w:proofErr w:type="gramStart"/>
      <w:r w:rsidRPr="00105F26">
        <w:rPr>
          <w:rFonts w:ascii="Open Sans" w:eastAsia="Times New Roman" w:hAnsi="Open Sans" w:cs="Open Sans"/>
          <w:sz w:val="27"/>
          <w:szCs w:val="27"/>
          <w:lang w:eastAsia="en-GB"/>
        </w:rPr>
        <w:t>10;</w:t>
      </w:r>
      <w:proofErr w:type="gramEnd"/>
    </w:p>
    <w:p w14:paraId="2305124B" w14:textId="77777777" w:rsidR="00105F26" w:rsidRPr="00105F26" w:rsidRDefault="00105F26" w:rsidP="00105F26">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Findings</w:t>
      </w:r>
    </w:p>
    <w:p w14:paraId="149B7D93" w14:textId="77777777" w:rsidR="00105F26" w:rsidRPr="00105F26" w:rsidRDefault="00105F26" w:rsidP="00105F26">
      <w:pPr>
        <w:shd w:val="clear" w:color="auto" w:fill="FFFFFF"/>
        <w:spacing w:after="0" w:line="240" w:lineRule="auto"/>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 xml:space="preserve">In FLOW-Agile, the aim is to make all processes visible on the walls of operating units and to allow employees to collaborate in constant process </w:t>
      </w:r>
      <w:proofErr w:type="gramStart"/>
      <w:r w:rsidRPr="00105F26">
        <w:rPr>
          <w:rFonts w:ascii="Open Sans" w:eastAsia="Times New Roman" w:hAnsi="Open Sans" w:cs="Open Sans"/>
          <w:sz w:val="27"/>
          <w:szCs w:val="27"/>
          <w:lang w:eastAsia="en-GB"/>
        </w:rPr>
        <w:t>redesign</w:t>
      </w:r>
      <w:proofErr w:type="gramEnd"/>
      <w:r w:rsidRPr="00105F26">
        <w:rPr>
          <w:rFonts w:ascii="Open Sans" w:eastAsia="Times New Roman" w:hAnsi="Open Sans" w:cs="Open Sans"/>
          <w:sz w:val="27"/>
          <w:szCs w:val="27"/>
          <w:lang w:eastAsia="en-GB"/>
        </w:rPr>
        <w:t xml:space="preserve"> so they are continuously defining the best way to get work done.</w:t>
      </w:r>
    </w:p>
    <w:p w14:paraId="2C2D2378" w14:textId="77777777" w:rsidR="00105F26" w:rsidRPr="00105F26" w:rsidRDefault="00105F26" w:rsidP="00105F26">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Practical implications</w:t>
      </w:r>
    </w:p>
    <w:p w14:paraId="5AB6711F" w14:textId="77777777" w:rsidR="00105F26" w:rsidRPr="00105F26" w:rsidRDefault="00105F26" w:rsidP="00105F26">
      <w:pPr>
        <w:shd w:val="clear" w:color="auto" w:fill="FFFFFF"/>
        <w:spacing w:after="0" w:line="240" w:lineRule="auto"/>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lastRenderedPageBreak/>
        <w:t>A case example shows how Paddy Power Betfair, an online betting site, initiated a completely new system of open, visual and collaborative project and process design that now serves more than 3.5 billion application program interface (API) requests every day.</w:t>
      </w:r>
    </w:p>
    <w:p w14:paraId="241E8F23" w14:textId="77777777" w:rsidR="00105F26" w:rsidRPr="00105F26" w:rsidRDefault="00105F26" w:rsidP="00105F26">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Originality/value</w:t>
      </w:r>
    </w:p>
    <w:p w14:paraId="4365FDD8" w14:textId="77777777" w:rsidR="00105F26" w:rsidRPr="00105F26" w:rsidRDefault="00105F26" w:rsidP="00105F26">
      <w:pPr>
        <w:shd w:val="clear" w:color="auto" w:fill="FFFFFF"/>
        <w:spacing w:after="0" w:line="240" w:lineRule="auto"/>
        <w:rPr>
          <w:rFonts w:ascii="Open Sans" w:eastAsia="Times New Roman" w:hAnsi="Open Sans" w:cs="Open Sans"/>
          <w:sz w:val="27"/>
          <w:szCs w:val="27"/>
          <w:lang w:eastAsia="en-GB"/>
        </w:rPr>
      </w:pPr>
      <w:r w:rsidRPr="00105F26">
        <w:rPr>
          <w:rFonts w:ascii="Open Sans" w:eastAsia="Times New Roman" w:hAnsi="Open Sans" w:cs="Open Sans"/>
          <w:sz w:val="27"/>
          <w:szCs w:val="27"/>
          <w:lang w:eastAsia="en-GB"/>
        </w:rPr>
        <w:t>For leaders to guide their companies through the transition to digital culture, a sea change for established businesses, they must be able to understand and explain that culture in the context of the values and the flows of work that make digital-age companies successful. To facilitate the cultural and technical changes that are a hallmark of successful digital transformation, a few leading-edge firms have adopted the principles of FLOW-Agile, an adaptation of the Agile framework designed to enable small teams to accomplish rapid iterations of customer-focused projects in a networked system. The FLOW framework formalizes a visual representation of a company’s adaptive value-seeking process being implemented by Agile teams.</w:t>
      </w:r>
    </w:p>
    <w:p w14:paraId="2A77586D" w14:textId="77777777" w:rsidR="00105F26" w:rsidRDefault="00105F26" w:rsidP="00105F26">
      <w:pPr>
        <w:shd w:val="clear" w:color="auto" w:fill="FFFFFF"/>
        <w:spacing w:after="0" w:afterAutospacing="1" w:line="240" w:lineRule="auto"/>
        <w:rPr>
          <w:rFonts w:ascii="Arial" w:eastAsia="Times New Roman" w:hAnsi="Arial" w:cs="Arial"/>
          <w:color w:val="2E2E2E"/>
          <w:sz w:val="24"/>
          <w:szCs w:val="24"/>
          <w:lang w:eastAsia="en-GB"/>
        </w:rPr>
      </w:pPr>
    </w:p>
    <w:p w14:paraId="3EE8F8E8" w14:textId="77777777" w:rsidR="00105F26" w:rsidRDefault="00105F26" w:rsidP="00105F26">
      <w:pPr>
        <w:shd w:val="clear" w:color="auto" w:fill="FFFFFF"/>
        <w:spacing w:after="0" w:afterAutospacing="1" w:line="240" w:lineRule="auto"/>
        <w:rPr>
          <w:rFonts w:ascii="Arial" w:eastAsia="Times New Roman" w:hAnsi="Arial" w:cs="Arial"/>
          <w:color w:val="2E2E2E"/>
          <w:sz w:val="24"/>
          <w:szCs w:val="24"/>
          <w:lang w:eastAsia="en-GB"/>
        </w:rPr>
      </w:pPr>
    </w:p>
    <w:p w14:paraId="3AACF983" w14:textId="4E08B3DD" w:rsidR="00105F26" w:rsidRDefault="00105F26" w:rsidP="00105F26">
      <w:pPr>
        <w:shd w:val="clear" w:color="auto" w:fill="FFFFFF"/>
        <w:spacing w:after="0" w:afterAutospacing="1" w:line="240" w:lineRule="auto"/>
        <w:rPr>
          <w:rFonts w:ascii="Arial" w:eastAsia="Times New Roman" w:hAnsi="Arial" w:cs="Arial"/>
          <w:color w:val="2E2E2E"/>
          <w:sz w:val="24"/>
          <w:szCs w:val="24"/>
          <w:lang w:eastAsia="en-GB"/>
        </w:rPr>
      </w:pPr>
      <w:r w:rsidRPr="00105F26">
        <w:rPr>
          <w:rFonts w:ascii="Arial" w:eastAsia="Times New Roman" w:hAnsi="Arial" w:cs="Arial"/>
          <w:color w:val="2E2E2E"/>
          <w:sz w:val="24"/>
          <w:szCs w:val="24"/>
          <w:lang w:eastAsia="en-GB"/>
        </w:rPr>
        <w:t>Gordon</w:t>
      </w:r>
      <w:r w:rsidRPr="00105F26">
        <w:rPr>
          <w:rFonts w:ascii="Arial" w:eastAsia="Times New Roman" w:hAnsi="Arial" w:cs="Arial"/>
          <w:color w:val="2E2E2E"/>
          <w:sz w:val="24"/>
          <w:szCs w:val="24"/>
          <w:lang w:eastAsia="en-GB"/>
        </w:rPr>
        <w:t xml:space="preserve"> </w:t>
      </w:r>
      <w:r w:rsidRPr="00105F26">
        <w:rPr>
          <w:rFonts w:ascii="Arial" w:eastAsia="Times New Roman" w:hAnsi="Arial" w:cs="Arial"/>
          <w:color w:val="2E2E2E"/>
          <w:sz w:val="24"/>
          <w:szCs w:val="24"/>
          <w:lang w:eastAsia="en-GB"/>
        </w:rPr>
        <w:t>Fletcher &amp; Marie</w:t>
      </w:r>
      <w:r w:rsidRPr="00105F26">
        <w:rPr>
          <w:rFonts w:ascii="Arial" w:eastAsia="Times New Roman" w:hAnsi="Arial" w:cs="Arial"/>
          <w:color w:val="2E2E2E"/>
          <w:sz w:val="24"/>
          <w:szCs w:val="24"/>
          <w:lang w:eastAsia="en-GB"/>
        </w:rPr>
        <w:t xml:space="preserve"> </w:t>
      </w:r>
      <w:r w:rsidRPr="00105F26">
        <w:rPr>
          <w:rFonts w:ascii="Arial" w:eastAsia="Times New Roman" w:hAnsi="Arial" w:cs="Arial"/>
          <w:color w:val="2E2E2E"/>
          <w:sz w:val="24"/>
          <w:szCs w:val="24"/>
          <w:lang w:eastAsia="en-GB"/>
        </w:rPr>
        <w:t>Griffiths</w:t>
      </w:r>
      <w:r w:rsidRPr="00105F26">
        <w:rPr>
          <w:rFonts w:ascii="Arial" w:eastAsia="Times New Roman" w:hAnsi="Arial" w:cs="Arial"/>
          <w:color w:val="333333"/>
          <w:sz w:val="24"/>
          <w:szCs w:val="24"/>
          <w:lang w:eastAsia="en-GB"/>
        </w:rPr>
        <w:t xml:space="preserve"> </w:t>
      </w:r>
      <w:r w:rsidRPr="00105F26">
        <w:rPr>
          <w:rFonts w:ascii="Arial" w:eastAsia="Times New Roman" w:hAnsi="Arial" w:cs="Arial"/>
          <w:color w:val="505050"/>
          <w:kern w:val="36"/>
          <w:sz w:val="24"/>
          <w:szCs w:val="24"/>
          <w:lang w:eastAsia="en-GB"/>
        </w:rPr>
        <w:t>Digital transformation during a lockdown</w:t>
      </w:r>
      <w:r w:rsidRPr="00105F26">
        <w:rPr>
          <w:rFonts w:ascii="Arial" w:eastAsia="Times New Roman" w:hAnsi="Arial" w:cs="Arial"/>
          <w:color w:val="505050"/>
          <w:kern w:val="36"/>
          <w:sz w:val="24"/>
          <w:szCs w:val="24"/>
          <w:lang w:eastAsia="en-GB"/>
        </w:rPr>
        <w:t xml:space="preserve"> </w:t>
      </w:r>
      <w:hyperlink r:id="rId28" w:tooltip="Go to International Journal of Information Management on ScienceDirect" w:history="1">
        <w:r w:rsidRPr="00105F26">
          <w:rPr>
            <w:rFonts w:ascii="Arial" w:eastAsia="Times New Roman" w:hAnsi="Arial" w:cs="Arial"/>
            <w:color w:val="505050"/>
            <w:sz w:val="24"/>
            <w:szCs w:val="24"/>
            <w:u w:val="single"/>
            <w:lang w:eastAsia="en-GB"/>
          </w:rPr>
          <w:t>International Journal of Information Management</w:t>
        </w:r>
      </w:hyperlink>
      <w:r w:rsidRPr="00105F26">
        <w:rPr>
          <w:rFonts w:ascii="Arial" w:eastAsia="Times New Roman" w:hAnsi="Arial" w:cs="Arial"/>
          <w:color w:val="505050"/>
          <w:sz w:val="24"/>
          <w:szCs w:val="24"/>
          <w:lang w:eastAsia="en-GB"/>
        </w:rPr>
        <w:t xml:space="preserve"> </w:t>
      </w:r>
      <w:hyperlink r:id="rId29" w:tooltip="Go to table of contents for this volume/issue" w:history="1">
        <w:r w:rsidRPr="00105F26">
          <w:rPr>
            <w:rFonts w:ascii="Arial" w:eastAsia="Times New Roman" w:hAnsi="Arial" w:cs="Arial"/>
            <w:color w:val="0C7DBB"/>
            <w:sz w:val="24"/>
            <w:szCs w:val="24"/>
            <w:u w:val="single"/>
            <w:lang w:eastAsia="en-GB"/>
          </w:rPr>
          <w:t>Volume 55</w:t>
        </w:r>
      </w:hyperlink>
      <w:r w:rsidRPr="00105F26">
        <w:rPr>
          <w:rFonts w:ascii="Arial" w:eastAsia="Times New Roman" w:hAnsi="Arial" w:cs="Arial"/>
          <w:color w:val="2E2E2E"/>
          <w:sz w:val="24"/>
          <w:szCs w:val="24"/>
          <w:lang w:eastAsia="en-GB"/>
        </w:rPr>
        <w:t>, December 2020, 102185</w:t>
      </w:r>
      <w:r w:rsidRPr="00105F26">
        <w:rPr>
          <w:rFonts w:ascii="Arial" w:eastAsia="Times New Roman" w:hAnsi="Arial" w:cs="Arial"/>
          <w:color w:val="2E2E2E"/>
          <w:sz w:val="24"/>
          <w:szCs w:val="24"/>
          <w:lang w:eastAsia="en-GB"/>
        </w:rPr>
        <w:t xml:space="preserve">. </w:t>
      </w:r>
    </w:p>
    <w:p w14:paraId="3A15C486" w14:textId="4EB1CE60" w:rsidR="00105F26" w:rsidRPr="00105F26" w:rsidRDefault="00105F26" w:rsidP="00105F26">
      <w:pPr>
        <w:shd w:val="clear" w:color="auto" w:fill="FFFFFF"/>
        <w:spacing w:after="0" w:afterAutospacing="1" w:line="240" w:lineRule="auto"/>
        <w:rPr>
          <w:rFonts w:ascii="Arial" w:eastAsia="Times New Roman" w:hAnsi="Arial" w:cs="Arial"/>
          <w:color w:val="333333"/>
          <w:sz w:val="24"/>
          <w:szCs w:val="24"/>
          <w:lang w:eastAsia="en-GB"/>
        </w:rPr>
      </w:pPr>
      <w:r>
        <w:rPr>
          <w:rFonts w:ascii="Georgia" w:hAnsi="Georgia"/>
          <w:color w:val="2E2E2E"/>
          <w:sz w:val="27"/>
          <w:szCs w:val="27"/>
        </w:rPr>
        <w:t>These are indeed exceptional and historic times, a global pandemic and public health emergency sitting side by side with heightened public awareness of the injustices of decades of institutional racism. This article considers the current pandemic and lockdown period through a VUCA lens and offers reflection on how the pandemic revealed the fragility of digitally immature organisations. VUCA, a managerial catchall acronym for Volatility, Uncertainty, Complexity and Ambiguity is a litmus test for recognising unpredictable external environments. We offer business leaders a caveat, it is dangerous to ignore the impact of VUCA on the smooth functioning of an organisation. In terms of digital transformation during lockdown this article offers three key lessons that can so far be discerned from the pandemic period, firstly organisations must improve their digital maturity, secondly, less digitally mature organisations are more fragile and finally organisations with higher levels of digital maturity are generally more flexible.</w:t>
      </w:r>
    </w:p>
    <w:p w14:paraId="7B03A585" w14:textId="18ECD768" w:rsidR="00105F26" w:rsidRPr="00105F26" w:rsidRDefault="00105F26" w:rsidP="00105F26">
      <w:pPr>
        <w:spacing w:line="240" w:lineRule="auto"/>
        <w:rPr>
          <w:rFonts w:ascii="Arial" w:eastAsia="Times New Roman" w:hAnsi="Arial" w:cs="Arial"/>
          <w:color w:val="2E2E2E"/>
          <w:sz w:val="21"/>
          <w:szCs w:val="21"/>
          <w:lang w:eastAsia="en-GB"/>
        </w:rPr>
      </w:pPr>
    </w:p>
    <w:p w14:paraId="5C388D51" w14:textId="77777777" w:rsidR="00EB26F3" w:rsidRDefault="00EB26F3" w:rsidP="00EB26F3">
      <w:pPr>
        <w:shd w:val="clear" w:color="auto" w:fill="FFFFFF"/>
        <w:spacing w:after="0" w:afterAutospacing="1" w:line="240" w:lineRule="auto"/>
        <w:rPr>
          <w:rFonts w:ascii="Open Sans" w:eastAsia="Times New Roman" w:hAnsi="Open Sans" w:cs="Open Sans"/>
          <w:color w:val="333333"/>
          <w:sz w:val="24"/>
          <w:szCs w:val="24"/>
          <w:lang w:eastAsia="en-GB"/>
        </w:rPr>
      </w:pPr>
    </w:p>
    <w:p w14:paraId="06DC21FD" w14:textId="77777777" w:rsidR="00EB26F3" w:rsidRDefault="00EB26F3" w:rsidP="00EB26F3">
      <w:pPr>
        <w:shd w:val="clear" w:color="auto" w:fill="FFFFFF"/>
        <w:spacing w:after="0" w:afterAutospacing="1" w:line="240" w:lineRule="auto"/>
        <w:rPr>
          <w:rFonts w:ascii="Open Sans" w:eastAsia="Times New Roman" w:hAnsi="Open Sans" w:cs="Open Sans"/>
          <w:color w:val="333333"/>
          <w:sz w:val="24"/>
          <w:szCs w:val="24"/>
          <w:lang w:eastAsia="en-GB"/>
        </w:rPr>
      </w:pPr>
    </w:p>
    <w:p w14:paraId="67CA4CF7" w14:textId="009247E1" w:rsidR="00EB26F3" w:rsidRDefault="00EB26F3" w:rsidP="00EB26F3">
      <w:pPr>
        <w:shd w:val="clear" w:color="auto" w:fill="FFFFFF"/>
        <w:spacing w:after="0" w:afterAutospacing="1" w:line="240" w:lineRule="auto"/>
        <w:rPr>
          <w:rFonts w:ascii="Open Sans" w:eastAsia="Times New Roman" w:hAnsi="Open Sans" w:cs="Open Sans"/>
          <w:color w:val="333333"/>
          <w:sz w:val="24"/>
          <w:szCs w:val="24"/>
          <w:lang w:eastAsia="en-GB"/>
        </w:rPr>
      </w:pPr>
      <w:r w:rsidRPr="00EB26F3">
        <w:rPr>
          <w:rFonts w:ascii="Open Sans" w:eastAsia="Times New Roman" w:hAnsi="Open Sans" w:cs="Open Sans"/>
          <w:color w:val="333333"/>
          <w:sz w:val="24"/>
          <w:szCs w:val="24"/>
          <w:lang w:eastAsia="en-GB"/>
        </w:rPr>
        <w:t>Gerald Kane (2019) The Technology Fallacy, Research-Technology Management, 62:6, 44-49, DOI: </w:t>
      </w:r>
      <w:hyperlink r:id="rId30" w:history="1">
        <w:r w:rsidRPr="00EB26F3">
          <w:rPr>
            <w:rFonts w:ascii="Open Sans" w:eastAsia="Times New Roman" w:hAnsi="Open Sans" w:cs="Open Sans"/>
            <w:color w:val="333333"/>
            <w:sz w:val="24"/>
            <w:szCs w:val="24"/>
            <w:u w:val="single"/>
            <w:lang w:eastAsia="en-GB"/>
          </w:rPr>
          <w:t>10.1080/08956308.2019.1661079</w:t>
        </w:r>
      </w:hyperlink>
    </w:p>
    <w:p w14:paraId="1858DC22" w14:textId="65EF07A1" w:rsidR="00EB26F3" w:rsidRPr="00EB26F3" w:rsidRDefault="00EB26F3" w:rsidP="00EB26F3">
      <w:pPr>
        <w:shd w:val="clear" w:color="auto" w:fill="FFFFFF"/>
        <w:spacing w:after="0" w:afterAutospacing="1" w:line="240" w:lineRule="auto"/>
        <w:rPr>
          <w:rFonts w:ascii="Open Sans" w:eastAsia="Times New Roman" w:hAnsi="Open Sans" w:cs="Open Sans"/>
          <w:color w:val="333333"/>
          <w:sz w:val="24"/>
          <w:szCs w:val="24"/>
          <w:lang w:eastAsia="en-GB"/>
        </w:rPr>
      </w:pPr>
      <w:r>
        <w:rPr>
          <w:noProof/>
        </w:rPr>
        <w:lastRenderedPageBreak/>
        <w:drawing>
          <wp:inline distT="0" distB="0" distL="0" distR="0" wp14:anchorId="1E04A64C" wp14:editId="6C288024">
            <wp:extent cx="5731510" cy="7740711"/>
            <wp:effectExtent l="0" t="0" r="2540" b="0"/>
            <wp:docPr id="18" name="Picture 18" descr="Free firs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ree first pag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7740711"/>
                    </a:xfrm>
                    <a:prstGeom prst="rect">
                      <a:avLst/>
                    </a:prstGeom>
                    <a:noFill/>
                    <a:ln>
                      <a:noFill/>
                    </a:ln>
                  </pic:spPr>
                </pic:pic>
              </a:graphicData>
            </a:graphic>
          </wp:inline>
        </w:drawing>
      </w:r>
    </w:p>
    <w:p w14:paraId="1890362D" w14:textId="77777777" w:rsidR="00EB26F3" w:rsidRDefault="00EB26F3">
      <w:pPr>
        <w:rPr>
          <w:rFonts w:ascii="Arial" w:hAnsi="Arial" w:cs="Arial"/>
          <w:sz w:val="24"/>
          <w:szCs w:val="24"/>
        </w:rPr>
      </w:pPr>
    </w:p>
    <w:p w14:paraId="63427379" w14:textId="371F533D" w:rsidR="00EB26F3" w:rsidRDefault="00EB26F3">
      <w:r>
        <w:t xml:space="preserve">Li, F. (2020). The digital transformation of business models in the creative industries: A holistic framework and emerging trends. </w:t>
      </w:r>
      <w:proofErr w:type="spellStart"/>
      <w:r>
        <w:t>Technovation</w:t>
      </w:r>
      <w:proofErr w:type="spellEnd"/>
      <w:r>
        <w:t xml:space="preserve">, 2020(92-93), 102012. </w:t>
      </w:r>
      <w:proofErr w:type="spellStart"/>
      <w:r>
        <w:t>doi</w:t>
      </w:r>
      <w:proofErr w:type="spellEnd"/>
      <w:r>
        <w:t>: 10.1016/j.technovation.2017.12.004</w:t>
      </w:r>
      <w:r>
        <w:t xml:space="preserve"> </w:t>
      </w:r>
      <w:hyperlink r:id="rId32" w:history="1">
        <w:r w:rsidRPr="00283BF5">
          <w:rPr>
            <w:rStyle w:val="Hyperlink"/>
          </w:rPr>
          <w:t>https://openaccess.city.ac.uk/id/eprint/18730/1/</w:t>
        </w:r>
      </w:hyperlink>
      <w:r>
        <w:t xml:space="preserve"> </w:t>
      </w:r>
    </w:p>
    <w:p w14:paraId="313FE7C7" w14:textId="77777777" w:rsidR="00EB26F3" w:rsidRDefault="00EB26F3">
      <w:pPr>
        <w:rPr>
          <w:rFonts w:ascii="Arial" w:hAnsi="Arial" w:cs="Arial"/>
          <w:sz w:val="24"/>
          <w:szCs w:val="24"/>
        </w:rPr>
      </w:pPr>
    </w:p>
    <w:p w14:paraId="147DCEC2" w14:textId="6F7B2B8B" w:rsidR="00EB26F3" w:rsidRPr="00EB26F3" w:rsidRDefault="00EB26F3">
      <w:pPr>
        <w:rPr>
          <w:rFonts w:ascii="Arial" w:hAnsi="Arial" w:cs="Arial"/>
          <w:sz w:val="24"/>
          <w:szCs w:val="24"/>
        </w:rPr>
      </w:pPr>
      <w:r w:rsidRPr="00EB26F3">
        <w:rPr>
          <w:rFonts w:ascii="Arial" w:hAnsi="Arial" w:cs="Arial"/>
          <w:sz w:val="24"/>
          <w:szCs w:val="24"/>
        </w:rPr>
        <w:t xml:space="preserve">Brock, J. K.-U., &amp; von </w:t>
      </w:r>
      <w:proofErr w:type="spellStart"/>
      <w:r w:rsidRPr="00EB26F3">
        <w:rPr>
          <w:rFonts w:ascii="Arial" w:hAnsi="Arial" w:cs="Arial"/>
          <w:sz w:val="24"/>
          <w:szCs w:val="24"/>
        </w:rPr>
        <w:t>Wangenheim</w:t>
      </w:r>
      <w:proofErr w:type="spellEnd"/>
      <w:r w:rsidRPr="00EB26F3">
        <w:rPr>
          <w:rFonts w:ascii="Arial" w:hAnsi="Arial" w:cs="Arial"/>
          <w:sz w:val="24"/>
          <w:szCs w:val="24"/>
        </w:rPr>
        <w:t xml:space="preserve">, F. (2019). Demystifying AI: What Digital Transformation Leaders Can Teach You about Realistic Artificial Intelligence. California Management Review, 61(4), 110–134. </w:t>
      </w:r>
      <w:hyperlink r:id="rId33" w:history="1">
        <w:r w:rsidRPr="00EB26F3">
          <w:rPr>
            <w:rStyle w:val="Hyperlink"/>
            <w:rFonts w:ascii="Arial" w:hAnsi="Arial" w:cs="Arial"/>
            <w:sz w:val="24"/>
            <w:szCs w:val="24"/>
          </w:rPr>
          <w:t>https://doi.org/10.1177/1536504219865226</w:t>
        </w:r>
      </w:hyperlink>
    </w:p>
    <w:p w14:paraId="00254B98" w14:textId="77777777" w:rsidR="00EB26F3" w:rsidRDefault="00EB26F3">
      <w:pPr>
        <w:rPr>
          <w:rFonts w:ascii="Arial" w:hAnsi="Arial" w:cs="Arial"/>
          <w:b/>
          <w:bCs/>
          <w:sz w:val="32"/>
          <w:szCs w:val="32"/>
        </w:rPr>
      </w:pPr>
    </w:p>
    <w:p w14:paraId="5630D48B" w14:textId="05381C66" w:rsidR="00EB26F3" w:rsidRDefault="00EB26F3">
      <w:pPr>
        <w:rPr>
          <w:rFonts w:ascii="Open Sans" w:hAnsi="Open Sans" w:cs="Open Sans"/>
          <w:color w:val="333333"/>
          <w:shd w:val="clear" w:color="auto" w:fill="FFFFFF"/>
        </w:rPr>
      </w:pPr>
      <w:r>
        <w:rPr>
          <w:rFonts w:ascii="Open Sans" w:hAnsi="Open Sans" w:cs="Open Sans"/>
          <w:color w:val="333333"/>
          <w:shd w:val="clear" w:color="auto" w:fill="FFFFFF"/>
        </w:rPr>
        <w:t xml:space="preserve">Recent years have seen a </w:t>
      </w:r>
      <w:proofErr w:type="spellStart"/>
      <w:r>
        <w:rPr>
          <w:rFonts w:ascii="Open Sans" w:hAnsi="Open Sans" w:cs="Open Sans"/>
          <w:color w:val="333333"/>
          <w:shd w:val="clear" w:color="auto" w:fill="FFFFFF"/>
        </w:rPr>
        <w:t>reemergence</w:t>
      </w:r>
      <w:proofErr w:type="spellEnd"/>
      <w:r>
        <w:rPr>
          <w:rFonts w:ascii="Open Sans" w:hAnsi="Open Sans" w:cs="Open Sans"/>
          <w:color w:val="333333"/>
          <w:shd w:val="clear" w:color="auto" w:fill="FFFFFF"/>
        </w:rPr>
        <w:t xml:space="preserve"> of interest in artificial intelligence (AI) among both managers and academics. Driven by technological advances and public interest, AI is considered by some as an unprecedented revolutionary technology with the potential to transform humanity. But, at this stage, managers are left with little empirical advice on how to prepare and use AI in their firm’s operations. Based on case studies and the results of two global surveys among senior managers across industries, this article shows that AI is typically implemented and used with other advanced digital technologies in firms’ digital transformation projects. The digital transformation projects in which AI is deployed are mostly in support of firms’ existing businesses, thereby demystifying some of the transformative claims made about AI. This article then presents a framework for successfully implementing AI in the context of digital transformation, offering specific guidance in the areas of data, intelligence, being grounded, integrated, teaming, agility, and leadership.</w:t>
      </w:r>
    </w:p>
    <w:p w14:paraId="54A63066" w14:textId="77777777" w:rsidR="00EB26F3" w:rsidRDefault="00EB26F3">
      <w:pPr>
        <w:rPr>
          <w:rFonts w:ascii="Arial" w:hAnsi="Arial" w:cs="Arial"/>
          <w:b/>
          <w:bCs/>
          <w:sz w:val="32"/>
          <w:szCs w:val="32"/>
        </w:rPr>
      </w:pPr>
    </w:p>
    <w:p w14:paraId="2DF7ABAF" w14:textId="402B39D9" w:rsidR="00EC0D54" w:rsidRDefault="00EB26F3">
      <w:pPr>
        <w:rPr>
          <w:color w:val="000000"/>
          <w:sz w:val="27"/>
          <w:szCs w:val="27"/>
          <w:shd w:val="clear" w:color="auto" w:fill="FFFFFF"/>
        </w:rPr>
      </w:pPr>
      <w:r w:rsidRPr="00EB26F3">
        <w:rPr>
          <w:color w:val="000000"/>
          <w:sz w:val="27"/>
          <w:szCs w:val="27"/>
          <w:shd w:val="clear" w:color="auto" w:fill="FFFFFF"/>
        </w:rPr>
        <w:t xml:space="preserve">Kraus, S., Jones, P., </w:t>
      </w:r>
      <w:proofErr w:type="spellStart"/>
      <w:r w:rsidRPr="00EB26F3">
        <w:rPr>
          <w:color w:val="000000"/>
          <w:sz w:val="27"/>
          <w:szCs w:val="27"/>
          <w:shd w:val="clear" w:color="auto" w:fill="FFFFFF"/>
        </w:rPr>
        <w:t>Kailer</w:t>
      </w:r>
      <w:proofErr w:type="spellEnd"/>
      <w:r w:rsidRPr="00EB26F3">
        <w:rPr>
          <w:color w:val="000000"/>
          <w:sz w:val="27"/>
          <w:szCs w:val="27"/>
          <w:shd w:val="clear" w:color="auto" w:fill="FFFFFF"/>
        </w:rPr>
        <w:t xml:space="preserve">, N., </w:t>
      </w:r>
      <w:proofErr w:type="spellStart"/>
      <w:r w:rsidRPr="00EB26F3">
        <w:rPr>
          <w:color w:val="000000"/>
          <w:sz w:val="27"/>
          <w:szCs w:val="27"/>
          <w:shd w:val="clear" w:color="auto" w:fill="FFFFFF"/>
        </w:rPr>
        <w:t>Weinmann</w:t>
      </w:r>
      <w:proofErr w:type="spellEnd"/>
      <w:r w:rsidRPr="00EB26F3">
        <w:rPr>
          <w:color w:val="000000"/>
          <w:sz w:val="27"/>
          <w:szCs w:val="27"/>
          <w:shd w:val="clear" w:color="auto" w:fill="FFFFFF"/>
        </w:rPr>
        <w:t xml:space="preserve">, A., Chaparro-Banegas, N., &amp; </w:t>
      </w:r>
      <w:proofErr w:type="spellStart"/>
      <w:r w:rsidRPr="00EB26F3">
        <w:rPr>
          <w:color w:val="000000"/>
          <w:sz w:val="27"/>
          <w:szCs w:val="27"/>
          <w:shd w:val="clear" w:color="auto" w:fill="FFFFFF"/>
        </w:rPr>
        <w:t>Roig-Tierno</w:t>
      </w:r>
      <w:proofErr w:type="spellEnd"/>
      <w:r w:rsidRPr="00EB26F3">
        <w:rPr>
          <w:color w:val="000000"/>
          <w:sz w:val="27"/>
          <w:szCs w:val="27"/>
          <w:shd w:val="clear" w:color="auto" w:fill="FFFFFF"/>
        </w:rPr>
        <w:t xml:space="preserve">, N. (2021). Digital Transformation: An Overview of the Current State of the Art of Research. SAGE Open, 11(3). </w:t>
      </w:r>
      <w:hyperlink r:id="rId34" w:history="1">
        <w:r w:rsidRPr="00283BF5">
          <w:rPr>
            <w:rStyle w:val="Hyperlink"/>
            <w:sz w:val="27"/>
            <w:szCs w:val="27"/>
            <w:shd w:val="clear" w:color="auto" w:fill="FFFFFF"/>
          </w:rPr>
          <w:t>https://doi.org/10.1177/21582440211047576</w:t>
        </w:r>
      </w:hyperlink>
    </w:p>
    <w:p w14:paraId="1F6C3B8C" w14:textId="0313C06E" w:rsidR="00EB26F3" w:rsidRDefault="00EB26F3">
      <w:pPr>
        <w:rPr>
          <w:color w:val="000000"/>
          <w:sz w:val="27"/>
          <w:szCs w:val="27"/>
          <w:shd w:val="clear" w:color="auto" w:fill="FFFFFF"/>
        </w:rPr>
      </w:pPr>
      <w:r>
        <w:rPr>
          <w:rFonts w:ascii="Open Sans" w:hAnsi="Open Sans" w:cs="Open Sans"/>
          <w:color w:val="333333"/>
          <w:shd w:val="clear" w:color="auto" w:fill="FFFFFF"/>
        </w:rPr>
        <w:t xml:space="preserve">The increasing digitalization of economies has highlighted the importance of digital transformation and how it can help businesses stay competitive in the market. However, disruptive changes not only occur at the company level; they also have environmental, societal, and institutional implications. This is the reason why during the past two decades the research on digital transformation has received growing attention, with a wide range of topics investigated in the literature. The following aims to provide insight regarding the current state of the literature on digital transformation (DT) by conducting a systematic literature review. An analysis of co-occurrence using the software </w:t>
      </w:r>
      <w:proofErr w:type="spellStart"/>
      <w:r>
        <w:rPr>
          <w:rFonts w:ascii="Open Sans" w:hAnsi="Open Sans" w:cs="Open Sans"/>
          <w:color w:val="333333"/>
          <w:shd w:val="clear" w:color="auto" w:fill="FFFFFF"/>
        </w:rPr>
        <w:t>VOSviewer</w:t>
      </w:r>
      <w:proofErr w:type="spellEnd"/>
      <w:r>
        <w:rPr>
          <w:rFonts w:ascii="Open Sans" w:hAnsi="Open Sans" w:cs="Open Sans"/>
          <w:color w:val="333333"/>
          <w:shd w:val="clear" w:color="auto" w:fill="FFFFFF"/>
        </w:rPr>
        <w:t xml:space="preserve"> was conducted to graphically visualize the literature’s node network. Approached this way, the systematic literature review displays major research avenues of digital transformation that consider technology as the main driver of these changes. This paper qualitatively classifies the literature on digital business transformation into three different clusters based on technological, business, and societal impacts. Several research gaps identified in the literature on DT are proposed as futures lines of research which could provide useful insights to the government and private sectors in order to adapt to the disruptive changes found in business as a result </w:t>
      </w:r>
      <w:r>
        <w:rPr>
          <w:rFonts w:ascii="Open Sans" w:hAnsi="Open Sans" w:cs="Open Sans"/>
          <w:color w:val="333333"/>
          <w:shd w:val="clear" w:color="auto" w:fill="FFFFFF"/>
        </w:rPr>
        <w:lastRenderedPageBreak/>
        <w:t>of this phenomenon, as well as to reduce its negative impacts on society and the environment.</w:t>
      </w:r>
    </w:p>
    <w:p w14:paraId="7F42D9E4" w14:textId="3D562C8B" w:rsidR="00EC0D54" w:rsidRDefault="00EC0D54">
      <w:pPr>
        <w:rPr>
          <w:color w:val="000000"/>
          <w:sz w:val="27"/>
          <w:szCs w:val="27"/>
          <w:shd w:val="clear" w:color="auto" w:fill="FFFFFF"/>
        </w:rPr>
      </w:pPr>
      <w:r>
        <w:rPr>
          <w:color w:val="000000"/>
          <w:sz w:val="27"/>
          <w:szCs w:val="27"/>
          <w:shd w:val="clear" w:color="auto" w:fill="FFFFFF"/>
        </w:rPr>
        <w:t>KLEIN, M. (2020). LEADERSHIP CHARACTERISTICS IN THE ERA OF DIGITAL TRANSFORMATION. </w:t>
      </w:r>
      <w:r>
        <w:rPr>
          <w:i/>
          <w:iCs/>
          <w:color w:val="000000"/>
          <w:sz w:val="27"/>
          <w:szCs w:val="27"/>
          <w:shd w:val="clear" w:color="auto" w:fill="FFFFFF"/>
        </w:rPr>
        <w:t>Business &amp; Management Studies: An International Journal</w:t>
      </w:r>
      <w:r>
        <w:rPr>
          <w:color w:val="000000"/>
          <w:sz w:val="27"/>
          <w:szCs w:val="27"/>
          <w:shd w:val="clear" w:color="auto" w:fill="FFFFFF"/>
        </w:rPr>
        <w:t>, </w:t>
      </w:r>
      <w:r>
        <w:rPr>
          <w:i/>
          <w:iCs/>
          <w:color w:val="000000"/>
          <w:sz w:val="27"/>
          <w:szCs w:val="27"/>
          <w:shd w:val="clear" w:color="auto" w:fill="FFFFFF"/>
        </w:rPr>
        <w:t>8</w:t>
      </w:r>
      <w:r>
        <w:rPr>
          <w:color w:val="000000"/>
          <w:sz w:val="27"/>
          <w:szCs w:val="27"/>
          <w:shd w:val="clear" w:color="auto" w:fill="FFFFFF"/>
        </w:rPr>
        <w:t xml:space="preserve">(1), 883–902. </w:t>
      </w:r>
      <w:hyperlink r:id="rId35" w:history="1">
        <w:r w:rsidRPr="00283BF5">
          <w:rPr>
            <w:rStyle w:val="Hyperlink"/>
            <w:sz w:val="27"/>
            <w:szCs w:val="27"/>
            <w:shd w:val="clear" w:color="auto" w:fill="FFFFFF"/>
          </w:rPr>
          <w:t>https://doi.org/10.15295/bmij.v8i1.1441</w:t>
        </w:r>
      </w:hyperlink>
    </w:p>
    <w:p w14:paraId="7712670C" w14:textId="28F28099" w:rsidR="00EC0D54" w:rsidRDefault="00EC0D54">
      <w:pPr>
        <w:rPr>
          <w:rFonts w:ascii="Arial" w:hAnsi="Arial" w:cs="Arial"/>
          <w:b/>
          <w:bCs/>
          <w:sz w:val="32"/>
          <w:szCs w:val="32"/>
        </w:rPr>
      </w:pPr>
      <w:r>
        <w:rPr>
          <w:rStyle w:val="Emphasis"/>
          <w:color w:val="000000"/>
          <w:spacing w:val="3"/>
          <w:shd w:val="clear" w:color="auto" w:fill="FFFFFF"/>
        </w:rPr>
        <w:t>Digital transformation provoked by Industry 4.0 should not be just seen as a technological issue, it causes also fundamental changes in processes and in organizations of companies. Notably a new understanding of leadership can be counted on to them. The so-called “digital leaders” are expected to act rapidly and flexible in networked and distributed organization structures on the one hand and on the other hand they have to manage the digital transformation of the organization. Since most of the companies are still in the beginning of their digital transformation, there is a lack of a common understanding and a standard model of digital leadership. Most of the existing research works are visionary and predict the requirements for digital leadership on anticipated technological, economical and organizational changes; only few of them report about changes in leadership based on implemented cases. The objective of this study is to sum up main characteristics of the leadership in the era of digital transformation by applying content analysis of literature review as the method.</w:t>
      </w:r>
    </w:p>
    <w:p w14:paraId="24EB6B32" w14:textId="06650690" w:rsidR="00EC0D54" w:rsidRDefault="00EC0D54">
      <w:hyperlink r:id="rId36" w:tooltip="Feng Li" w:history="1">
        <w:r w:rsidRPr="00EC0D54">
          <w:rPr>
            <w:rFonts w:ascii="Open Sans" w:hAnsi="Open Sans" w:cs="Open Sans"/>
            <w:color w:val="0000FF"/>
            <w:sz w:val="27"/>
            <w:szCs w:val="27"/>
            <w:u w:val="single"/>
            <w:shd w:val="clear" w:color="auto" w:fill="FFFFFF"/>
          </w:rPr>
          <w:t>Li, F.</w:t>
        </w:r>
      </w:hyperlink>
      <w:r w:rsidRPr="00EC0D54">
        <w:rPr>
          <w:rFonts w:ascii="Open Sans" w:hAnsi="Open Sans" w:cs="Open Sans"/>
          <w:sz w:val="27"/>
          <w:szCs w:val="27"/>
          <w:shd w:val="clear" w:color="auto" w:fill="FFFFFF"/>
        </w:rPr>
        <w:t> (2020), "Leading digital transformation: three emerging approaches for managing the transition", </w:t>
      </w:r>
      <w:hyperlink r:id="rId37" w:history="1">
        <w:r w:rsidRPr="00EC0D54">
          <w:rPr>
            <w:rFonts w:ascii="Open Sans" w:hAnsi="Open Sans" w:cs="Open Sans"/>
            <w:i/>
            <w:iCs/>
            <w:color w:val="007377"/>
            <w:sz w:val="27"/>
            <w:szCs w:val="27"/>
            <w:u w:val="single"/>
          </w:rPr>
          <w:t>International Journal of Operations &amp; Production Management</w:t>
        </w:r>
      </w:hyperlink>
      <w:r w:rsidRPr="00EC0D54">
        <w:rPr>
          <w:rFonts w:ascii="Open Sans" w:hAnsi="Open Sans" w:cs="Open Sans"/>
          <w:sz w:val="27"/>
          <w:szCs w:val="27"/>
          <w:shd w:val="clear" w:color="auto" w:fill="FFFFFF"/>
        </w:rPr>
        <w:t>, Vol. 40 No. 6, pp. 809-817. </w:t>
      </w:r>
      <w:hyperlink r:id="rId38" w:tooltip="DOI: https://doi.org/10.1108/IJOPM-04-2020-0202" w:history="1">
        <w:r w:rsidRPr="00EC0D54">
          <w:rPr>
            <w:rFonts w:ascii="Open Sans" w:hAnsi="Open Sans" w:cs="Open Sans"/>
            <w:color w:val="007377"/>
            <w:sz w:val="27"/>
            <w:szCs w:val="27"/>
            <w:u w:val="single"/>
            <w:shd w:val="clear" w:color="auto" w:fill="FFFFFF"/>
          </w:rPr>
          <w:t>https://doi.org/10.1108/IJOPM-04-2020-0202</w:t>
        </w:r>
      </w:hyperlink>
    </w:p>
    <w:p w14:paraId="655CBF43" w14:textId="77777777" w:rsidR="00EC0D54" w:rsidRPr="00EC0D54" w:rsidRDefault="00EC0D54" w:rsidP="00EC0D54">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Purpose</w:t>
      </w:r>
    </w:p>
    <w:p w14:paraId="32225F15" w14:textId="77777777" w:rsidR="00EC0D54" w:rsidRPr="00EC0D54" w:rsidRDefault="00EC0D54" w:rsidP="00EC0D54">
      <w:pPr>
        <w:shd w:val="clear" w:color="auto" w:fill="FFFFFF"/>
        <w:spacing w:after="0" w:line="240" w:lineRule="auto"/>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This study identifies three emerging approaches for leading successful digital transformation. It challenges the validity and effectiveness of traditional linear processes for digital transformation that first develop a new strategy, business model or organizational design enabled by digital technologies and then execute it according to the plan.</w:t>
      </w:r>
    </w:p>
    <w:p w14:paraId="6BA67820" w14:textId="77777777" w:rsidR="00EC0D54" w:rsidRPr="00EC0D54" w:rsidRDefault="00EC0D54" w:rsidP="00EC0D54">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Design/methodology/approach</w:t>
      </w:r>
    </w:p>
    <w:p w14:paraId="6C5B591C" w14:textId="77777777" w:rsidR="00EC0D54" w:rsidRPr="00EC0D54" w:rsidRDefault="00EC0D54" w:rsidP="00EC0D54">
      <w:pPr>
        <w:shd w:val="clear" w:color="auto" w:fill="FFFFFF"/>
        <w:spacing w:after="0" w:line="240" w:lineRule="auto"/>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The paper is based on current research with a group of global digital champions at the forefront of digital transformation, including Amazon, Alibaba, Baidu, Google, JD.com, Uber, VMWare and Slack.</w:t>
      </w:r>
    </w:p>
    <w:p w14:paraId="0776802F" w14:textId="77777777" w:rsidR="00EC0D54" w:rsidRPr="00EC0D54" w:rsidRDefault="00EC0D54" w:rsidP="00EC0D54">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Findings</w:t>
      </w:r>
    </w:p>
    <w:p w14:paraId="68204C09" w14:textId="77777777" w:rsidR="00EC0D54" w:rsidRPr="00EC0D54" w:rsidRDefault="00EC0D54" w:rsidP="00EC0D54">
      <w:pPr>
        <w:shd w:val="clear" w:color="auto" w:fill="FFFFFF"/>
        <w:spacing w:after="0" w:line="240" w:lineRule="auto"/>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 xml:space="preserve">The research finds that at least three new approaches are emerging in leading organizations, which are (1) innovating by experimenting, (2) radical transformation via successive incremental changes and (3) </w:t>
      </w:r>
      <w:r w:rsidRPr="00EC0D54">
        <w:rPr>
          <w:rFonts w:ascii="Open Sans" w:eastAsia="Times New Roman" w:hAnsi="Open Sans" w:cs="Open Sans"/>
          <w:sz w:val="27"/>
          <w:szCs w:val="27"/>
          <w:lang w:eastAsia="en-GB"/>
        </w:rPr>
        <w:lastRenderedPageBreak/>
        <w:t>dynamic sustainable advantages through an evolving portfolio of temporary advantages.</w:t>
      </w:r>
    </w:p>
    <w:p w14:paraId="3A11E19E" w14:textId="77777777" w:rsidR="00EC0D54" w:rsidRPr="00EC0D54" w:rsidRDefault="00EC0D54" w:rsidP="00EC0D54">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Research limitations/implications</w:t>
      </w:r>
    </w:p>
    <w:p w14:paraId="5B0936E6" w14:textId="77777777" w:rsidR="00EC0D54" w:rsidRPr="00EC0D54" w:rsidRDefault="00EC0D54" w:rsidP="00EC0D54">
      <w:pPr>
        <w:shd w:val="clear" w:color="auto" w:fill="FFFFFF"/>
        <w:spacing w:after="0" w:line="240" w:lineRule="auto"/>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More research is needed to systematically investigate such emerging approaches and develop new theories and new analytical frameworks.</w:t>
      </w:r>
    </w:p>
    <w:p w14:paraId="0B8C00DB" w14:textId="77777777" w:rsidR="00EC0D54" w:rsidRPr="00EC0D54" w:rsidRDefault="00EC0D54" w:rsidP="00EC0D54">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Practical implications</w:t>
      </w:r>
    </w:p>
    <w:p w14:paraId="1509893C" w14:textId="77777777" w:rsidR="00EC0D54" w:rsidRPr="00EC0D54" w:rsidRDefault="00EC0D54" w:rsidP="00EC0D54">
      <w:pPr>
        <w:shd w:val="clear" w:color="auto" w:fill="FFFFFF"/>
        <w:spacing w:after="0" w:line="240" w:lineRule="auto"/>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These emerging approaches can be used to guide digital transformation initiatives.</w:t>
      </w:r>
    </w:p>
    <w:p w14:paraId="29E274B3" w14:textId="77777777" w:rsidR="00EC0D54" w:rsidRPr="00EC0D54" w:rsidRDefault="00EC0D54" w:rsidP="00EC0D54">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Social implications</w:t>
      </w:r>
    </w:p>
    <w:p w14:paraId="6FA3CFD1" w14:textId="77777777" w:rsidR="00EC0D54" w:rsidRPr="00EC0D54" w:rsidRDefault="00EC0D54" w:rsidP="00EC0D54">
      <w:pPr>
        <w:shd w:val="clear" w:color="auto" w:fill="FFFFFF"/>
        <w:spacing w:after="0" w:line="240" w:lineRule="auto"/>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They also enable business leaders to tackle grand societal challenges using financially sustainable and scalable operational models, generating profit and impact at the same time.</w:t>
      </w:r>
    </w:p>
    <w:p w14:paraId="7A686821" w14:textId="77777777" w:rsidR="00EC0D54" w:rsidRPr="00EC0D54" w:rsidRDefault="00EC0D54" w:rsidP="00EC0D54">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Originality/value</w:t>
      </w:r>
    </w:p>
    <w:p w14:paraId="126FA6B6" w14:textId="77777777" w:rsidR="00EC0D54" w:rsidRPr="00EC0D54" w:rsidRDefault="00EC0D54" w:rsidP="00EC0D54">
      <w:pPr>
        <w:shd w:val="clear" w:color="auto" w:fill="FFFFFF"/>
        <w:spacing w:after="0" w:line="240" w:lineRule="auto"/>
        <w:rPr>
          <w:rFonts w:ascii="Open Sans" w:eastAsia="Times New Roman" w:hAnsi="Open Sans" w:cs="Open Sans"/>
          <w:sz w:val="27"/>
          <w:szCs w:val="27"/>
          <w:lang w:eastAsia="en-GB"/>
        </w:rPr>
      </w:pPr>
      <w:r w:rsidRPr="00EC0D54">
        <w:rPr>
          <w:rFonts w:ascii="Open Sans" w:eastAsia="Times New Roman" w:hAnsi="Open Sans" w:cs="Open Sans"/>
          <w:sz w:val="27"/>
          <w:szCs w:val="27"/>
          <w:lang w:eastAsia="en-GB"/>
        </w:rPr>
        <w:t>It challenges traditional linear approaches for leading digital transformation and highlights the need for new and iterative approaches for bridging the strategy–execution gap in the volatile digital economy.</w:t>
      </w:r>
    </w:p>
    <w:p w14:paraId="6CB96574" w14:textId="77777777" w:rsidR="00EC0D54" w:rsidRDefault="00EC0D54">
      <w:pPr>
        <w:rPr>
          <w:rFonts w:ascii="Arial" w:hAnsi="Arial" w:cs="Arial"/>
          <w:b/>
          <w:bCs/>
          <w:sz w:val="32"/>
          <w:szCs w:val="32"/>
        </w:rPr>
      </w:pPr>
    </w:p>
    <w:p w14:paraId="3927160D" w14:textId="77777777" w:rsidR="00EC0D54" w:rsidRPr="00EC0D54" w:rsidRDefault="00EC0D54" w:rsidP="00EC0D54">
      <w:pPr>
        <w:shd w:val="clear" w:color="auto" w:fill="FFFFFF"/>
        <w:spacing w:after="0" w:line="240" w:lineRule="auto"/>
        <w:outlineLvl w:val="0"/>
        <w:rPr>
          <w:rFonts w:ascii="Open Sans" w:eastAsia="Times New Roman" w:hAnsi="Open Sans" w:cs="Open Sans"/>
          <w:b/>
          <w:bCs/>
          <w:color w:val="333333"/>
          <w:kern w:val="36"/>
          <w:sz w:val="48"/>
          <w:szCs w:val="48"/>
          <w:lang w:eastAsia="en-GB"/>
        </w:rPr>
      </w:pPr>
      <w:r w:rsidRPr="00EC0D54">
        <w:rPr>
          <w:rFonts w:ascii="Open Sans" w:eastAsia="Times New Roman" w:hAnsi="Open Sans" w:cs="Open Sans"/>
          <w:b/>
          <w:bCs/>
          <w:color w:val="333333"/>
          <w:kern w:val="36"/>
          <w:sz w:val="48"/>
          <w:szCs w:val="48"/>
          <w:lang w:eastAsia="en-GB"/>
        </w:rPr>
        <w:t>Transformational IT Leaders and Digital Innovation: The Moderating Effect of Formal IT Governance</w:t>
      </w:r>
    </w:p>
    <w:p w14:paraId="2CA6B0B7" w14:textId="156C53F5" w:rsidR="00EC0D54" w:rsidRPr="00EC0D54" w:rsidRDefault="00EC0D54" w:rsidP="00EC0D54">
      <w:pPr>
        <w:shd w:val="clear" w:color="auto" w:fill="FFFFFF"/>
        <w:spacing w:before="100" w:beforeAutospacing="1" w:after="100" w:afterAutospacing="1" w:line="240" w:lineRule="auto"/>
        <w:ind w:left="720"/>
        <w:rPr>
          <w:rFonts w:ascii="Times New Roman" w:eastAsia="Times New Roman" w:hAnsi="Times New Roman" w:cs="Times New Roman"/>
          <w:color w:val="595959"/>
          <w:sz w:val="24"/>
          <w:szCs w:val="24"/>
          <w:u w:val="single"/>
          <w:lang w:eastAsia="en-GB"/>
        </w:rPr>
      </w:pPr>
      <w:r w:rsidRPr="00EC0D54">
        <w:rPr>
          <w:rFonts w:ascii="Open Sans" w:eastAsia="Times New Roman" w:hAnsi="Open Sans" w:cs="Open Sans"/>
          <w:color w:val="6B6B6B"/>
          <w:sz w:val="24"/>
          <w:szCs w:val="24"/>
          <w:lang w:eastAsia="en-GB"/>
        </w:rPr>
        <w:fldChar w:fldCharType="begin"/>
      </w:r>
      <w:r w:rsidRPr="00EC0D54">
        <w:rPr>
          <w:rFonts w:ascii="Open Sans" w:eastAsia="Times New Roman" w:hAnsi="Open Sans" w:cs="Open Sans"/>
          <w:color w:val="6B6B6B"/>
          <w:sz w:val="24"/>
          <w:szCs w:val="24"/>
          <w:lang w:eastAsia="en-GB"/>
        </w:rPr>
        <w:instrText xml:space="preserve"> HYPERLINK "javascript:void(0);" \o "Linda M. Pittenger" </w:instrText>
      </w:r>
      <w:r w:rsidRPr="00EC0D54">
        <w:rPr>
          <w:rFonts w:ascii="Open Sans" w:eastAsia="Times New Roman" w:hAnsi="Open Sans" w:cs="Open Sans"/>
          <w:color w:val="6B6B6B"/>
          <w:sz w:val="24"/>
          <w:szCs w:val="24"/>
          <w:lang w:eastAsia="en-GB"/>
        </w:rPr>
        <w:fldChar w:fldCharType="separate"/>
      </w:r>
      <w:r w:rsidRPr="00EC0D54">
        <w:rPr>
          <w:rFonts w:ascii="Open Sans" w:eastAsia="Times New Roman" w:hAnsi="Open Sans" w:cs="Open Sans"/>
          <w:color w:val="595959"/>
          <w:sz w:val="24"/>
          <w:szCs w:val="24"/>
          <w:u w:val="single"/>
          <w:lang w:eastAsia="en-GB"/>
        </w:rPr>
        <w:t xml:space="preserve">Linda M. </w:t>
      </w:r>
      <w:proofErr w:type="spellStart"/>
      <w:r w:rsidRPr="00EC0D54">
        <w:rPr>
          <w:rFonts w:ascii="Open Sans" w:eastAsia="Times New Roman" w:hAnsi="Open Sans" w:cs="Open Sans"/>
          <w:color w:val="595959"/>
          <w:sz w:val="24"/>
          <w:szCs w:val="24"/>
          <w:u w:val="single"/>
          <w:lang w:eastAsia="en-GB"/>
        </w:rPr>
        <w:t>Pittenger</w:t>
      </w:r>
      <w:proofErr w:type="spellEnd"/>
      <w:r>
        <w:rPr>
          <w:rFonts w:ascii="Open Sans" w:eastAsia="Times New Roman" w:hAnsi="Open Sans" w:cs="Open Sans"/>
          <w:color w:val="595959"/>
          <w:sz w:val="24"/>
          <w:szCs w:val="24"/>
          <w:u w:val="single"/>
          <w:lang w:eastAsia="en-GB"/>
        </w:rPr>
        <w:t>,</w:t>
      </w:r>
      <w:r w:rsidRPr="00EC0D54">
        <w:rPr>
          <w:rFonts w:ascii="Open Sans" w:eastAsia="Times New Roman" w:hAnsi="Open Sans" w:cs="Open Sans"/>
          <w:color w:val="595959"/>
          <w:sz w:val="24"/>
          <w:szCs w:val="24"/>
          <w:u w:val="single"/>
          <w:lang w:eastAsia="en-GB"/>
        </w:rPr>
        <w:t xml:space="preserve"> </w:t>
      </w:r>
      <w:r w:rsidRPr="00EC0D54">
        <w:rPr>
          <w:rFonts w:ascii="Open Sans" w:eastAsia="Times New Roman" w:hAnsi="Open Sans" w:cs="Open Sans"/>
          <w:color w:val="595959"/>
          <w:sz w:val="24"/>
          <w:szCs w:val="24"/>
          <w:u w:val="single"/>
          <w:lang w:eastAsia="en-GB"/>
        </w:rPr>
        <w:t xml:space="preserve">Nicholas </w:t>
      </w:r>
      <w:proofErr w:type="spellStart"/>
      <w:r w:rsidRPr="00EC0D54">
        <w:rPr>
          <w:rFonts w:ascii="Open Sans" w:eastAsia="Times New Roman" w:hAnsi="Open Sans" w:cs="Open Sans"/>
          <w:color w:val="595959"/>
          <w:sz w:val="24"/>
          <w:szCs w:val="24"/>
          <w:u w:val="single"/>
          <w:lang w:eastAsia="en-GB"/>
        </w:rPr>
        <w:t>Berente</w:t>
      </w:r>
      <w:proofErr w:type="spellEnd"/>
      <w:r>
        <w:rPr>
          <w:rFonts w:ascii="Open Sans" w:eastAsia="Times New Roman" w:hAnsi="Open Sans" w:cs="Open Sans"/>
          <w:color w:val="595959"/>
          <w:sz w:val="24"/>
          <w:szCs w:val="24"/>
          <w:u w:val="single"/>
          <w:lang w:eastAsia="en-GB"/>
        </w:rPr>
        <w:t xml:space="preserve"> &amp; </w:t>
      </w:r>
      <w:r w:rsidRPr="00EC0D54">
        <w:rPr>
          <w:rFonts w:ascii="Open Sans" w:eastAsia="Times New Roman" w:hAnsi="Open Sans" w:cs="Open Sans"/>
          <w:color w:val="6B6B6B"/>
          <w:sz w:val="24"/>
          <w:szCs w:val="24"/>
          <w:lang w:eastAsia="en-GB"/>
        </w:rPr>
        <w:fldChar w:fldCharType="begin"/>
      </w:r>
      <w:r w:rsidRPr="00EC0D54">
        <w:rPr>
          <w:rFonts w:ascii="Open Sans" w:eastAsia="Times New Roman" w:hAnsi="Open Sans" w:cs="Open Sans"/>
          <w:color w:val="6B6B6B"/>
          <w:sz w:val="24"/>
          <w:szCs w:val="24"/>
          <w:lang w:eastAsia="en-GB"/>
        </w:rPr>
        <w:instrText xml:space="preserve"> HYPERLINK "javascript:void(0);" \o "James Gaskin" </w:instrText>
      </w:r>
      <w:r w:rsidRPr="00EC0D54">
        <w:rPr>
          <w:rFonts w:ascii="Open Sans" w:eastAsia="Times New Roman" w:hAnsi="Open Sans" w:cs="Open Sans"/>
          <w:color w:val="6B6B6B"/>
          <w:sz w:val="24"/>
          <w:szCs w:val="24"/>
          <w:lang w:eastAsia="en-GB"/>
        </w:rPr>
        <w:fldChar w:fldCharType="separate"/>
      </w:r>
      <w:r w:rsidRPr="00EC0D54">
        <w:rPr>
          <w:rFonts w:ascii="Open Sans" w:eastAsia="Times New Roman" w:hAnsi="Open Sans" w:cs="Open Sans"/>
          <w:color w:val="595959"/>
          <w:sz w:val="24"/>
          <w:szCs w:val="24"/>
          <w:u w:val="single"/>
          <w:lang w:eastAsia="en-GB"/>
        </w:rPr>
        <w:t>James Gaskin</w:t>
      </w:r>
    </w:p>
    <w:p w14:paraId="11D61BA6" w14:textId="77777777" w:rsidR="00EC0D54" w:rsidRPr="00EC0D54" w:rsidRDefault="00EC0D54" w:rsidP="00EC0D54">
      <w:pPr>
        <w:shd w:val="clear" w:color="auto" w:fill="FFFFFF"/>
        <w:spacing w:before="100" w:beforeAutospacing="1" w:after="100" w:afterAutospacing="1" w:line="240" w:lineRule="auto"/>
        <w:rPr>
          <w:rFonts w:ascii="Times New Roman" w:eastAsia="Times New Roman" w:hAnsi="Times New Roman" w:cs="Times New Roman"/>
          <w:color w:val="595959"/>
          <w:sz w:val="24"/>
          <w:szCs w:val="24"/>
          <w:u w:val="single"/>
          <w:lang w:eastAsia="en-GB"/>
        </w:rPr>
      </w:pPr>
      <w:r w:rsidRPr="00EC0D54">
        <w:rPr>
          <w:rFonts w:ascii="Open Sans" w:eastAsia="Times New Roman" w:hAnsi="Open Sans" w:cs="Open Sans"/>
          <w:color w:val="6B6B6B"/>
          <w:sz w:val="24"/>
          <w:szCs w:val="24"/>
          <w:lang w:eastAsia="en-GB"/>
        </w:rPr>
        <w:fldChar w:fldCharType="end"/>
      </w:r>
    </w:p>
    <w:p w14:paraId="11B5D83F" w14:textId="5DEF6780" w:rsidR="00EC0D54" w:rsidRPr="00EC0D54" w:rsidRDefault="00EC0D54" w:rsidP="00EC0D54">
      <w:pPr>
        <w:shd w:val="clear" w:color="auto" w:fill="FFFFFF"/>
        <w:spacing w:before="100" w:beforeAutospacing="1" w:after="100" w:afterAutospacing="1" w:line="240" w:lineRule="auto"/>
        <w:rPr>
          <w:rFonts w:ascii="Open Sans" w:eastAsia="Times New Roman" w:hAnsi="Open Sans" w:cs="Open Sans"/>
          <w:color w:val="6B6B6B"/>
          <w:sz w:val="24"/>
          <w:szCs w:val="24"/>
          <w:lang w:eastAsia="en-GB"/>
        </w:rPr>
      </w:pPr>
    </w:p>
    <w:p w14:paraId="05DEE6C5" w14:textId="75211880" w:rsidR="00EC0D54" w:rsidRPr="00EC0D54" w:rsidRDefault="00EC0D54" w:rsidP="00EC0D54">
      <w:pPr>
        <w:shd w:val="clear" w:color="auto" w:fill="FFFFFF"/>
        <w:spacing w:before="100" w:beforeAutospacing="1" w:after="100" w:afterAutospacing="1" w:line="240" w:lineRule="auto"/>
        <w:rPr>
          <w:rFonts w:ascii="Open Sans" w:eastAsia="Times New Roman" w:hAnsi="Open Sans" w:cs="Open Sans"/>
          <w:color w:val="6B6B6B"/>
          <w:sz w:val="24"/>
          <w:szCs w:val="24"/>
          <w:lang w:eastAsia="en-GB"/>
        </w:rPr>
      </w:pPr>
      <w:r w:rsidRPr="00EC0D54">
        <w:rPr>
          <w:rFonts w:ascii="Open Sans" w:eastAsia="Times New Roman" w:hAnsi="Open Sans" w:cs="Open Sans"/>
          <w:color w:val="6B6B6B"/>
          <w:sz w:val="24"/>
          <w:szCs w:val="24"/>
          <w:lang w:eastAsia="en-GB"/>
        </w:rPr>
        <w:fldChar w:fldCharType="end"/>
      </w:r>
    </w:p>
    <w:p w14:paraId="74ED523A" w14:textId="12796B8D" w:rsidR="00EC0D54" w:rsidRPr="00EC0D54" w:rsidRDefault="00EC0D54" w:rsidP="00EC0D54">
      <w:pPr>
        <w:shd w:val="clear" w:color="auto" w:fill="FFFFFF"/>
        <w:spacing w:before="100" w:beforeAutospacing="1" w:after="100" w:afterAutospacing="1" w:line="240" w:lineRule="auto"/>
        <w:ind w:left="720"/>
        <w:rPr>
          <w:rFonts w:ascii="Open Sans" w:eastAsia="Times New Roman" w:hAnsi="Open Sans" w:cs="Open Sans"/>
          <w:color w:val="6B6B6B"/>
          <w:sz w:val="24"/>
          <w:szCs w:val="24"/>
          <w:lang w:eastAsia="en-GB"/>
        </w:rPr>
      </w:pPr>
    </w:p>
    <w:p w14:paraId="0A5198B7" w14:textId="77777777" w:rsidR="00EC0D54" w:rsidRPr="00EC0D54" w:rsidRDefault="00EC0D54" w:rsidP="00EC0D54">
      <w:pPr>
        <w:shd w:val="clear" w:color="auto" w:fill="FFFFFF"/>
        <w:spacing w:after="0" w:line="240" w:lineRule="auto"/>
        <w:rPr>
          <w:rFonts w:ascii="Open Sans" w:eastAsia="Times New Roman" w:hAnsi="Open Sans" w:cs="Open Sans"/>
          <w:color w:val="6B6B6B"/>
          <w:sz w:val="24"/>
          <w:szCs w:val="24"/>
          <w:lang w:eastAsia="en-GB"/>
        </w:rPr>
      </w:pPr>
      <w:hyperlink r:id="rId39" w:tooltip="ACM SIGMIS Database: the DATABASE for Advances in Information Systems" w:history="1">
        <w:r w:rsidRPr="00EC0D54">
          <w:rPr>
            <w:rFonts w:ascii="Open Sans" w:eastAsia="Times New Roman" w:hAnsi="Open Sans" w:cs="Open Sans"/>
            <w:color w:val="0000FF"/>
            <w:sz w:val="24"/>
            <w:szCs w:val="24"/>
            <w:lang w:eastAsia="en-GB"/>
          </w:rPr>
          <w:t xml:space="preserve">ACM SIGMIS Database: the DATABASE for Advances in Information </w:t>
        </w:r>
        <w:proofErr w:type="spellStart"/>
        <w:r w:rsidRPr="00EC0D54">
          <w:rPr>
            <w:rFonts w:ascii="Open Sans" w:eastAsia="Times New Roman" w:hAnsi="Open Sans" w:cs="Open Sans"/>
            <w:color w:val="0000FF"/>
            <w:sz w:val="24"/>
            <w:szCs w:val="24"/>
            <w:lang w:eastAsia="en-GB"/>
          </w:rPr>
          <w:t>Systems</w:t>
        </w:r>
      </w:hyperlink>
      <w:hyperlink r:id="rId40" w:history="1">
        <w:r w:rsidRPr="00EC0D54">
          <w:rPr>
            <w:rFonts w:ascii="Open Sans" w:eastAsia="Times New Roman" w:hAnsi="Open Sans" w:cs="Open Sans"/>
            <w:color w:val="0000FF"/>
            <w:sz w:val="24"/>
            <w:szCs w:val="24"/>
            <w:lang w:eastAsia="en-GB"/>
          </w:rPr>
          <w:t>Volume</w:t>
        </w:r>
        <w:proofErr w:type="spellEnd"/>
        <w:r w:rsidRPr="00EC0D54">
          <w:rPr>
            <w:rFonts w:ascii="Open Sans" w:eastAsia="Times New Roman" w:hAnsi="Open Sans" w:cs="Open Sans"/>
            <w:color w:val="0000FF"/>
            <w:sz w:val="24"/>
            <w:szCs w:val="24"/>
            <w:lang w:eastAsia="en-GB"/>
          </w:rPr>
          <w:t xml:space="preserve"> 53</w:t>
        </w:r>
      </w:hyperlink>
      <w:hyperlink r:id="rId41" w:history="1">
        <w:r w:rsidRPr="00EC0D54">
          <w:rPr>
            <w:rFonts w:ascii="Open Sans" w:eastAsia="Times New Roman" w:hAnsi="Open Sans" w:cs="Open Sans"/>
            <w:color w:val="0000FF"/>
            <w:sz w:val="24"/>
            <w:szCs w:val="24"/>
            <w:lang w:eastAsia="en-GB"/>
          </w:rPr>
          <w:t>Issue 1</w:t>
        </w:r>
      </w:hyperlink>
      <w:r w:rsidRPr="00EC0D54">
        <w:rPr>
          <w:rFonts w:ascii="Open Sans" w:eastAsia="Times New Roman" w:hAnsi="Open Sans" w:cs="Open Sans"/>
          <w:color w:val="6B6B6B"/>
          <w:sz w:val="24"/>
          <w:szCs w:val="24"/>
          <w:lang w:eastAsia="en-GB"/>
        </w:rPr>
        <w:t>February 2022 pp 106–133</w:t>
      </w:r>
      <w:hyperlink r:id="rId42" w:history="1">
        <w:r w:rsidRPr="00EC0D54">
          <w:rPr>
            <w:rFonts w:ascii="Open Sans" w:eastAsia="Times New Roman" w:hAnsi="Open Sans" w:cs="Open Sans"/>
            <w:color w:val="0000FF"/>
            <w:sz w:val="24"/>
            <w:szCs w:val="24"/>
            <w:u w:val="single"/>
            <w:lang w:eastAsia="en-GB"/>
          </w:rPr>
          <w:t>https://doi.org/10.1145/351409</w:t>
        </w:r>
        <w:r w:rsidRPr="00EC0D54">
          <w:rPr>
            <w:rFonts w:ascii="Open Sans" w:eastAsia="Times New Roman" w:hAnsi="Open Sans" w:cs="Open Sans"/>
            <w:color w:val="0000FF"/>
            <w:sz w:val="24"/>
            <w:szCs w:val="24"/>
            <w:u w:val="single"/>
            <w:lang w:eastAsia="en-GB"/>
          </w:rPr>
          <w:t>7</w:t>
        </w:r>
        <w:r w:rsidRPr="00EC0D54">
          <w:rPr>
            <w:rFonts w:ascii="Open Sans" w:eastAsia="Times New Roman" w:hAnsi="Open Sans" w:cs="Open Sans"/>
            <w:color w:val="0000FF"/>
            <w:sz w:val="24"/>
            <w:szCs w:val="24"/>
            <w:u w:val="single"/>
            <w:lang w:eastAsia="en-GB"/>
          </w:rPr>
          <w:t>.3514104</w:t>
        </w:r>
      </w:hyperlink>
    </w:p>
    <w:p w14:paraId="26651B42" w14:textId="77777777" w:rsidR="00206BD9" w:rsidRDefault="00206BD9">
      <w:pPr>
        <w:rPr>
          <w:rFonts w:ascii="Open Sans" w:hAnsi="Open Sans" w:cs="Open Sans"/>
          <w:color w:val="333333"/>
          <w:shd w:val="clear" w:color="auto" w:fill="FFFFFF"/>
        </w:rPr>
      </w:pPr>
    </w:p>
    <w:p w14:paraId="40443151" w14:textId="6951350C" w:rsidR="00206BD9" w:rsidRDefault="00EC0D54">
      <w:pPr>
        <w:rPr>
          <w:rFonts w:ascii="Open Sans" w:hAnsi="Open Sans" w:cs="Open Sans"/>
          <w:color w:val="333333"/>
          <w:shd w:val="clear" w:color="auto" w:fill="FFFFFF"/>
        </w:rPr>
      </w:pPr>
      <w:r>
        <w:rPr>
          <w:rFonts w:ascii="Open Sans" w:hAnsi="Open Sans" w:cs="Open Sans"/>
          <w:color w:val="333333"/>
          <w:sz w:val="26"/>
          <w:szCs w:val="26"/>
          <w:shd w:val="clear" w:color="auto" w:fill="FAFAFA"/>
        </w:rPr>
        <w:t>Does formal IT governance encourage innovation in the traditional domains of the IT function at the expense of new forms of "digital" innovation? We report on a study of 158 IT managers and leaders to understand the conditions under which transformational IT leadership can drive innovation in traditional forms of IT, as well as in the emerging "digital" domain. We find that highly formal IT governance practices can reduce ability of transformational IT managers and leaders to innovate in both domains, and this effect is greater for digital innovation. In stable cultures the moderation effect was strengthened, while insignificant in change cultures. We distinguish between IT innovation and digital innovation and operationalize this distinction, finding that in contexts with stability culture, the moderation is stronger for digital innovation than for traditional IT innovation.</w:t>
      </w:r>
    </w:p>
    <w:p w14:paraId="658E9946" w14:textId="5A63A559" w:rsidR="00206BD9" w:rsidRPr="00206BD9" w:rsidRDefault="00206BD9" w:rsidP="00206BD9">
      <w:pPr>
        <w:shd w:val="clear" w:color="auto" w:fill="FFFFFF"/>
        <w:spacing w:before="100" w:beforeAutospacing="1" w:after="100" w:afterAutospacing="1" w:line="240" w:lineRule="auto"/>
        <w:rPr>
          <w:rFonts w:ascii="Arial" w:eastAsia="Times New Roman" w:hAnsi="Arial" w:cs="Arial"/>
          <w:color w:val="1155CC"/>
          <w:sz w:val="20"/>
          <w:szCs w:val="20"/>
          <w:lang w:eastAsia="en-GB"/>
        </w:rPr>
      </w:pPr>
    </w:p>
    <w:tbl>
      <w:tblPr>
        <w:tblW w:w="0" w:type="auto"/>
        <w:tblCellSpacing w:w="0" w:type="dxa"/>
        <w:tblCellMar>
          <w:left w:w="0" w:type="dxa"/>
          <w:right w:w="0" w:type="dxa"/>
        </w:tblCellMar>
        <w:tblLook w:val="04A0" w:firstRow="1" w:lastRow="0" w:firstColumn="1" w:lastColumn="0" w:noHBand="0" w:noVBand="1"/>
      </w:tblPr>
      <w:tblGrid>
        <w:gridCol w:w="792"/>
        <w:gridCol w:w="1260"/>
      </w:tblGrid>
      <w:tr w:rsidR="00206BD9" w:rsidRPr="00206BD9" w14:paraId="6503DAF9" w14:textId="77777777" w:rsidTr="00206BD9">
        <w:trPr>
          <w:tblCellSpacing w:w="0" w:type="dxa"/>
        </w:trPr>
        <w:tc>
          <w:tcPr>
            <w:tcW w:w="0" w:type="auto"/>
            <w:hideMark/>
          </w:tcPr>
          <w:p w14:paraId="2A9B0D8A" w14:textId="77777777" w:rsidR="00206BD9" w:rsidRPr="00206BD9" w:rsidRDefault="00206BD9" w:rsidP="00206BD9">
            <w:pPr>
              <w:spacing w:after="0" w:line="240" w:lineRule="auto"/>
              <w:rPr>
                <w:rFonts w:ascii="Times New Roman" w:eastAsia="Times New Roman" w:hAnsi="Times New Roman" w:cs="Times New Roman"/>
                <w:sz w:val="2"/>
                <w:szCs w:val="2"/>
                <w:lang w:eastAsia="en-GB"/>
              </w:rPr>
            </w:pPr>
            <w:r w:rsidRPr="00206BD9">
              <w:rPr>
                <w:rFonts w:ascii="Times New Roman" w:eastAsia="Times New Roman" w:hAnsi="Times New Roman" w:cs="Times New Roman"/>
                <w:noProof/>
                <w:color w:val="D14836"/>
                <w:sz w:val="2"/>
                <w:szCs w:val="2"/>
                <w:lang w:eastAsia="en-GB"/>
              </w:rPr>
              <w:drawing>
                <wp:inline distT="0" distB="0" distL="0" distR="0" wp14:anchorId="68C26F90" wp14:editId="063EC3ED">
                  <wp:extent cx="502920" cy="762000"/>
                  <wp:effectExtent l="0" t="0" r="0" b="0"/>
                  <wp:docPr id="14" name="summary-frontcover" descr="Front Cover">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mmary-frontcover" descr="Front Cover">
                            <a:hlinkClick r:id="rId43"/>
                          </pic:cNvPr>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02920" cy="762000"/>
                          </a:xfrm>
                          <a:prstGeom prst="rect">
                            <a:avLst/>
                          </a:prstGeom>
                          <a:noFill/>
                          <a:ln>
                            <a:noFill/>
                          </a:ln>
                        </pic:spPr>
                      </pic:pic>
                    </a:graphicData>
                  </a:graphic>
                </wp:inline>
              </w:drawing>
            </w:r>
          </w:p>
        </w:tc>
        <w:tc>
          <w:tcPr>
            <w:tcW w:w="0" w:type="auto"/>
            <w:hideMark/>
          </w:tcPr>
          <w:p w14:paraId="19632B52" w14:textId="77777777" w:rsidR="00206BD9" w:rsidRPr="00206BD9" w:rsidRDefault="00206BD9" w:rsidP="00206BD9">
            <w:pPr>
              <w:spacing w:after="0" w:line="240" w:lineRule="auto"/>
              <w:rPr>
                <w:rFonts w:ascii="Times New Roman" w:eastAsia="Times New Roman" w:hAnsi="Times New Roman" w:cs="Times New Roman"/>
                <w:sz w:val="24"/>
                <w:szCs w:val="24"/>
                <w:lang w:eastAsia="en-GB"/>
              </w:rPr>
            </w:pPr>
            <w:hyperlink r:id="rId45" w:history="1">
              <w:r w:rsidRPr="00206BD9">
                <w:rPr>
                  <w:rFonts w:ascii="Times New Roman" w:eastAsia="Times New Roman" w:hAnsi="Times New Roman" w:cs="Times New Roman"/>
                  <w:color w:val="1155CC"/>
                  <w:sz w:val="24"/>
                  <w:szCs w:val="24"/>
                  <w:lang w:eastAsia="en-GB"/>
                </w:rPr>
                <w:t>0 Reviews</w:t>
              </w:r>
            </w:hyperlink>
          </w:p>
          <w:p w14:paraId="0C81A782" w14:textId="77777777" w:rsidR="00206BD9" w:rsidRPr="00206BD9" w:rsidRDefault="00206BD9" w:rsidP="00206BD9">
            <w:pPr>
              <w:spacing w:after="0" w:line="240" w:lineRule="auto"/>
              <w:rPr>
                <w:rFonts w:ascii="Times New Roman" w:eastAsia="Times New Roman" w:hAnsi="Times New Roman" w:cs="Times New Roman"/>
                <w:sz w:val="24"/>
                <w:szCs w:val="24"/>
                <w:lang w:eastAsia="en-GB"/>
              </w:rPr>
            </w:pPr>
            <w:hyperlink r:id="rId46" w:history="1">
              <w:r w:rsidRPr="00206BD9">
                <w:rPr>
                  <w:rFonts w:ascii="Times New Roman" w:eastAsia="Times New Roman" w:hAnsi="Times New Roman" w:cs="Times New Roman"/>
                  <w:color w:val="1155CC"/>
                  <w:sz w:val="24"/>
                  <w:szCs w:val="24"/>
                  <w:lang w:eastAsia="en-GB"/>
                </w:rPr>
                <w:t>Write review</w:t>
              </w:r>
            </w:hyperlink>
          </w:p>
        </w:tc>
      </w:tr>
    </w:tbl>
    <w:p w14:paraId="5FF47DDD" w14:textId="77777777" w:rsidR="00206BD9" w:rsidRPr="00206BD9" w:rsidRDefault="00206BD9" w:rsidP="00206BD9">
      <w:pPr>
        <w:shd w:val="clear" w:color="auto" w:fill="FFFFFF"/>
        <w:spacing w:after="0" w:line="240" w:lineRule="auto"/>
        <w:outlineLvl w:val="0"/>
        <w:rPr>
          <w:rFonts w:ascii="Arial" w:eastAsia="Times New Roman" w:hAnsi="Arial" w:cs="Arial"/>
          <w:b/>
          <w:bCs/>
          <w:color w:val="333333"/>
          <w:kern w:val="36"/>
          <w:sz w:val="18"/>
          <w:szCs w:val="18"/>
          <w:lang w:eastAsia="en-GB"/>
        </w:rPr>
      </w:pPr>
      <w:r w:rsidRPr="00206BD9">
        <w:rPr>
          <w:rFonts w:ascii="Arial" w:eastAsia="Times New Roman" w:hAnsi="Arial" w:cs="Arial"/>
          <w:b/>
          <w:bCs/>
          <w:color w:val="333333"/>
          <w:kern w:val="36"/>
          <w:sz w:val="18"/>
          <w:szCs w:val="18"/>
          <w:lang w:eastAsia="en-GB"/>
        </w:rPr>
        <w:t>Doing Digital: Lessons from Leaders</w:t>
      </w:r>
    </w:p>
    <w:p w14:paraId="418D6758" w14:textId="77777777" w:rsidR="00206BD9" w:rsidRPr="00206BD9" w:rsidRDefault="00206BD9" w:rsidP="00206BD9">
      <w:pPr>
        <w:shd w:val="clear" w:color="auto" w:fill="FFFFFF"/>
        <w:spacing w:after="90" w:line="240" w:lineRule="auto"/>
        <w:rPr>
          <w:rFonts w:ascii="Arial" w:eastAsia="Times New Roman" w:hAnsi="Arial" w:cs="Arial"/>
          <w:color w:val="333333"/>
          <w:sz w:val="16"/>
          <w:szCs w:val="16"/>
          <w:lang w:eastAsia="en-GB"/>
        </w:rPr>
      </w:pPr>
      <w:r w:rsidRPr="00206BD9">
        <w:rPr>
          <w:rFonts w:ascii="Arial" w:eastAsia="Times New Roman" w:hAnsi="Arial" w:cs="Arial"/>
          <w:color w:val="333333"/>
          <w:sz w:val="13"/>
          <w:szCs w:val="13"/>
          <w:lang w:eastAsia="en-GB"/>
        </w:rPr>
        <w:t>By Chris Skinner</w:t>
      </w:r>
    </w:p>
    <w:p w14:paraId="03BE57E8" w14:textId="77777777" w:rsidR="00206BD9" w:rsidRDefault="00206BD9">
      <w:pPr>
        <w:rPr>
          <w:rFonts w:ascii="Open Sans" w:hAnsi="Open Sans" w:cs="Open Sans"/>
          <w:color w:val="333333"/>
          <w:shd w:val="clear" w:color="auto" w:fill="FFFFFF"/>
        </w:rPr>
      </w:pPr>
    </w:p>
    <w:p w14:paraId="67F3004F" w14:textId="77777777" w:rsidR="00206BD9" w:rsidRDefault="00206BD9">
      <w:pPr>
        <w:rPr>
          <w:rFonts w:ascii="Open Sans" w:hAnsi="Open Sans" w:cs="Open Sans"/>
          <w:color w:val="333333"/>
          <w:shd w:val="clear" w:color="auto" w:fill="FFFFFF"/>
        </w:rPr>
      </w:pPr>
    </w:p>
    <w:p w14:paraId="665CEC47" w14:textId="03E8B254" w:rsidR="00AD6674" w:rsidRDefault="00206BD9">
      <w:pPr>
        <w:rPr>
          <w:rFonts w:ascii="Open Sans" w:hAnsi="Open Sans" w:cs="Open Sans"/>
          <w:color w:val="333333"/>
          <w:shd w:val="clear" w:color="auto" w:fill="FFFFFF"/>
        </w:rPr>
      </w:pPr>
      <w:hyperlink r:id="rId47" w:history="1">
        <w:r w:rsidRPr="00283BF5">
          <w:rPr>
            <w:rStyle w:val="Hyperlink"/>
            <w:rFonts w:ascii="Open Sans" w:hAnsi="Open Sans" w:cs="Open Sans"/>
            <w:shd w:val="clear" w:color="auto" w:fill="FFFFFF"/>
          </w:rPr>
          <w:t>https://books.google.co.uk/books?hl=en&amp;lr=&amp;id=nizZDwAAQBAJ&amp;oi=fnd&amp;pg=PT13&amp;dq=leaders+and+digital+opportunities&amp;ots=f77XaZeJSu&amp;sig=ynbiaNBOorTBjqGs6rhdi0hzfyw#v=onepage&amp;q=leaders%20and%20digital%20opportunities&amp;f=false</w:t>
        </w:r>
      </w:hyperlink>
      <w:r>
        <w:rPr>
          <w:rFonts w:ascii="Open Sans" w:hAnsi="Open Sans" w:cs="Open Sans"/>
          <w:color w:val="333333"/>
          <w:shd w:val="clear" w:color="auto" w:fill="FFFFFF"/>
        </w:rPr>
        <w:t xml:space="preserve"> </w:t>
      </w:r>
    </w:p>
    <w:p w14:paraId="3303239A" w14:textId="77777777" w:rsidR="00206BD9" w:rsidRDefault="00206BD9">
      <w:pPr>
        <w:rPr>
          <w:rFonts w:ascii="Open Sans" w:hAnsi="Open Sans" w:cs="Open Sans"/>
          <w:color w:val="333333"/>
          <w:shd w:val="clear" w:color="auto" w:fill="FFFFFF"/>
        </w:rPr>
      </w:pPr>
    </w:p>
    <w:p w14:paraId="54FC8EA2" w14:textId="370F65E6" w:rsidR="00AD6674" w:rsidRPr="00AD6674" w:rsidRDefault="00AD6674" w:rsidP="00AD6674">
      <w:pPr>
        <w:shd w:val="clear" w:color="auto" w:fill="FFFFFF"/>
        <w:spacing w:after="0" w:line="240" w:lineRule="auto"/>
        <w:textAlignment w:val="center"/>
        <w:rPr>
          <w:rFonts w:ascii="Arial" w:eastAsia="Times New Roman" w:hAnsi="Arial" w:cs="Arial"/>
          <w:color w:val="0F1111"/>
          <w:sz w:val="21"/>
          <w:szCs w:val="21"/>
          <w:lang w:eastAsia="en-GB"/>
        </w:rPr>
      </w:pPr>
      <w:r w:rsidRPr="00AD6674">
        <w:rPr>
          <w:rFonts w:ascii="Arial" w:eastAsia="Times New Roman" w:hAnsi="Arial" w:cs="Arial"/>
          <w:color w:val="0F1111"/>
          <w:sz w:val="21"/>
          <w:szCs w:val="21"/>
          <w:lang w:eastAsia="en-GB"/>
        </w:rPr>
        <w:br/>
      </w:r>
    </w:p>
    <w:p w14:paraId="77F8C5AC" w14:textId="77777777" w:rsidR="00AD6674" w:rsidRPr="00AD6674" w:rsidRDefault="00AD6674" w:rsidP="00AD6674">
      <w:pPr>
        <w:shd w:val="clear" w:color="auto" w:fill="FFFFFF"/>
        <w:spacing w:after="0" w:line="240" w:lineRule="auto"/>
        <w:jc w:val="center"/>
        <w:textAlignment w:val="center"/>
        <w:rPr>
          <w:rFonts w:ascii="Arial" w:eastAsia="Times New Roman" w:hAnsi="Arial" w:cs="Arial"/>
          <w:color w:val="0F1111"/>
          <w:sz w:val="21"/>
          <w:szCs w:val="21"/>
          <w:lang w:eastAsia="en-GB"/>
        </w:rPr>
      </w:pPr>
      <w:r w:rsidRPr="00AD6674">
        <w:rPr>
          <w:rFonts w:ascii="Arial" w:eastAsia="Times New Roman" w:hAnsi="Arial" w:cs="Arial"/>
          <w:noProof/>
          <w:color w:val="0F1111"/>
          <w:sz w:val="21"/>
          <w:szCs w:val="21"/>
          <w:lang w:eastAsia="en-GB"/>
        </w:rPr>
        <w:lastRenderedPageBreak/>
        <w:drawing>
          <wp:inline distT="0" distB="0" distL="0" distR="0" wp14:anchorId="75904A26" wp14:editId="3B79876B">
            <wp:extent cx="3208020" cy="4754880"/>
            <wp:effectExtent l="0" t="0" r="0" b="7620"/>
            <wp:docPr id="2" name="imgBlkFront"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BlkFront" descr="Graphical user interface, text, application&#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08020" cy="4754880"/>
                    </a:xfrm>
                    <a:prstGeom prst="rect">
                      <a:avLst/>
                    </a:prstGeom>
                    <a:noFill/>
                    <a:ln>
                      <a:noFill/>
                    </a:ln>
                  </pic:spPr>
                </pic:pic>
              </a:graphicData>
            </a:graphic>
          </wp:inline>
        </w:drawing>
      </w:r>
    </w:p>
    <w:p w14:paraId="1DC45C1C" w14:textId="77777777" w:rsidR="00AD6674" w:rsidRPr="00AD6674" w:rsidRDefault="00AD6674" w:rsidP="00AD6674">
      <w:pPr>
        <w:shd w:val="clear" w:color="auto" w:fill="FFFFFF"/>
        <w:spacing w:after="150" w:line="240" w:lineRule="auto"/>
        <w:jc w:val="center"/>
        <w:rPr>
          <w:rFonts w:ascii="Arial" w:eastAsia="Times New Roman" w:hAnsi="Arial" w:cs="Arial"/>
          <w:color w:val="0F1111"/>
          <w:sz w:val="21"/>
          <w:szCs w:val="21"/>
          <w:lang w:eastAsia="en-GB"/>
        </w:rPr>
      </w:pPr>
      <w:r w:rsidRPr="00AD6674">
        <w:rPr>
          <w:rFonts w:ascii="Arial" w:eastAsia="Times New Roman" w:hAnsi="Arial" w:cs="Arial"/>
          <w:color w:val="0F1111"/>
          <w:sz w:val="21"/>
          <w:szCs w:val="21"/>
          <w:lang w:eastAsia="en-GB"/>
        </w:rPr>
        <w:t> </w:t>
      </w:r>
      <w:r w:rsidRPr="00AD6674">
        <w:rPr>
          <w:rFonts w:ascii="Arial" w:eastAsia="Times New Roman" w:hAnsi="Arial" w:cs="Arial"/>
          <w:color w:val="007185"/>
          <w:sz w:val="21"/>
          <w:szCs w:val="21"/>
          <w:lang w:eastAsia="en-GB"/>
        </w:rPr>
        <w:t>Listen</w:t>
      </w:r>
      <w:r w:rsidRPr="00AD6674">
        <w:rPr>
          <w:rFonts w:ascii="Arial" w:eastAsia="Times New Roman" w:hAnsi="Arial" w:cs="Arial"/>
          <w:color w:val="0F1111"/>
          <w:sz w:val="21"/>
          <w:szCs w:val="21"/>
          <w:lang w:eastAsia="en-GB"/>
        </w:rPr>
        <w:t> </w:t>
      </w:r>
      <w:r w:rsidRPr="00AD6674">
        <w:rPr>
          <w:rFonts w:ascii="Arial" w:eastAsia="Times New Roman" w:hAnsi="Arial" w:cs="Arial"/>
          <w:color w:val="0F1111"/>
          <w:sz w:val="2"/>
          <w:szCs w:val="2"/>
          <w:lang w:eastAsia="en-GB"/>
        </w:rPr>
        <w:t> </w:t>
      </w:r>
    </w:p>
    <w:p w14:paraId="22FC5D1C" w14:textId="64C4F940" w:rsidR="00AD6674" w:rsidRPr="00AD6674" w:rsidRDefault="00AD6674" w:rsidP="00AD6674">
      <w:pPr>
        <w:shd w:val="clear" w:color="auto" w:fill="FFFFFF"/>
        <w:spacing w:after="0" w:line="240" w:lineRule="auto"/>
        <w:rPr>
          <w:rFonts w:ascii="Arial" w:eastAsia="Times New Roman" w:hAnsi="Arial" w:cs="Arial"/>
          <w:color w:val="0F1111"/>
          <w:sz w:val="21"/>
          <w:szCs w:val="21"/>
          <w:lang w:eastAsia="en-GB"/>
        </w:rPr>
      </w:pPr>
    </w:p>
    <w:p w14:paraId="5A27E19A" w14:textId="74E73ECD" w:rsidR="00AD6674" w:rsidRPr="00AD6674" w:rsidRDefault="00AD6674" w:rsidP="00AD6674">
      <w:pPr>
        <w:shd w:val="clear" w:color="auto" w:fill="FFFFFF"/>
        <w:spacing w:after="0" w:line="240" w:lineRule="auto"/>
        <w:rPr>
          <w:rFonts w:ascii="Arial" w:eastAsia="Times New Roman" w:hAnsi="Arial" w:cs="Arial"/>
          <w:color w:val="0F1111"/>
          <w:sz w:val="21"/>
          <w:szCs w:val="21"/>
          <w:lang w:eastAsia="en-GB"/>
        </w:rPr>
      </w:pPr>
    </w:p>
    <w:p w14:paraId="2DDE2C99" w14:textId="666142F2" w:rsidR="00AD6674" w:rsidRPr="00AD6674" w:rsidRDefault="00AD6674" w:rsidP="00AD6674">
      <w:pPr>
        <w:shd w:val="clear" w:color="auto" w:fill="FFFFFF"/>
        <w:spacing w:line="540" w:lineRule="atLeast"/>
        <w:outlineLvl w:val="0"/>
        <w:rPr>
          <w:rFonts w:ascii="Arial" w:eastAsia="Times New Roman" w:hAnsi="Arial" w:cs="Arial"/>
          <w:b/>
          <w:bCs/>
          <w:color w:val="0F1111"/>
          <w:kern w:val="36"/>
          <w:sz w:val="42"/>
          <w:szCs w:val="42"/>
          <w:lang w:eastAsia="en-GB"/>
        </w:rPr>
      </w:pPr>
      <w:r w:rsidRPr="00AD6674">
        <w:rPr>
          <w:rFonts w:ascii="Arial" w:eastAsia="Times New Roman" w:hAnsi="Arial" w:cs="Arial"/>
          <w:b/>
          <w:bCs/>
          <w:color w:val="0F1111"/>
          <w:kern w:val="36"/>
          <w:sz w:val="42"/>
          <w:szCs w:val="42"/>
          <w:lang w:eastAsia="en-GB"/>
        </w:rPr>
        <w:t>The Real Business of Blockchain: How Leaders Can Create Value in a New Digital Age </w:t>
      </w:r>
      <w:r w:rsidRPr="00AD6674">
        <w:rPr>
          <w:rFonts w:ascii="Arial" w:eastAsia="Times New Roman" w:hAnsi="Arial" w:cs="Arial"/>
          <w:b/>
          <w:bCs/>
          <w:color w:val="565959"/>
          <w:kern w:val="36"/>
          <w:sz w:val="36"/>
          <w:szCs w:val="36"/>
          <w:lang w:eastAsia="en-GB"/>
        </w:rPr>
        <w:t xml:space="preserve"> 15 Oct. 2019</w:t>
      </w:r>
    </w:p>
    <w:p w14:paraId="002442B9" w14:textId="3DC2A44E" w:rsidR="00AD6674" w:rsidRDefault="00AD6674">
      <w:pPr>
        <w:rPr>
          <w:rFonts w:ascii="Open Sans" w:hAnsi="Open Sans" w:cs="Open Sans"/>
          <w:color w:val="333333"/>
          <w:shd w:val="clear" w:color="auto" w:fill="FFFFFF"/>
        </w:rPr>
      </w:pPr>
      <w:hyperlink r:id="rId49" w:history="1">
        <w:r w:rsidRPr="00283BF5">
          <w:rPr>
            <w:rStyle w:val="Hyperlink"/>
            <w:rFonts w:ascii="Open Sans" w:hAnsi="Open Sans" w:cs="Open Sans"/>
            <w:shd w:val="clear" w:color="auto" w:fill="FFFFFF"/>
          </w:rPr>
          <w:t>https://books.google.co.uk/books?id=obCPDwAAQBAJ&amp;pg=PT125&amp;source=gbs_selected_pages&amp;cad=2#v=onepage&amp;q&amp;f=false</w:t>
        </w:r>
      </w:hyperlink>
    </w:p>
    <w:p w14:paraId="489D2475" w14:textId="34F6E3A3" w:rsidR="00AD6674" w:rsidRDefault="00AD6674">
      <w:pPr>
        <w:rPr>
          <w:rFonts w:ascii="Open Sans" w:hAnsi="Open Sans" w:cs="Open Sans"/>
          <w:color w:val="333333"/>
          <w:shd w:val="clear" w:color="auto" w:fill="FFFFFF"/>
        </w:rPr>
      </w:pPr>
      <w:hyperlink r:id="rId50" w:history="1">
        <w:r w:rsidRPr="00283BF5">
          <w:rPr>
            <w:rStyle w:val="Hyperlink"/>
            <w:rFonts w:ascii="Open Sans" w:hAnsi="Open Sans" w:cs="Open Sans"/>
            <w:shd w:val="clear" w:color="auto" w:fill="FFFFFF"/>
          </w:rPr>
          <w:t>https://www.hbsp.harvard.edu/product/10292-HBK-ENG</w:t>
        </w:r>
      </w:hyperlink>
      <w:r>
        <w:rPr>
          <w:rFonts w:ascii="Open Sans" w:hAnsi="Open Sans" w:cs="Open Sans"/>
          <w:color w:val="333333"/>
          <w:shd w:val="clear" w:color="auto" w:fill="FFFFFF"/>
        </w:rPr>
        <w:t xml:space="preserve"> </w:t>
      </w:r>
    </w:p>
    <w:p w14:paraId="296AB8D2" w14:textId="7E852583" w:rsidR="00AD6674" w:rsidRDefault="00AD6674">
      <w:pPr>
        <w:rPr>
          <w:rFonts w:ascii="Open Sans" w:hAnsi="Open Sans" w:cs="Open Sans"/>
          <w:color w:val="333333"/>
          <w:shd w:val="clear" w:color="auto" w:fill="FFFFFF"/>
        </w:rPr>
      </w:pPr>
      <w:hyperlink r:id="rId51" w:history="1">
        <w:r w:rsidRPr="00283BF5">
          <w:rPr>
            <w:rStyle w:val="Hyperlink"/>
            <w:rFonts w:ascii="Open Sans" w:hAnsi="Open Sans" w:cs="Open Sans"/>
            <w:shd w:val="clear" w:color="auto" w:fill="FFFFFF"/>
          </w:rPr>
          <w:t>https://www.gartner.com/en/publications/the-real-business-of-blockchain</w:t>
        </w:r>
      </w:hyperlink>
      <w:r>
        <w:rPr>
          <w:rFonts w:ascii="Open Sans" w:hAnsi="Open Sans" w:cs="Open Sans"/>
          <w:color w:val="333333"/>
          <w:shd w:val="clear" w:color="auto" w:fill="FFFFFF"/>
        </w:rPr>
        <w:t xml:space="preserve"> </w:t>
      </w:r>
    </w:p>
    <w:p w14:paraId="3A4AA1FF" w14:textId="7E411A9D" w:rsidR="00412743" w:rsidRDefault="00BB75E7">
      <w:pPr>
        <w:rPr>
          <w:rFonts w:ascii="Open Sans" w:hAnsi="Open Sans" w:cs="Open Sans"/>
          <w:color w:val="333333"/>
          <w:shd w:val="clear" w:color="auto" w:fill="FFFFFF"/>
        </w:rPr>
      </w:pPr>
      <w:r>
        <w:rPr>
          <w:rFonts w:ascii="Open Sans" w:hAnsi="Open Sans" w:cs="Open Sans"/>
          <w:color w:val="333333"/>
          <w:shd w:val="clear" w:color="auto" w:fill="FFFFFF"/>
        </w:rPr>
        <w:t>12-01-23</w:t>
      </w:r>
    </w:p>
    <w:p w14:paraId="7E96C4DB" w14:textId="77777777" w:rsidR="00BB75E7" w:rsidRDefault="00BB75E7">
      <w:pPr>
        <w:rPr>
          <w:rFonts w:ascii="Open Sans" w:hAnsi="Open Sans" w:cs="Open Sans"/>
          <w:color w:val="333333"/>
          <w:shd w:val="clear" w:color="auto" w:fill="FFFFFF"/>
        </w:rPr>
      </w:pPr>
    </w:p>
    <w:p w14:paraId="75FBDFA3" w14:textId="6BCE4918" w:rsidR="00BB75E7" w:rsidRDefault="00BB75E7">
      <w:pPr>
        <w:rPr>
          <w:rFonts w:ascii="Noto Sans" w:hAnsi="Noto Sans" w:cs="Noto Sans"/>
          <w:sz w:val="18"/>
          <w:szCs w:val="18"/>
          <w:shd w:val="clear" w:color="auto" w:fill="FFFFFF"/>
        </w:rPr>
      </w:pPr>
      <w:r>
        <w:rPr>
          <w:rFonts w:ascii="Noto Sans" w:hAnsi="Noto Sans" w:cs="Noto Sans"/>
          <w:sz w:val="18"/>
          <w:szCs w:val="18"/>
          <w:shd w:val="clear" w:color="auto" w:fill="FFFFFF"/>
        </w:rPr>
        <w:t>Altaf, M. (2022). Strategic Communication: A tool to engage multiple stakeholders for corporate sustainability. </w:t>
      </w:r>
      <w:r>
        <w:rPr>
          <w:rFonts w:ascii="Noto Sans" w:hAnsi="Noto Sans" w:cs="Noto Sans"/>
          <w:i/>
          <w:iCs/>
          <w:sz w:val="18"/>
          <w:szCs w:val="18"/>
          <w:shd w:val="clear" w:color="auto" w:fill="FFFFFF"/>
        </w:rPr>
        <w:t>Journal of Management and Research</w:t>
      </w:r>
      <w:r>
        <w:rPr>
          <w:rFonts w:ascii="Noto Sans" w:hAnsi="Noto Sans" w:cs="Noto Sans"/>
          <w:sz w:val="18"/>
          <w:szCs w:val="18"/>
          <w:shd w:val="clear" w:color="auto" w:fill="FFFFFF"/>
        </w:rPr>
        <w:t>, </w:t>
      </w:r>
      <w:r>
        <w:rPr>
          <w:rFonts w:ascii="Noto Sans" w:hAnsi="Noto Sans" w:cs="Noto Sans"/>
          <w:i/>
          <w:iCs/>
          <w:sz w:val="18"/>
          <w:szCs w:val="18"/>
          <w:shd w:val="clear" w:color="auto" w:fill="FFFFFF"/>
        </w:rPr>
        <w:t>9</w:t>
      </w:r>
      <w:r>
        <w:rPr>
          <w:rFonts w:ascii="Noto Sans" w:hAnsi="Noto Sans" w:cs="Noto Sans"/>
          <w:sz w:val="18"/>
          <w:szCs w:val="18"/>
          <w:shd w:val="clear" w:color="auto" w:fill="FFFFFF"/>
        </w:rPr>
        <w:t xml:space="preserve">(2). Retrieved from </w:t>
      </w:r>
      <w:hyperlink r:id="rId52" w:history="1">
        <w:r w:rsidRPr="00405BFE">
          <w:rPr>
            <w:rStyle w:val="Hyperlink"/>
            <w:rFonts w:ascii="Noto Sans" w:hAnsi="Noto Sans" w:cs="Noto Sans"/>
            <w:sz w:val="18"/>
            <w:szCs w:val="18"/>
            <w:shd w:val="clear" w:color="auto" w:fill="FFFFFF"/>
          </w:rPr>
          <w:t>https://ojs.umt.edu.pk/index.php/jmr/article/view/1551</w:t>
        </w:r>
      </w:hyperlink>
    </w:p>
    <w:p w14:paraId="11F229F8" w14:textId="7C4B242E" w:rsidR="00BB75E7" w:rsidRDefault="00BB75E7">
      <w:pPr>
        <w:rPr>
          <w:rFonts w:ascii="Open Sans" w:hAnsi="Open Sans" w:cs="Open Sans"/>
          <w:color w:val="333333"/>
          <w:shd w:val="clear" w:color="auto" w:fill="FFFFFF"/>
        </w:rPr>
      </w:pPr>
      <w:r>
        <w:rPr>
          <w:rFonts w:ascii="Noto Sans" w:hAnsi="Noto Sans" w:cs="Noto Sans"/>
          <w:sz w:val="21"/>
          <w:szCs w:val="21"/>
          <w:shd w:val="clear" w:color="auto" w:fill="FFFFFF"/>
        </w:rPr>
        <w:lastRenderedPageBreak/>
        <w:t>This paper aims to understand the role of strategic communication to engage diverse stakeholders by companies for developing sustainable strategies. Companies are moving towards sustainable development for environmental protection, social well-being, economic stability, and progression. Usually, the government and policymakers in a country play an important role in the sustainability of an economy. However, they cannot achieve this goal alone and require businesses and society to identify and emphasize issues of sustainability. We have identified that businesses can engage diverse stakeholders and actively communicate with them to identify, discuss, prioritize, plan, and execute sustainability-related goals. Strategic communication plays an important role in communicating with stakeholders for meaningful purposes, and it is a prerequisite for policy development. The policies developed by companies have a long-term impact on the sustainability of the company as well as the entire economy. This paper seizes this opportunity by empirical understanding of the current communication policies of companies for developing sustainability targets. Further, this paper suggests a way forward for better development and positioning of the company’s sustainable strategies through communication. </w:t>
      </w:r>
    </w:p>
    <w:p w14:paraId="329ED8FD" w14:textId="77777777" w:rsidR="00412743" w:rsidRPr="00412743" w:rsidRDefault="00412743" w:rsidP="00412743">
      <w:pPr>
        <w:shd w:val="clear" w:color="auto" w:fill="FFFFFF"/>
        <w:spacing w:after="0" w:line="450" w:lineRule="atLeast"/>
        <w:outlineLvl w:val="0"/>
        <w:rPr>
          <w:rFonts w:ascii="Noto Sans" w:eastAsia="Times New Roman" w:hAnsi="Noto Sans" w:cs="Noto Sans"/>
          <w:b/>
          <w:bCs/>
          <w:kern w:val="36"/>
          <w:sz w:val="36"/>
          <w:szCs w:val="36"/>
          <w:lang w:eastAsia="en-GB"/>
        </w:rPr>
      </w:pPr>
      <w:r w:rsidRPr="00412743">
        <w:rPr>
          <w:rFonts w:ascii="Noto Sans" w:eastAsia="Times New Roman" w:hAnsi="Noto Sans" w:cs="Noto Sans"/>
          <w:b/>
          <w:bCs/>
          <w:kern w:val="36"/>
          <w:sz w:val="36"/>
          <w:szCs w:val="36"/>
          <w:lang w:eastAsia="en-GB"/>
        </w:rPr>
        <w:t>Increasing Gender Diversity in Organisations: What Works?</w:t>
      </w:r>
    </w:p>
    <w:p w14:paraId="12F7372E" w14:textId="77777777" w:rsidR="00412743" w:rsidRPr="00412743" w:rsidRDefault="00412743" w:rsidP="00412743">
      <w:pPr>
        <w:numPr>
          <w:ilvl w:val="0"/>
          <w:numId w:val="1"/>
        </w:numPr>
        <w:shd w:val="clear" w:color="auto" w:fill="FFFFFF"/>
        <w:spacing w:after="0" w:line="240" w:lineRule="auto"/>
        <w:ind w:left="270"/>
        <w:rPr>
          <w:rFonts w:ascii="Noto Sans" w:eastAsia="Times New Roman" w:hAnsi="Noto Sans" w:cs="Noto Sans"/>
          <w:sz w:val="21"/>
          <w:szCs w:val="21"/>
          <w:lang w:eastAsia="en-GB"/>
        </w:rPr>
      </w:pPr>
      <w:r w:rsidRPr="00412743">
        <w:rPr>
          <w:rFonts w:ascii="Noto Sans" w:eastAsia="Times New Roman" w:hAnsi="Noto Sans" w:cs="Noto Sans"/>
          <w:b/>
          <w:bCs/>
          <w:sz w:val="21"/>
          <w:szCs w:val="21"/>
          <w:lang w:eastAsia="en-GB"/>
        </w:rPr>
        <w:t>Luciana Vieira</w:t>
      </w:r>
    </w:p>
    <w:p w14:paraId="310CAE50" w14:textId="77777777" w:rsidR="00412743" w:rsidRPr="00412743" w:rsidRDefault="00412743" w:rsidP="00412743">
      <w:pPr>
        <w:shd w:val="clear" w:color="auto" w:fill="FFFFFF"/>
        <w:spacing w:after="300" w:line="300" w:lineRule="atLeast"/>
        <w:outlineLvl w:val="2"/>
        <w:rPr>
          <w:rFonts w:ascii="Noto Sans" w:eastAsia="Times New Roman" w:hAnsi="Noto Sans" w:cs="Noto Sans"/>
          <w:b/>
          <w:bCs/>
          <w:sz w:val="24"/>
          <w:szCs w:val="24"/>
          <w:lang w:eastAsia="en-GB"/>
        </w:rPr>
      </w:pPr>
      <w:r w:rsidRPr="00412743">
        <w:rPr>
          <w:rFonts w:ascii="Noto Sans" w:eastAsia="Times New Roman" w:hAnsi="Noto Sans" w:cs="Noto Sans"/>
          <w:b/>
          <w:bCs/>
          <w:sz w:val="24"/>
          <w:szCs w:val="24"/>
          <w:lang w:eastAsia="en-GB"/>
        </w:rPr>
        <w:t>Abstract</w:t>
      </w:r>
    </w:p>
    <w:p w14:paraId="4E87FB4B" w14:textId="77777777" w:rsidR="00412743" w:rsidRPr="00412743" w:rsidRDefault="00412743" w:rsidP="00412743">
      <w:pPr>
        <w:shd w:val="clear" w:color="auto" w:fill="FFFFFF"/>
        <w:spacing w:before="300" w:after="300" w:line="375" w:lineRule="atLeast"/>
        <w:rPr>
          <w:rFonts w:ascii="Noto Sans" w:eastAsia="Times New Roman" w:hAnsi="Noto Sans" w:cs="Noto Sans"/>
          <w:sz w:val="21"/>
          <w:szCs w:val="21"/>
          <w:lang w:eastAsia="en-GB"/>
        </w:rPr>
      </w:pPr>
      <w:r w:rsidRPr="00412743">
        <w:rPr>
          <w:rFonts w:ascii="Noto Sans" w:eastAsia="Times New Roman" w:hAnsi="Noto Sans" w:cs="Noto Sans"/>
          <w:sz w:val="21"/>
          <w:szCs w:val="21"/>
          <w:lang w:eastAsia="en-GB"/>
        </w:rPr>
        <w:t>Which practices were effectively implemented by organisations in Germany to promote and manage gender diversity and which key performance indicators (KPIs) did they implement to support gender diversity management? What is the maturity level of this implementation? Which practices for the promotion and management of gender diversity contributed more to advancing the participation of women in the workforce and in management?</w:t>
      </w:r>
    </w:p>
    <w:p w14:paraId="51C049FB" w14:textId="77777777" w:rsidR="00412743" w:rsidRPr="00412743" w:rsidRDefault="00412743" w:rsidP="00412743">
      <w:pPr>
        <w:shd w:val="clear" w:color="auto" w:fill="FFFFFF"/>
        <w:spacing w:before="300" w:after="300" w:line="375" w:lineRule="atLeast"/>
        <w:rPr>
          <w:rFonts w:ascii="Noto Sans" w:eastAsia="Times New Roman" w:hAnsi="Noto Sans" w:cs="Noto Sans"/>
          <w:sz w:val="21"/>
          <w:szCs w:val="21"/>
          <w:lang w:eastAsia="en-GB"/>
        </w:rPr>
      </w:pPr>
      <w:r w:rsidRPr="00412743">
        <w:rPr>
          <w:rFonts w:ascii="Noto Sans" w:eastAsia="Times New Roman" w:hAnsi="Noto Sans" w:cs="Noto Sans"/>
          <w:sz w:val="21"/>
          <w:szCs w:val="21"/>
          <w:lang w:eastAsia="en-GB"/>
        </w:rPr>
        <w:t>Empirical primary research and quantitative analysis were used to answer the research questions and test hypotheses. Data on the implementation of 22 diversity and inclusion (D&amp;I) practices and 12 supporting KPIs to promote and manage gender diversity were collected through a survey with 139 D&amp;I or human resources (HR) professionals and managers in large organisations in Germany that are publicly committed to D&amp;I.</w:t>
      </w:r>
    </w:p>
    <w:p w14:paraId="58E304F0" w14:textId="77777777" w:rsidR="00412743" w:rsidRPr="00412743" w:rsidRDefault="00412743" w:rsidP="00412743">
      <w:pPr>
        <w:shd w:val="clear" w:color="auto" w:fill="FFFFFF"/>
        <w:spacing w:before="300" w:after="0" w:line="375" w:lineRule="atLeast"/>
        <w:rPr>
          <w:rFonts w:ascii="Noto Sans" w:eastAsia="Times New Roman" w:hAnsi="Noto Sans" w:cs="Noto Sans"/>
          <w:sz w:val="21"/>
          <w:szCs w:val="21"/>
          <w:lang w:eastAsia="en-GB"/>
        </w:rPr>
      </w:pPr>
      <w:r w:rsidRPr="00412743">
        <w:rPr>
          <w:rFonts w:ascii="Noto Sans" w:eastAsia="Times New Roman" w:hAnsi="Noto Sans" w:cs="Noto Sans"/>
          <w:sz w:val="21"/>
          <w:szCs w:val="21"/>
          <w:lang w:eastAsia="en-GB"/>
        </w:rPr>
        <w:t xml:space="preserve">Practices to promote and manage gender diversity and supporting KPIs are widely used in the surveyed organisations. The maturity of the implementation is on intermediate to advanced levels. Organisations that reported an increase in the female workforce have more diversity practices and more maturity in the use of targeted recruitment and bias reduction in promotion decisions, as well as in the use of KPIs to monitor new hires and </w:t>
      </w:r>
      <w:r w:rsidRPr="00412743">
        <w:rPr>
          <w:rFonts w:ascii="Noto Sans" w:eastAsia="Times New Roman" w:hAnsi="Noto Sans" w:cs="Noto Sans"/>
          <w:sz w:val="21"/>
          <w:szCs w:val="21"/>
          <w:lang w:eastAsia="en-GB"/>
        </w:rPr>
        <w:lastRenderedPageBreak/>
        <w:t xml:space="preserve">attrition rates by gender. Organisations where the proportion of women in management increased use more diversity practices, more supporting KPIs, and have higher maturity in the implementation of both. Particularly, these organisations are more mature in the use of women’s networks, measures to raise the visibility of role models, diversity/anti-bias trainings and practices to manage diversity, such as D&amp;I staff, D&amp;I committees, and reporting mechanisms to the CEO. A correlation analysis showed that higher increases in the proportion of women in the workforce are associated with higher maturity in using gender-diverse interview </w:t>
      </w:r>
      <w:proofErr w:type="gramStart"/>
      <w:r w:rsidRPr="00412743">
        <w:rPr>
          <w:rFonts w:ascii="Noto Sans" w:eastAsia="Times New Roman" w:hAnsi="Noto Sans" w:cs="Noto Sans"/>
          <w:sz w:val="21"/>
          <w:szCs w:val="21"/>
          <w:lang w:eastAsia="en-GB"/>
        </w:rPr>
        <w:t>tea</w:t>
      </w:r>
      <w:proofErr w:type="gramEnd"/>
    </w:p>
    <w:p w14:paraId="0B1FEE6A" w14:textId="77777777" w:rsidR="00412743" w:rsidRDefault="00412743">
      <w:pPr>
        <w:rPr>
          <w:rFonts w:ascii="Open Sans" w:hAnsi="Open Sans" w:cs="Open Sans"/>
          <w:color w:val="333333"/>
          <w:shd w:val="clear" w:color="auto" w:fill="FFFFFF"/>
        </w:rPr>
      </w:pPr>
    </w:p>
    <w:p w14:paraId="1A947597" w14:textId="5C357D97" w:rsidR="002938CB" w:rsidRDefault="002938CB">
      <w:proofErr w:type="spellStart"/>
      <w:r>
        <w:rPr>
          <w:rFonts w:ascii="Open Sans" w:hAnsi="Open Sans" w:cs="Open Sans"/>
          <w:color w:val="333333"/>
          <w:shd w:val="clear" w:color="auto" w:fill="FFFFFF"/>
        </w:rPr>
        <w:t>Haarhoff</w:t>
      </w:r>
      <w:proofErr w:type="spellEnd"/>
      <w:r>
        <w:rPr>
          <w:rFonts w:ascii="Open Sans" w:hAnsi="Open Sans" w:cs="Open Sans"/>
          <w:color w:val="333333"/>
          <w:shd w:val="clear" w:color="auto" w:fill="FFFFFF"/>
        </w:rPr>
        <w:t>, D. (2023). Book review: Sounding the depths of leadership. </w:t>
      </w:r>
      <w:r>
        <w:rPr>
          <w:rFonts w:ascii="Open Sans" w:hAnsi="Open Sans" w:cs="Open Sans"/>
          <w:i/>
          <w:iCs/>
          <w:color w:val="333333"/>
          <w:shd w:val="clear" w:color="auto" w:fill="FFFFFF"/>
        </w:rPr>
        <w:t>Leadership</w:t>
      </w:r>
      <w:r>
        <w:rPr>
          <w:rFonts w:ascii="Open Sans" w:hAnsi="Open Sans" w:cs="Open Sans"/>
          <w:color w:val="333333"/>
          <w:shd w:val="clear" w:color="auto" w:fill="FFFFFF"/>
        </w:rPr>
        <w:t>, </w:t>
      </w:r>
      <w:r>
        <w:rPr>
          <w:rFonts w:ascii="Open Sans" w:hAnsi="Open Sans" w:cs="Open Sans"/>
          <w:i/>
          <w:iCs/>
          <w:color w:val="333333"/>
          <w:shd w:val="clear" w:color="auto" w:fill="FFFFFF"/>
        </w:rPr>
        <w:t>0</w:t>
      </w:r>
      <w:r>
        <w:rPr>
          <w:rFonts w:ascii="Open Sans" w:hAnsi="Open Sans" w:cs="Open Sans"/>
          <w:color w:val="333333"/>
          <w:shd w:val="clear" w:color="auto" w:fill="FFFFFF"/>
        </w:rPr>
        <w:t>(0). </w:t>
      </w:r>
      <w:hyperlink r:id="rId53" w:history="1">
        <w:r>
          <w:rPr>
            <w:rStyle w:val="Hyperlink"/>
            <w:rFonts w:ascii="Open Sans" w:hAnsi="Open Sans" w:cs="Open Sans"/>
            <w:color w:val="006ACC"/>
            <w:shd w:val="clear" w:color="auto" w:fill="FFFFFF"/>
          </w:rPr>
          <w:t>https://doi.org/10.1177/17427150221148845</w:t>
        </w:r>
      </w:hyperlink>
    </w:p>
    <w:p w14:paraId="78A89770" w14:textId="0A6ABC96" w:rsidR="002938CB" w:rsidRDefault="002938CB">
      <w:r>
        <w:rPr>
          <w:rFonts w:ascii="Open Sans" w:hAnsi="Open Sans" w:cs="Open Sans"/>
          <w:color w:val="333333"/>
          <w:shd w:val="clear" w:color="auto" w:fill="FFFFFF"/>
        </w:rPr>
        <w:t xml:space="preserve">Donna </w:t>
      </w:r>
      <w:proofErr w:type="spellStart"/>
      <w:r>
        <w:rPr>
          <w:rFonts w:ascii="Open Sans" w:hAnsi="Open Sans" w:cs="Open Sans"/>
          <w:color w:val="333333"/>
          <w:shd w:val="clear" w:color="auto" w:fill="FFFFFF"/>
        </w:rPr>
        <w:t>Ladkin</w:t>
      </w:r>
      <w:proofErr w:type="spellEnd"/>
      <w:r>
        <w:rPr>
          <w:rFonts w:ascii="Open Sans" w:hAnsi="Open Sans" w:cs="Open Sans"/>
          <w:color w:val="333333"/>
          <w:shd w:val="clear" w:color="auto" w:fill="FFFFFF"/>
        </w:rPr>
        <w:t xml:space="preserve"> (2008) offers the notion of leading beautifully as a kind of inward knowing focussed on the quality of being. Sounding the Depths of Leadership attempts to lay out a process to cultivate this form of leadership experience and self-mastery process. </w:t>
      </w:r>
      <w:proofErr w:type="spellStart"/>
      <w:r>
        <w:rPr>
          <w:rFonts w:ascii="Open Sans" w:hAnsi="Open Sans" w:cs="Open Sans"/>
          <w:color w:val="333333"/>
          <w:shd w:val="clear" w:color="auto" w:fill="FFFFFF"/>
        </w:rPr>
        <w:t>Sewchurran</w:t>
      </w:r>
      <w:proofErr w:type="spellEnd"/>
      <w:r>
        <w:rPr>
          <w:rFonts w:ascii="Open Sans" w:hAnsi="Open Sans" w:cs="Open Sans"/>
          <w:color w:val="333333"/>
          <w:shd w:val="clear" w:color="auto" w:fill="FFFFFF"/>
        </w:rPr>
        <w:t xml:space="preserve"> pursues a leadership learning approach to cultivate a reflexive, internal search for self-mastery. He organises the approach using seven navigation charts to guide practical processes of exploring personal development and </w:t>
      </w:r>
      <w:proofErr w:type="spellStart"/>
      <w:r>
        <w:rPr>
          <w:rFonts w:ascii="Open Sans" w:hAnsi="Open Sans" w:cs="Open Sans"/>
          <w:color w:val="333333"/>
          <w:shd w:val="clear" w:color="auto" w:fill="FFFFFF"/>
        </w:rPr>
        <w:t>selfmastery</w:t>
      </w:r>
      <w:proofErr w:type="spellEnd"/>
      <w:r>
        <w:rPr>
          <w:rFonts w:ascii="Open Sans" w:hAnsi="Open Sans" w:cs="Open Sans"/>
          <w:color w:val="333333"/>
          <w:shd w:val="clear" w:color="auto" w:fill="FFFFFF"/>
        </w:rPr>
        <w:t xml:space="preserve"> possibilities. He draws on his decade long experience of working as an executive coach whilst also being the Director of an Executive MBA program at the Graduate School of Business, University of Cape Town, South Africa. He inter-weaves these insights with contemporary leadership scholarship and philosophy to uncover the being dimension of leading in the ongoing present. To develop this inward sense of knowing he draws on a range of philosophers. The works of Aristotle, Martin Heidegger, John Dewey, John Shotter and </w:t>
      </w:r>
      <w:proofErr w:type="spellStart"/>
      <w:r>
        <w:rPr>
          <w:rFonts w:ascii="Open Sans" w:hAnsi="Open Sans" w:cs="Open Sans"/>
          <w:color w:val="333333"/>
          <w:shd w:val="clear" w:color="auto" w:fill="FFFFFF"/>
        </w:rPr>
        <w:t>Haridimos</w:t>
      </w:r>
      <w:proofErr w:type="spellEnd"/>
      <w:r>
        <w:rPr>
          <w:rFonts w:ascii="Open Sans" w:hAnsi="Open Sans" w:cs="Open Sans"/>
          <w:color w:val="333333"/>
          <w:shd w:val="clear" w:color="auto" w:fill="FFFFFF"/>
        </w:rPr>
        <w:t xml:space="preserve"> </w:t>
      </w:r>
      <w:proofErr w:type="spellStart"/>
      <w:r>
        <w:rPr>
          <w:rFonts w:ascii="Open Sans" w:hAnsi="Open Sans" w:cs="Open Sans"/>
          <w:color w:val="333333"/>
          <w:shd w:val="clear" w:color="auto" w:fill="FFFFFF"/>
        </w:rPr>
        <w:t>Tsoukas</w:t>
      </w:r>
      <w:proofErr w:type="spellEnd"/>
      <w:r>
        <w:rPr>
          <w:rFonts w:ascii="Open Sans" w:hAnsi="Open Sans" w:cs="Open Sans"/>
          <w:color w:val="333333"/>
          <w:shd w:val="clear" w:color="auto" w:fill="FFFFFF"/>
        </w:rPr>
        <w:t xml:space="preserve"> are channelled to design the explorations each chart offers. The rich, and at times dense, philosophical discussions are interwoven with stories of leadership learning which trace the journeys of several characters. The book distinguishes between an understanding of Being, spelt with a capital B, from the actual lived experience of being, spelt with a smaller b. This distinction is equated to the difference between a map and the actual experience of the territory. Seven navigation charts are built to offer an understanding of Being that stimulates changes to the experience of being.</w:t>
      </w:r>
    </w:p>
    <w:p w14:paraId="0FB076F8" w14:textId="4C6FD0C3" w:rsidR="007474FB" w:rsidRDefault="00000000">
      <w:hyperlink r:id="rId54" w:tooltip="Robert Chapman Wood" w:history="1">
        <w:r w:rsidR="007474FB">
          <w:rPr>
            <w:rStyle w:val="Hyperlink"/>
            <w:rFonts w:ascii="Open Sans" w:hAnsi="Open Sans" w:cs="Open Sans"/>
            <w:sz w:val="27"/>
            <w:szCs w:val="27"/>
            <w:shd w:val="clear" w:color="auto" w:fill="FFFFFF"/>
          </w:rPr>
          <w:t>Wood, R.C.</w:t>
        </w:r>
      </w:hyperlink>
      <w:r w:rsidR="007474FB">
        <w:rPr>
          <w:rFonts w:ascii="Open Sans" w:hAnsi="Open Sans" w:cs="Open Sans"/>
          <w:sz w:val="27"/>
          <w:szCs w:val="27"/>
          <w:shd w:val="clear" w:color="auto" w:fill="FFFFFF"/>
        </w:rPr>
        <w:t> (2022), "The making of a “Digital Mindset”", </w:t>
      </w:r>
      <w:hyperlink r:id="rId55" w:history="1">
        <w:r w:rsidR="007474FB">
          <w:rPr>
            <w:rStyle w:val="Hyperlink"/>
            <w:rFonts w:ascii="Open Sans" w:hAnsi="Open Sans" w:cs="Open Sans"/>
            <w:i/>
            <w:iCs/>
            <w:color w:val="007377"/>
            <w:sz w:val="27"/>
            <w:szCs w:val="27"/>
          </w:rPr>
          <w:t>Strategy &amp; Leadership</w:t>
        </w:r>
      </w:hyperlink>
      <w:r w:rsidR="007474FB">
        <w:rPr>
          <w:rFonts w:ascii="Open Sans" w:hAnsi="Open Sans" w:cs="Open Sans"/>
          <w:sz w:val="27"/>
          <w:szCs w:val="27"/>
          <w:shd w:val="clear" w:color="auto" w:fill="FFFFFF"/>
        </w:rPr>
        <w:t>, Vol. 50 No. 6, pp. 41-42. </w:t>
      </w:r>
      <w:hyperlink r:id="rId56" w:tooltip="DOI: https://doi.org/10.1108/SL-11-2022-238" w:history="1">
        <w:r w:rsidR="007474FB">
          <w:rPr>
            <w:rStyle w:val="Hyperlink"/>
            <w:rFonts w:ascii="Open Sans" w:hAnsi="Open Sans" w:cs="Open Sans"/>
            <w:color w:val="007377"/>
            <w:sz w:val="27"/>
            <w:szCs w:val="27"/>
            <w:shd w:val="clear" w:color="auto" w:fill="FFFFFF"/>
          </w:rPr>
          <w:t>https://doi.org/10.1108/SL-11-2022-238</w:t>
        </w:r>
      </w:hyperlink>
    </w:p>
    <w:p w14:paraId="73937D71" w14:textId="77777777" w:rsidR="007474FB" w:rsidRDefault="007474FB">
      <w:pPr>
        <w:rPr>
          <w:rFonts w:ascii="Arial" w:hAnsi="Arial" w:cs="Arial"/>
          <w:b/>
          <w:bCs/>
          <w:sz w:val="32"/>
          <w:szCs w:val="32"/>
        </w:rPr>
      </w:pPr>
    </w:p>
    <w:p w14:paraId="03DE570E" w14:textId="77777777" w:rsidR="007474FB" w:rsidRPr="009A69E3" w:rsidRDefault="007474FB">
      <w:pPr>
        <w:rPr>
          <w:rFonts w:ascii="Arial" w:hAnsi="Arial" w:cs="Arial"/>
          <w:b/>
          <w:bCs/>
          <w:sz w:val="32"/>
          <w:szCs w:val="32"/>
        </w:rPr>
      </w:pPr>
    </w:p>
    <w:p w14:paraId="0FF600F1" w14:textId="005C2E2E" w:rsidR="005D04A9" w:rsidRDefault="00000000">
      <w:pPr>
        <w:rPr>
          <w:rFonts w:ascii="Open Sans" w:hAnsi="Open Sans" w:cs="Open Sans"/>
          <w:color w:val="1C1D1E"/>
          <w:sz w:val="21"/>
          <w:szCs w:val="21"/>
          <w:shd w:val="clear" w:color="auto" w:fill="FFFFFF"/>
        </w:rPr>
      </w:pPr>
      <w:hyperlink r:id="rId57" w:tooltip="Cindy Anderson" w:history="1">
        <w:r w:rsidR="007474FB">
          <w:rPr>
            <w:rStyle w:val="Hyperlink"/>
            <w:rFonts w:ascii="Open Sans" w:hAnsi="Open Sans" w:cs="Open Sans"/>
            <w:sz w:val="27"/>
            <w:szCs w:val="27"/>
            <w:shd w:val="clear" w:color="auto" w:fill="FFFFFF"/>
          </w:rPr>
          <w:t>Anderson, C.</w:t>
        </w:r>
      </w:hyperlink>
      <w:r w:rsidR="007474FB">
        <w:rPr>
          <w:rFonts w:ascii="Open Sans" w:hAnsi="Open Sans" w:cs="Open Sans"/>
          <w:sz w:val="27"/>
          <w:szCs w:val="27"/>
          <w:shd w:val="clear" w:color="auto" w:fill="FFFFFF"/>
        </w:rPr>
        <w:t>, </w:t>
      </w:r>
      <w:hyperlink r:id="rId58" w:tooltip="Jacob Dencik" w:history="1">
        <w:r w:rsidR="007474FB">
          <w:rPr>
            <w:rStyle w:val="Hyperlink"/>
            <w:rFonts w:ascii="Open Sans" w:hAnsi="Open Sans" w:cs="Open Sans"/>
            <w:sz w:val="27"/>
            <w:szCs w:val="27"/>
            <w:shd w:val="clear" w:color="auto" w:fill="FFFFFF"/>
          </w:rPr>
          <w:t>Dencik, J.</w:t>
        </w:r>
      </w:hyperlink>
      <w:r w:rsidR="007474FB">
        <w:rPr>
          <w:rFonts w:ascii="Open Sans" w:hAnsi="Open Sans" w:cs="Open Sans"/>
          <w:sz w:val="27"/>
          <w:szCs w:val="27"/>
          <w:shd w:val="clear" w:color="auto" w:fill="FFFFFF"/>
        </w:rPr>
        <w:t>, </w:t>
      </w:r>
      <w:hyperlink r:id="rId59" w:tooltip="Anthony Marshall" w:history="1">
        <w:r w:rsidR="007474FB">
          <w:rPr>
            <w:rStyle w:val="Hyperlink"/>
            <w:rFonts w:ascii="Open Sans" w:hAnsi="Open Sans" w:cs="Open Sans"/>
            <w:sz w:val="27"/>
            <w:szCs w:val="27"/>
            <w:shd w:val="clear" w:color="auto" w:fill="FFFFFF"/>
          </w:rPr>
          <w:t>Marshall, A.</w:t>
        </w:r>
      </w:hyperlink>
      <w:r w:rsidR="007474FB">
        <w:rPr>
          <w:rFonts w:ascii="Open Sans" w:hAnsi="Open Sans" w:cs="Open Sans"/>
          <w:sz w:val="27"/>
          <w:szCs w:val="27"/>
          <w:shd w:val="clear" w:color="auto" w:fill="FFFFFF"/>
        </w:rPr>
        <w:t> and </w:t>
      </w:r>
      <w:hyperlink r:id="rId60" w:tooltip="Raj Teer" w:history="1">
        <w:r w:rsidR="007474FB">
          <w:rPr>
            <w:rStyle w:val="Hyperlink"/>
            <w:rFonts w:ascii="Open Sans" w:hAnsi="Open Sans" w:cs="Open Sans"/>
            <w:sz w:val="27"/>
            <w:szCs w:val="27"/>
            <w:shd w:val="clear" w:color="auto" w:fill="FFFFFF"/>
          </w:rPr>
          <w:t>Teer, R.</w:t>
        </w:r>
      </w:hyperlink>
      <w:r w:rsidR="007474FB">
        <w:rPr>
          <w:rFonts w:ascii="Open Sans" w:hAnsi="Open Sans" w:cs="Open Sans"/>
          <w:sz w:val="27"/>
          <w:szCs w:val="27"/>
          <w:shd w:val="clear" w:color="auto" w:fill="FFFFFF"/>
        </w:rPr>
        <w:t> (2022), "The co-evolution of data and the modern enterprise", </w:t>
      </w:r>
      <w:hyperlink r:id="rId61" w:history="1">
        <w:r w:rsidR="007474FB">
          <w:rPr>
            <w:rStyle w:val="Hyperlink"/>
            <w:rFonts w:ascii="Open Sans" w:hAnsi="Open Sans" w:cs="Open Sans"/>
            <w:i/>
            <w:iCs/>
            <w:color w:val="007377"/>
            <w:sz w:val="27"/>
            <w:szCs w:val="27"/>
          </w:rPr>
          <w:t>Strategy &amp; Leadership</w:t>
        </w:r>
      </w:hyperlink>
      <w:r w:rsidR="007474FB">
        <w:rPr>
          <w:rFonts w:ascii="Open Sans" w:hAnsi="Open Sans" w:cs="Open Sans"/>
          <w:sz w:val="27"/>
          <w:szCs w:val="27"/>
          <w:shd w:val="clear" w:color="auto" w:fill="FFFFFF"/>
        </w:rPr>
        <w:t>, Vol. 50 No. 6, pp. 33-40. </w:t>
      </w:r>
      <w:hyperlink r:id="rId62" w:tooltip="DOI: https://doi.org/10.1108/SL-08-2022-0082" w:history="1">
        <w:r w:rsidR="007474FB">
          <w:rPr>
            <w:rStyle w:val="Hyperlink"/>
            <w:rFonts w:ascii="Open Sans" w:hAnsi="Open Sans" w:cs="Open Sans"/>
            <w:color w:val="007377"/>
            <w:sz w:val="27"/>
            <w:szCs w:val="27"/>
            <w:shd w:val="clear" w:color="auto" w:fill="FFFFFF"/>
          </w:rPr>
          <w:t>https://doi.org/10.1108/SL-08-2022-0082</w:t>
        </w:r>
      </w:hyperlink>
    </w:p>
    <w:p w14:paraId="49BB2E4D" w14:textId="77777777" w:rsidR="007474FB" w:rsidRPr="007474FB" w:rsidRDefault="007474FB" w:rsidP="007474FB">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Purpose</w:t>
      </w:r>
    </w:p>
    <w:p w14:paraId="2CEC22CE" w14:textId="77777777" w:rsidR="007474FB" w:rsidRPr="007474FB" w:rsidRDefault="007474FB" w:rsidP="007474FB">
      <w:pPr>
        <w:shd w:val="clear" w:color="auto" w:fill="FFFFFF"/>
        <w:spacing w:after="0" w:line="240" w:lineRule="auto"/>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Central to the corporate response to decades of discontinuity has been a rapidly growing and increasingly impactful role of data and digital technologies. This article studies that co-evolution.</w:t>
      </w:r>
    </w:p>
    <w:p w14:paraId="7A0002B6" w14:textId="77777777" w:rsidR="007474FB" w:rsidRPr="007474FB" w:rsidRDefault="007474FB" w:rsidP="007474FB">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Design/methodology/approach</w:t>
      </w:r>
    </w:p>
    <w:p w14:paraId="6D750410" w14:textId="77777777" w:rsidR="007474FB" w:rsidRPr="007474FB" w:rsidRDefault="007474FB" w:rsidP="007474FB">
      <w:pPr>
        <w:shd w:val="clear" w:color="auto" w:fill="FFFFFF"/>
        <w:spacing w:after="0" w:line="240" w:lineRule="auto"/>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Reviewing annual and semi-annual IBM survey data from CEO interviews across the past 20 years, IBM Institute for Business Value research has gained a unique perspective on how corporate leaders have used data technology to stay at the vanguard of change.</w:t>
      </w:r>
    </w:p>
    <w:p w14:paraId="3D29D512" w14:textId="77777777" w:rsidR="007474FB" w:rsidRPr="007474FB" w:rsidRDefault="007474FB" w:rsidP="007474FB">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Findings</w:t>
      </w:r>
    </w:p>
    <w:p w14:paraId="08DFE5BD" w14:textId="77777777" w:rsidR="007474FB" w:rsidRPr="007474FB" w:rsidRDefault="007474FB" w:rsidP="007474FB">
      <w:pPr>
        <w:shd w:val="clear" w:color="auto" w:fill="FFFFFF"/>
        <w:spacing w:after="0" w:line="240" w:lineRule="auto"/>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In 2021, 62 percent of the highest performing CEOs said technology infrastructure, specifically data infrastructure, is the greatest challenge for their organization.</w:t>
      </w:r>
    </w:p>
    <w:p w14:paraId="107D411B" w14:textId="77777777" w:rsidR="007474FB" w:rsidRPr="007474FB" w:rsidRDefault="007474FB" w:rsidP="007474FB">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Practical Implications</w:t>
      </w:r>
    </w:p>
    <w:p w14:paraId="30375A30" w14:textId="77777777" w:rsidR="007474FB" w:rsidRPr="007474FB" w:rsidRDefault="007474FB" w:rsidP="007474FB">
      <w:pPr>
        <w:shd w:val="clear" w:color="auto" w:fill="FFFFFF"/>
        <w:spacing w:after="0" w:line="240" w:lineRule="auto"/>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From coping with uncertainty, change and complexity, to the need for more actionable insights, to empowering the individualization of the customer experience and engagement with ecosystem partners, data and digital technologies are now central to helping organizations address their top challenges.</w:t>
      </w:r>
    </w:p>
    <w:p w14:paraId="568BB1D0" w14:textId="77777777" w:rsidR="007474FB" w:rsidRPr="007474FB" w:rsidRDefault="007474FB" w:rsidP="007474FB">
      <w:pPr>
        <w:shd w:val="clear" w:color="auto" w:fill="FFFFFF"/>
        <w:spacing w:before="100" w:beforeAutospacing="1" w:after="0" w:line="240" w:lineRule="auto"/>
        <w:outlineLvl w:val="2"/>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Originality Value</w:t>
      </w:r>
    </w:p>
    <w:p w14:paraId="48315240" w14:textId="77777777" w:rsidR="007474FB" w:rsidRPr="007474FB" w:rsidRDefault="007474FB" w:rsidP="007474FB">
      <w:pPr>
        <w:shd w:val="clear" w:color="auto" w:fill="FFFFFF"/>
        <w:spacing w:after="0" w:line="240" w:lineRule="auto"/>
        <w:rPr>
          <w:rFonts w:ascii="Open Sans" w:eastAsia="Times New Roman" w:hAnsi="Open Sans" w:cs="Open Sans"/>
          <w:sz w:val="27"/>
          <w:szCs w:val="27"/>
          <w:lang w:eastAsia="en-GB"/>
        </w:rPr>
      </w:pPr>
      <w:r w:rsidRPr="007474FB">
        <w:rPr>
          <w:rFonts w:ascii="Open Sans" w:eastAsia="Times New Roman" w:hAnsi="Open Sans" w:cs="Open Sans"/>
          <w:sz w:val="27"/>
          <w:szCs w:val="27"/>
          <w:lang w:eastAsia="en-GB"/>
        </w:rPr>
        <w:t xml:space="preserve">Business leaders must think strategically about how the interplay between data, technology and business transformation will need to be shaped to </w:t>
      </w:r>
      <w:proofErr w:type="spellStart"/>
      <w:r w:rsidRPr="007474FB">
        <w:rPr>
          <w:rFonts w:ascii="Open Sans" w:eastAsia="Times New Roman" w:hAnsi="Open Sans" w:cs="Open Sans"/>
          <w:sz w:val="27"/>
          <w:szCs w:val="27"/>
          <w:lang w:eastAsia="en-GB"/>
        </w:rPr>
        <w:t>catalyze</w:t>
      </w:r>
      <w:proofErr w:type="spellEnd"/>
      <w:r w:rsidRPr="007474FB">
        <w:rPr>
          <w:rFonts w:ascii="Open Sans" w:eastAsia="Times New Roman" w:hAnsi="Open Sans" w:cs="Open Sans"/>
          <w:sz w:val="27"/>
          <w:szCs w:val="27"/>
          <w:lang w:eastAsia="en-GB"/>
        </w:rPr>
        <w:t xml:space="preserve"> even more value for the enterprise and its customers.</w:t>
      </w:r>
    </w:p>
    <w:p w14:paraId="640C47A6" w14:textId="77777777" w:rsidR="005D04A9" w:rsidRDefault="005D04A9">
      <w:pPr>
        <w:rPr>
          <w:rFonts w:ascii="Open Sans" w:hAnsi="Open Sans" w:cs="Open Sans"/>
          <w:color w:val="1C1D1E"/>
          <w:sz w:val="21"/>
          <w:szCs w:val="21"/>
          <w:shd w:val="clear" w:color="auto" w:fill="FFFFFF"/>
        </w:rPr>
      </w:pPr>
    </w:p>
    <w:p w14:paraId="4794E47B" w14:textId="6B8EE5A1" w:rsidR="009A69E3" w:rsidRDefault="005D04A9">
      <w:r>
        <w:rPr>
          <w:rFonts w:ascii="Open Sans" w:hAnsi="Open Sans" w:cs="Open Sans"/>
          <w:color w:val="1C1D1E"/>
          <w:sz w:val="21"/>
          <w:szCs w:val="21"/>
          <w:shd w:val="clear" w:color="auto" w:fill="FFFFFF"/>
        </w:rPr>
        <w:t xml:space="preserve">Sandberg, D.S., Pennington, C.M. and Lindquist, M.A. (2022), Virtual Leadership: CEOs and C-Level Executives of Healthcare Organizations in the United States Reimagined New Roles as Virtual Leaders. J </w:t>
      </w:r>
      <w:proofErr w:type="spellStart"/>
      <w:r>
        <w:rPr>
          <w:rFonts w:ascii="Open Sans" w:hAnsi="Open Sans" w:cs="Open Sans"/>
          <w:color w:val="1C1D1E"/>
          <w:sz w:val="21"/>
          <w:szCs w:val="21"/>
          <w:shd w:val="clear" w:color="auto" w:fill="FFFFFF"/>
        </w:rPr>
        <w:t>Leadersh</w:t>
      </w:r>
      <w:proofErr w:type="spellEnd"/>
      <w:r>
        <w:rPr>
          <w:rFonts w:ascii="Open Sans" w:hAnsi="Open Sans" w:cs="Open Sans"/>
          <w:color w:val="1C1D1E"/>
          <w:sz w:val="21"/>
          <w:szCs w:val="21"/>
          <w:shd w:val="clear" w:color="auto" w:fill="FFFFFF"/>
        </w:rPr>
        <w:t xml:space="preserve"> Stud, 16: 61-69. </w:t>
      </w:r>
      <w:hyperlink r:id="rId63" w:history="1">
        <w:r>
          <w:rPr>
            <w:rStyle w:val="Hyperlink"/>
            <w:rFonts w:ascii="Open Sans" w:hAnsi="Open Sans" w:cs="Open Sans"/>
            <w:color w:val="005274"/>
            <w:sz w:val="21"/>
            <w:szCs w:val="21"/>
            <w:shd w:val="clear" w:color="auto" w:fill="FFFFFF"/>
          </w:rPr>
          <w:t>https://doi.org/10.1002/jls.21827</w:t>
        </w:r>
      </w:hyperlink>
    </w:p>
    <w:p w14:paraId="574C2822" w14:textId="77777777" w:rsidR="009A69E3" w:rsidRDefault="009A69E3"/>
    <w:p w14:paraId="41CBCC4E" w14:textId="77777777" w:rsidR="009A69E3" w:rsidRPr="009A69E3" w:rsidRDefault="009A69E3" w:rsidP="009A69E3">
      <w:pPr>
        <w:shd w:val="clear" w:color="auto" w:fill="FFFFFF"/>
        <w:spacing w:before="100" w:beforeAutospacing="1" w:after="100" w:afterAutospacing="1" w:line="240" w:lineRule="auto"/>
        <w:outlineLvl w:val="2"/>
        <w:rPr>
          <w:rFonts w:ascii="Open Sans" w:eastAsia="Times New Roman" w:hAnsi="Open Sans" w:cs="Open Sans"/>
          <w:color w:val="414246"/>
          <w:sz w:val="27"/>
          <w:szCs w:val="27"/>
          <w:lang w:eastAsia="en-GB"/>
        </w:rPr>
      </w:pPr>
      <w:r w:rsidRPr="009A69E3">
        <w:rPr>
          <w:rFonts w:ascii="Open Sans" w:eastAsia="Times New Roman" w:hAnsi="Open Sans" w:cs="Open Sans"/>
          <w:color w:val="414246"/>
          <w:sz w:val="27"/>
          <w:szCs w:val="27"/>
          <w:lang w:eastAsia="en-GB"/>
        </w:rPr>
        <w:t>Abstract</w:t>
      </w:r>
    </w:p>
    <w:p w14:paraId="42699A56" w14:textId="77777777" w:rsidR="009A69E3" w:rsidRPr="009A69E3" w:rsidRDefault="009A69E3" w:rsidP="009A69E3">
      <w:pPr>
        <w:shd w:val="clear" w:color="auto" w:fill="FFFFFF"/>
        <w:spacing w:before="100" w:beforeAutospacing="1" w:after="240" w:line="240" w:lineRule="auto"/>
        <w:rPr>
          <w:rFonts w:ascii="Open Sans" w:eastAsia="Times New Roman" w:hAnsi="Open Sans" w:cs="Open Sans"/>
          <w:color w:val="1C1D1E"/>
          <w:sz w:val="24"/>
          <w:szCs w:val="24"/>
          <w:lang w:eastAsia="en-GB"/>
        </w:rPr>
      </w:pPr>
      <w:r w:rsidRPr="009A69E3">
        <w:rPr>
          <w:rFonts w:ascii="Open Sans" w:eastAsia="Times New Roman" w:hAnsi="Open Sans" w:cs="Open Sans"/>
          <w:color w:val="1C1D1E"/>
          <w:sz w:val="24"/>
          <w:szCs w:val="24"/>
          <w:lang w:eastAsia="en-GB"/>
        </w:rPr>
        <w:lastRenderedPageBreak/>
        <w:t>CEOs and C-level executives of healthcare organizations in the United States reimagined their leadership roles during the COVID-19 pandemic. These leaders had to make decisions to positively impact their hospitals, communicate with their stakeholders, protect their employees, and offer urgently needed services to the community by utilizing virtual technology. In 2020, the COVID-19 crisis emphasized leadership in hospitals and other healthcare organizations as patients, clinicians, and staff sought clear direction in the face of uncertainty and stress. The second part of the problem was that hospitals and other healthcare leaders often arrived at their positions unprepared for their roles. The current research explored the transition CEOs, and C-level executives of healthcare organizations in the United States made to continue operations during the pandemic. The framework of the study was a quantitative survey with a descriptive design to explore the changes these leaders incorporated to become effective in a virtual environment during challenging times.</w:t>
      </w:r>
    </w:p>
    <w:p w14:paraId="7608E741" w14:textId="5B16731A" w:rsidR="009A69E3" w:rsidRDefault="009A69E3"/>
    <w:sectPr w:rsidR="009A6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Segoe UI"/>
    <w:charset w:val="00"/>
    <w:family w:val="swiss"/>
    <w:pitch w:val="variable"/>
    <w:sig w:usb0="E00002EF" w:usb1="4000205B" w:usb2="00000028" w:usb3="00000000" w:csb0="0000019F" w:csb1="00000000"/>
  </w:font>
  <w:font w:name="Noto Sans">
    <w:altName w:val="Nirmala UI"/>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3083C"/>
    <w:multiLevelType w:val="multilevel"/>
    <w:tmpl w:val="19D0C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053D11"/>
    <w:multiLevelType w:val="multilevel"/>
    <w:tmpl w:val="F6641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3D0402"/>
    <w:multiLevelType w:val="multilevel"/>
    <w:tmpl w:val="FB78B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6920529">
    <w:abstractNumId w:val="1"/>
  </w:num>
  <w:num w:numId="2" w16cid:durableId="1578519802">
    <w:abstractNumId w:val="2"/>
  </w:num>
  <w:num w:numId="3" w16cid:durableId="1184712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9E3"/>
    <w:rsid w:val="000145B8"/>
    <w:rsid w:val="00105F26"/>
    <w:rsid w:val="00206BD9"/>
    <w:rsid w:val="002938CB"/>
    <w:rsid w:val="003679EE"/>
    <w:rsid w:val="00396C56"/>
    <w:rsid w:val="00412743"/>
    <w:rsid w:val="005D04A9"/>
    <w:rsid w:val="007474FB"/>
    <w:rsid w:val="008526F7"/>
    <w:rsid w:val="009A69E3"/>
    <w:rsid w:val="00AC2FD9"/>
    <w:rsid w:val="00AD6674"/>
    <w:rsid w:val="00BB75E7"/>
    <w:rsid w:val="00C21F90"/>
    <w:rsid w:val="00CB49B7"/>
    <w:rsid w:val="00D07C88"/>
    <w:rsid w:val="00DB6FA2"/>
    <w:rsid w:val="00EB26F3"/>
    <w:rsid w:val="00EC0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43F3E"/>
  <w15:chartTrackingRefBased/>
  <w15:docId w15:val="{9FDD2868-5AEB-4CC5-8C64-3B9FBC4C7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05F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4A9"/>
    <w:rPr>
      <w:color w:val="0000FF"/>
      <w:u w:val="single"/>
    </w:rPr>
  </w:style>
  <w:style w:type="character" w:styleId="UnresolvedMention">
    <w:name w:val="Unresolved Mention"/>
    <w:basedOn w:val="DefaultParagraphFont"/>
    <w:uiPriority w:val="99"/>
    <w:semiHidden/>
    <w:unhideWhenUsed/>
    <w:rsid w:val="00BB75E7"/>
    <w:rPr>
      <w:color w:val="605E5C"/>
      <w:shd w:val="clear" w:color="auto" w:fill="E1DFDD"/>
    </w:rPr>
  </w:style>
  <w:style w:type="character" w:styleId="Emphasis">
    <w:name w:val="Emphasis"/>
    <w:basedOn w:val="DefaultParagraphFont"/>
    <w:uiPriority w:val="20"/>
    <w:qFormat/>
    <w:rsid w:val="00EC0D54"/>
    <w:rPr>
      <w:i/>
      <w:iCs/>
    </w:rPr>
  </w:style>
  <w:style w:type="character" w:customStyle="1" w:styleId="Heading2Char">
    <w:name w:val="Heading 2 Char"/>
    <w:basedOn w:val="DefaultParagraphFont"/>
    <w:link w:val="Heading2"/>
    <w:uiPriority w:val="9"/>
    <w:rsid w:val="00105F2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13773">
      <w:bodyDiv w:val="1"/>
      <w:marLeft w:val="0"/>
      <w:marRight w:val="0"/>
      <w:marTop w:val="0"/>
      <w:marBottom w:val="0"/>
      <w:divBdr>
        <w:top w:val="none" w:sz="0" w:space="0" w:color="auto"/>
        <w:left w:val="none" w:sz="0" w:space="0" w:color="auto"/>
        <w:bottom w:val="none" w:sz="0" w:space="0" w:color="auto"/>
        <w:right w:val="none" w:sz="0" w:space="0" w:color="auto"/>
      </w:divBdr>
    </w:div>
    <w:div w:id="215241760">
      <w:bodyDiv w:val="1"/>
      <w:marLeft w:val="0"/>
      <w:marRight w:val="0"/>
      <w:marTop w:val="0"/>
      <w:marBottom w:val="0"/>
      <w:divBdr>
        <w:top w:val="none" w:sz="0" w:space="0" w:color="auto"/>
        <w:left w:val="none" w:sz="0" w:space="0" w:color="auto"/>
        <w:bottom w:val="none" w:sz="0" w:space="0" w:color="auto"/>
        <w:right w:val="none" w:sz="0" w:space="0" w:color="auto"/>
      </w:divBdr>
      <w:divsChild>
        <w:div w:id="486165346">
          <w:marLeft w:val="-450"/>
          <w:marRight w:val="-450"/>
          <w:marTop w:val="450"/>
          <w:marBottom w:val="0"/>
          <w:divBdr>
            <w:top w:val="single" w:sz="6" w:space="0" w:color="DDDDDD"/>
            <w:left w:val="none" w:sz="0" w:space="0" w:color="auto"/>
            <w:bottom w:val="single" w:sz="6" w:space="0" w:color="DDDDDD"/>
            <w:right w:val="none" w:sz="0" w:space="0" w:color="auto"/>
          </w:divBdr>
          <w:divsChild>
            <w:div w:id="407464371">
              <w:marLeft w:val="0"/>
              <w:marRight w:val="0"/>
              <w:marTop w:val="0"/>
              <w:marBottom w:val="0"/>
              <w:divBdr>
                <w:top w:val="none" w:sz="0" w:space="0" w:color="auto"/>
                <w:left w:val="none" w:sz="0" w:space="0" w:color="auto"/>
                <w:bottom w:val="none" w:sz="0" w:space="0" w:color="auto"/>
                <w:right w:val="single" w:sz="6" w:space="0" w:color="DDDDDD"/>
              </w:divBdr>
              <w:divsChild>
                <w:div w:id="113757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426622">
      <w:bodyDiv w:val="1"/>
      <w:marLeft w:val="0"/>
      <w:marRight w:val="0"/>
      <w:marTop w:val="0"/>
      <w:marBottom w:val="0"/>
      <w:divBdr>
        <w:top w:val="none" w:sz="0" w:space="0" w:color="auto"/>
        <w:left w:val="none" w:sz="0" w:space="0" w:color="auto"/>
        <w:bottom w:val="none" w:sz="0" w:space="0" w:color="auto"/>
        <w:right w:val="none" w:sz="0" w:space="0" w:color="auto"/>
      </w:divBdr>
      <w:divsChild>
        <w:div w:id="88501493">
          <w:marLeft w:val="0"/>
          <w:marRight w:val="0"/>
          <w:marTop w:val="0"/>
          <w:marBottom w:val="120"/>
          <w:divBdr>
            <w:top w:val="none" w:sz="0" w:space="0" w:color="auto"/>
            <w:left w:val="none" w:sz="0" w:space="0" w:color="auto"/>
            <w:bottom w:val="none" w:sz="0" w:space="0" w:color="auto"/>
            <w:right w:val="none" w:sz="0" w:space="0" w:color="auto"/>
          </w:divBdr>
          <w:divsChild>
            <w:div w:id="1688209278">
              <w:marLeft w:val="0"/>
              <w:marRight w:val="0"/>
              <w:marTop w:val="0"/>
              <w:marBottom w:val="0"/>
              <w:divBdr>
                <w:top w:val="none" w:sz="0" w:space="0" w:color="auto"/>
                <w:left w:val="none" w:sz="0" w:space="0" w:color="auto"/>
                <w:bottom w:val="none" w:sz="0" w:space="0" w:color="auto"/>
                <w:right w:val="none" w:sz="0" w:space="0" w:color="auto"/>
              </w:divBdr>
              <w:divsChild>
                <w:div w:id="489827907">
                  <w:marLeft w:val="0"/>
                  <w:marRight w:val="0"/>
                  <w:marTop w:val="0"/>
                  <w:marBottom w:val="0"/>
                  <w:divBdr>
                    <w:top w:val="none" w:sz="0" w:space="0" w:color="auto"/>
                    <w:left w:val="none" w:sz="0" w:space="0" w:color="auto"/>
                    <w:bottom w:val="none" w:sz="0" w:space="0" w:color="auto"/>
                    <w:right w:val="none" w:sz="0" w:space="0" w:color="auto"/>
                  </w:divBdr>
                  <w:divsChild>
                    <w:div w:id="2621826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408120170">
      <w:bodyDiv w:val="1"/>
      <w:marLeft w:val="0"/>
      <w:marRight w:val="0"/>
      <w:marTop w:val="0"/>
      <w:marBottom w:val="0"/>
      <w:divBdr>
        <w:top w:val="none" w:sz="0" w:space="0" w:color="auto"/>
        <w:left w:val="none" w:sz="0" w:space="0" w:color="auto"/>
        <w:bottom w:val="none" w:sz="0" w:space="0" w:color="auto"/>
        <w:right w:val="none" w:sz="0" w:space="0" w:color="auto"/>
      </w:divBdr>
    </w:div>
    <w:div w:id="868223037">
      <w:bodyDiv w:val="1"/>
      <w:marLeft w:val="0"/>
      <w:marRight w:val="0"/>
      <w:marTop w:val="0"/>
      <w:marBottom w:val="0"/>
      <w:divBdr>
        <w:top w:val="none" w:sz="0" w:space="0" w:color="auto"/>
        <w:left w:val="none" w:sz="0" w:space="0" w:color="auto"/>
        <w:bottom w:val="none" w:sz="0" w:space="0" w:color="auto"/>
        <w:right w:val="none" w:sz="0" w:space="0" w:color="auto"/>
      </w:divBdr>
    </w:div>
    <w:div w:id="1000306624">
      <w:bodyDiv w:val="1"/>
      <w:marLeft w:val="0"/>
      <w:marRight w:val="0"/>
      <w:marTop w:val="0"/>
      <w:marBottom w:val="0"/>
      <w:divBdr>
        <w:top w:val="none" w:sz="0" w:space="0" w:color="auto"/>
        <w:left w:val="none" w:sz="0" w:space="0" w:color="auto"/>
        <w:bottom w:val="none" w:sz="0" w:space="0" w:color="auto"/>
        <w:right w:val="none" w:sz="0" w:space="0" w:color="auto"/>
      </w:divBdr>
      <w:divsChild>
        <w:div w:id="2113738782">
          <w:marLeft w:val="0"/>
          <w:marRight w:val="0"/>
          <w:marTop w:val="0"/>
          <w:marBottom w:val="0"/>
          <w:divBdr>
            <w:top w:val="none" w:sz="0" w:space="0" w:color="auto"/>
            <w:left w:val="none" w:sz="0" w:space="0" w:color="auto"/>
            <w:bottom w:val="none" w:sz="0" w:space="0" w:color="auto"/>
            <w:right w:val="none" w:sz="0" w:space="0" w:color="auto"/>
          </w:divBdr>
        </w:div>
      </w:divsChild>
    </w:div>
    <w:div w:id="1078138586">
      <w:bodyDiv w:val="1"/>
      <w:marLeft w:val="0"/>
      <w:marRight w:val="0"/>
      <w:marTop w:val="0"/>
      <w:marBottom w:val="0"/>
      <w:divBdr>
        <w:top w:val="none" w:sz="0" w:space="0" w:color="auto"/>
        <w:left w:val="none" w:sz="0" w:space="0" w:color="auto"/>
        <w:bottom w:val="none" w:sz="0" w:space="0" w:color="auto"/>
        <w:right w:val="none" w:sz="0" w:space="0" w:color="auto"/>
      </w:divBdr>
      <w:divsChild>
        <w:div w:id="2054426580">
          <w:marLeft w:val="0"/>
          <w:marRight w:val="0"/>
          <w:marTop w:val="0"/>
          <w:marBottom w:val="120"/>
          <w:divBdr>
            <w:top w:val="none" w:sz="0" w:space="0" w:color="auto"/>
            <w:left w:val="none" w:sz="0" w:space="0" w:color="auto"/>
            <w:bottom w:val="none" w:sz="0" w:space="0" w:color="auto"/>
            <w:right w:val="none" w:sz="0" w:space="0" w:color="auto"/>
          </w:divBdr>
          <w:divsChild>
            <w:div w:id="125785017">
              <w:marLeft w:val="0"/>
              <w:marRight w:val="0"/>
              <w:marTop w:val="0"/>
              <w:marBottom w:val="0"/>
              <w:divBdr>
                <w:top w:val="none" w:sz="0" w:space="0" w:color="auto"/>
                <w:left w:val="none" w:sz="0" w:space="0" w:color="auto"/>
                <w:bottom w:val="none" w:sz="0" w:space="0" w:color="auto"/>
                <w:right w:val="none" w:sz="0" w:space="0" w:color="auto"/>
              </w:divBdr>
              <w:divsChild>
                <w:div w:id="1758405051">
                  <w:marLeft w:val="0"/>
                  <w:marRight w:val="0"/>
                  <w:marTop w:val="0"/>
                  <w:marBottom w:val="0"/>
                  <w:divBdr>
                    <w:top w:val="none" w:sz="0" w:space="0" w:color="auto"/>
                    <w:left w:val="none" w:sz="0" w:space="0" w:color="auto"/>
                    <w:bottom w:val="none" w:sz="0" w:space="0" w:color="auto"/>
                    <w:right w:val="none" w:sz="0" w:space="0" w:color="auto"/>
                  </w:divBdr>
                  <w:divsChild>
                    <w:div w:id="596907796">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1448427581">
      <w:bodyDiv w:val="1"/>
      <w:marLeft w:val="0"/>
      <w:marRight w:val="0"/>
      <w:marTop w:val="0"/>
      <w:marBottom w:val="0"/>
      <w:divBdr>
        <w:top w:val="none" w:sz="0" w:space="0" w:color="auto"/>
        <w:left w:val="none" w:sz="0" w:space="0" w:color="auto"/>
        <w:bottom w:val="none" w:sz="0" w:space="0" w:color="auto"/>
        <w:right w:val="none" w:sz="0" w:space="0" w:color="auto"/>
      </w:divBdr>
    </w:div>
    <w:div w:id="1484084075">
      <w:bodyDiv w:val="1"/>
      <w:marLeft w:val="0"/>
      <w:marRight w:val="0"/>
      <w:marTop w:val="0"/>
      <w:marBottom w:val="0"/>
      <w:divBdr>
        <w:top w:val="none" w:sz="0" w:space="0" w:color="auto"/>
        <w:left w:val="none" w:sz="0" w:space="0" w:color="auto"/>
        <w:bottom w:val="none" w:sz="0" w:space="0" w:color="auto"/>
        <w:right w:val="none" w:sz="0" w:space="0" w:color="auto"/>
      </w:divBdr>
      <w:divsChild>
        <w:div w:id="774790840">
          <w:marLeft w:val="0"/>
          <w:marRight w:val="0"/>
          <w:marTop w:val="0"/>
          <w:marBottom w:val="0"/>
          <w:divBdr>
            <w:top w:val="none" w:sz="0" w:space="0" w:color="auto"/>
            <w:left w:val="none" w:sz="0" w:space="0" w:color="auto"/>
            <w:bottom w:val="none" w:sz="0" w:space="0" w:color="auto"/>
            <w:right w:val="none" w:sz="0" w:space="0" w:color="auto"/>
          </w:divBdr>
          <w:divsChild>
            <w:div w:id="2117826826">
              <w:marLeft w:val="0"/>
              <w:marRight w:val="0"/>
              <w:marTop w:val="0"/>
              <w:marBottom w:val="0"/>
              <w:divBdr>
                <w:top w:val="none" w:sz="0" w:space="0" w:color="auto"/>
                <w:left w:val="none" w:sz="0" w:space="0" w:color="auto"/>
                <w:bottom w:val="none" w:sz="0" w:space="0" w:color="auto"/>
                <w:right w:val="none" w:sz="0" w:space="0" w:color="auto"/>
              </w:divBdr>
              <w:divsChild>
                <w:div w:id="2137261757">
                  <w:marLeft w:val="0"/>
                  <w:marRight w:val="0"/>
                  <w:marTop w:val="0"/>
                  <w:marBottom w:val="0"/>
                  <w:divBdr>
                    <w:top w:val="none" w:sz="0" w:space="0" w:color="auto"/>
                    <w:left w:val="none" w:sz="0" w:space="0" w:color="auto"/>
                    <w:bottom w:val="none" w:sz="0" w:space="0" w:color="auto"/>
                    <w:right w:val="none" w:sz="0" w:space="0" w:color="auto"/>
                  </w:divBdr>
                  <w:divsChild>
                    <w:div w:id="158892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619253">
          <w:marLeft w:val="0"/>
          <w:marRight w:val="0"/>
          <w:marTop w:val="0"/>
          <w:marBottom w:val="0"/>
          <w:divBdr>
            <w:top w:val="none" w:sz="0" w:space="0" w:color="auto"/>
            <w:left w:val="none" w:sz="0" w:space="0" w:color="auto"/>
            <w:bottom w:val="none" w:sz="0" w:space="0" w:color="auto"/>
            <w:right w:val="none" w:sz="0" w:space="0" w:color="auto"/>
          </w:divBdr>
          <w:divsChild>
            <w:div w:id="1681001630">
              <w:marLeft w:val="0"/>
              <w:marRight w:val="0"/>
              <w:marTop w:val="0"/>
              <w:marBottom w:val="0"/>
              <w:divBdr>
                <w:top w:val="none" w:sz="0" w:space="0" w:color="auto"/>
                <w:left w:val="none" w:sz="0" w:space="0" w:color="auto"/>
                <w:bottom w:val="none" w:sz="0" w:space="0" w:color="auto"/>
                <w:right w:val="none" w:sz="0" w:space="0" w:color="auto"/>
              </w:divBdr>
            </w:div>
            <w:div w:id="12670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838300">
      <w:bodyDiv w:val="1"/>
      <w:marLeft w:val="0"/>
      <w:marRight w:val="0"/>
      <w:marTop w:val="0"/>
      <w:marBottom w:val="0"/>
      <w:divBdr>
        <w:top w:val="none" w:sz="0" w:space="0" w:color="auto"/>
        <w:left w:val="none" w:sz="0" w:space="0" w:color="auto"/>
        <w:bottom w:val="none" w:sz="0" w:space="0" w:color="auto"/>
        <w:right w:val="none" w:sz="0" w:space="0" w:color="auto"/>
      </w:divBdr>
      <w:divsChild>
        <w:div w:id="2003658709">
          <w:marLeft w:val="0"/>
          <w:marRight w:val="0"/>
          <w:marTop w:val="0"/>
          <w:marBottom w:val="0"/>
          <w:divBdr>
            <w:top w:val="single" w:sz="24" w:space="0" w:color="F0F0F0"/>
            <w:left w:val="single" w:sz="24" w:space="0" w:color="F0F0F0"/>
            <w:bottom w:val="single" w:sz="24" w:space="0" w:color="F0F0F0"/>
            <w:right w:val="single" w:sz="24" w:space="0" w:color="F0F0F0"/>
          </w:divBdr>
        </w:div>
        <w:div w:id="1655447783">
          <w:marLeft w:val="0"/>
          <w:marRight w:val="0"/>
          <w:marTop w:val="0"/>
          <w:marBottom w:val="0"/>
          <w:divBdr>
            <w:top w:val="single" w:sz="24" w:space="0" w:color="F0F0F0"/>
            <w:left w:val="single" w:sz="24" w:space="0" w:color="F0F0F0"/>
            <w:bottom w:val="single" w:sz="24" w:space="0" w:color="F0F0F0"/>
            <w:right w:val="single" w:sz="24" w:space="0" w:color="F0F0F0"/>
          </w:divBdr>
          <w:divsChild>
            <w:div w:id="1582910992">
              <w:marLeft w:val="0"/>
              <w:marRight w:val="0"/>
              <w:marTop w:val="0"/>
              <w:marBottom w:val="0"/>
              <w:divBdr>
                <w:top w:val="none" w:sz="0" w:space="0" w:color="auto"/>
                <w:left w:val="none" w:sz="0" w:space="0" w:color="auto"/>
                <w:bottom w:val="none" w:sz="0" w:space="0" w:color="auto"/>
                <w:right w:val="none" w:sz="0" w:space="0" w:color="auto"/>
              </w:divBdr>
              <w:divsChild>
                <w:div w:id="454448518">
                  <w:marLeft w:val="0"/>
                  <w:marRight w:val="0"/>
                  <w:marTop w:val="0"/>
                  <w:marBottom w:val="0"/>
                  <w:divBdr>
                    <w:top w:val="none" w:sz="0" w:space="0" w:color="auto"/>
                    <w:left w:val="none" w:sz="0" w:space="0" w:color="auto"/>
                    <w:bottom w:val="none" w:sz="0" w:space="0" w:color="auto"/>
                    <w:right w:val="none" w:sz="0" w:space="0" w:color="auto"/>
                  </w:divBdr>
                </w:div>
                <w:div w:id="883980699">
                  <w:marLeft w:val="0"/>
                  <w:marRight w:val="0"/>
                  <w:marTop w:val="0"/>
                  <w:marBottom w:val="0"/>
                  <w:divBdr>
                    <w:top w:val="none" w:sz="0" w:space="0" w:color="auto"/>
                    <w:left w:val="none" w:sz="0" w:space="0" w:color="auto"/>
                    <w:bottom w:val="none" w:sz="0" w:space="0" w:color="auto"/>
                    <w:right w:val="none" w:sz="0" w:space="0" w:color="auto"/>
                  </w:divBdr>
                </w:div>
                <w:div w:id="189250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091421">
          <w:marLeft w:val="0"/>
          <w:marRight w:val="0"/>
          <w:marTop w:val="0"/>
          <w:marBottom w:val="0"/>
          <w:divBdr>
            <w:top w:val="single" w:sz="24" w:space="0" w:color="F0F0F0"/>
            <w:left w:val="single" w:sz="24" w:space="0" w:color="F0F0F0"/>
            <w:bottom w:val="single" w:sz="24" w:space="0" w:color="F0F0F0"/>
            <w:right w:val="single" w:sz="24" w:space="0" w:color="F0F0F0"/>
          </w:divBdr>
          <w:divsChild>
            <w:div w:id="133033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377909">
      <w:bodyDiv w:val="1"/>
      <w:marLeft w:val="0"/>
      <w:marRight w:val="0"/>
      <w:marTop w:val="0"/>
      <w:marBottom w:val="0"/>
      <w:divBdr>
        <w:top w:val="none" w:sz="0" w:space="0" w:color="auto"/>
        <w:left w:val="none" w:sz="0" w:space="0" w:color="auto"/>
        <w:bottom w:val="none" w:sz="0" w:space="0" w:color="auto"/>
        <w:right w:val="none" w:sz="0" w:space="0" w:color="auto"/>
      </w:divBdr>
      <w:divsChild>
        <w:div w:id="893588654">
          <w:marLeft w:val="0"/>
          <w:marRight w:val="0"/>
          <w:marTop w:val="0"/>
          <w:marBottom w:val="0"/>
          <w:divBdr>
            <w:top w:val="none" w:sz="0" w:space="0" w:color="auto"/>
            <w:left w:val="none" w:sz="0" w:space="0" w:color="auto"/>
            <w:bottom w:val="none" w:sz="0" w:space="0" w:color="auto"/>
            <w:right w:val="none" w:sz="0" w:space="0" w:color="auto"/>
          </w:divBdr>
        </w:div>
      </w:divsChild>
    </w:div>
    <w:div w:id="1918902707">
      <w:bodyDiv w:val="1"/>
      <w:marLeft w:val="0"/>
      <w:marRight w:val="0"/>
      <w:marTop w:val="0"/>
      <w:marBottom w:val="0"/>
      <w:divBdr>
        <w:top w:val="none" w:sz="0" w:space="0" w:color="auto"/>
        <w:left w:val="none" w:sz="0" w:space="0" w:color="auto"/>
        <w:bottom w:val="none" w:sz="0" w:space="0" w:color="auto"/>
        <w:right w:val="none" w:sz="0" w:space="0" w:color="auto"/>
      </w:divBdr>
      <w:divsChild>
        <w:div w:id="240676211">
          <w:marLeft w:val="0"/>
          <w:marRight w:val="0"/>
          <w:marTop w:val="0"/>
          <w:marBottom w:val="0"/>
          <w:divBdr>
            <w:top w:val="none" w:sz="0" w:space="0" w:color="auto"/>
            <w:left w:val="none" w:sz="0" w:space="0" w:color="auto"/>
            <w:bottom w:val="none" w:sz="0" w:space="0" w:color="auto"/>
            <w:right w:val="none" w:sz="0" w:space="0" w:color="auto"/>
          </w:divBdr>
          <w:divsChild>
            <w:div w:id="255940771">
              <w:marLeft w:val="0"/>
              <w:marRight w:val="150"/>
              <w:marTop w:val="0"/>
              <w:marBottom w:val="90"/>
              <w:divBdr>
                <w:top w:val="none" w:sz="0" w:space="0" w:color="auto"/>
                <w:left w:val="none" w:sz="0" w:space="0" w:color="auto"/>
                <w:bottom w:val="none" w:sz="0" w:space="0" w:color="auto"/>
                <w:right w:val="none" w:sz="0" w:space="0" w:color="auto"/>
              </w:divBdr>
              <w:divsChild>
                <w:div w:id="1569918216">
                  <w:marLeft w:val="0"/>
                  <w:marRight w:val="0"/>
                  <w:marTop w:val="0"/>
                  <w:marBottom w:val="60"/>
                  <w:divBdr>
                    <w:top w:val="none" w:sz="0" w:space="0" w:color="auto"/>
                    <w:left w:val="none" w:sz="0" w:space="0" w:color="auto"/>
                    <w:bottom w:val="none" w:sz="0" w:space="0" w:color="auto"/>
                    <w:right w:val="none" w:sz="0" w:space="0" w:color="auto"/>
                  </w:divBdr>
                  <w:divsChild>
                    <w:div w:id="1495954903">
                      <w:marLeft w:val="0"/>
                      <w:marRight w:val="0"/>
                      <w:marTop w:val="75"/>
                      <w:marBottom w:val="0"/>
                      <w:divBdr>
                        <w:top w:val="none" w:sz="0" w:space="0" w:color="auto"/>
                        <w:left w:val="none" w:sz="0" w:space="0" w:color="auto"/>
                        <w:bottom w:val="none" w:sz="0" w:space="0" w:color="auto"/>
                        <w:right w:val="none" w:sz="0" w:space="0" w:color="auto"/>
                      </w:divBdr>
                      <w:divsChild>
                        <w:div w:id="746611456">
                          <w:marLeft w:val="0"/>
                          <w:marRight w:val="120"/>
                          <w:marTop w:val="0"/>
                          <w:marBottom w:val="0"/>
                          <w:divBdr>
                            <w:top w:val="none" w:sz="0" w:space="0" w:color="auto"/>
                            <w:left w:val="none" w:sz="0" w:space="0" w:color="auto"/>
                            <w:bottom w:val="none" w:sz="0" w:space="0" w:color="auto"/>
                            <w:right w:val="none" w:sz="0" w:space="0" w:color="auto"/>
                          </w:divBdr>
                        </w:div>
                        <w:div w:id="59548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062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944654034">
      <w:bodyDiv w:val="1"/>
      <w:marLeft w:val="0"/>
      <w:marRight w:val="0"/>
      <w:marTop w:val="0"/>
      <w:marBottom w:val="0"/>
      <w:divBdr>
        <w:top w:val="none" w:sz="0" w:space="0" w:color="auto"/>
        <w:left w:val="none" w:sz="0" w:space="0" w:color="auto"/>
        <w:bottom w:val="none" w:sz="0" w:space="0" w:color="auto"/>
        <w:right w:val="none" w:sz="0" w:space="0" w:color="auto"/>
      </w:divBdr>
      <w:divsChild>
        <w:div w:id="412702613">
          <w:marLeft w:val="0"/>
          <w:marRight w:val="300"/>
          <w:marTop w:val="0"/>
          <w:marBottom w:val="0"/>
          <w:divBdr>
            <w:top w:val="none" w:sz="0" w:space="0" w:color="auto"/>
            <w:left w:val="none" w:sz="0" w:space="0" w:color="auto"/>
            <w:bottom w:val="none" w:sz="0" w:space="0" w:color="auto"/>
            <w:right w:val="none" w:sz="0" w:space="0" w:color="auto"/>
          </w:divBdr>
          <w:divsChild>
            <w:div w:id="1876697943">
              <w:marLeft w:val="0"/>
              <w:marRight w:val="0"/>
              <w:marTop w:val="0"/>
              <w:marBottom w:val="0"/>
              <w:divBdr>
                <w:top w:val="none" w:sz="0" w:space="0" w:color="auto"/>
                <w:left w:val="none" w:sz="0" w:space="0" w:color="auto"/>
                <w:bottom w:val="none" w:sz="0" w:space="0" w:color="auto"/>
                <w:right w:val="none" w:sz="0" w:space="0" w:color="auto"/>
              </w:divBdr>
              <w:divsChild>
                <w:div w:id="952440576">
                  <w:marLeft w:val="0"/>
                  <w:marRight w:val="0"/>
                  <w:marTop w:val="0"/>
                  <w:marBottom w:val="0"/>
                  <w:divBdr>
                    <w:top w:val="none" w:sz="0" w:space="0" w:color="auto"/>
                    <w:left w:val="none" w:sz="0" w:space="0" w:color="auto"/>
                    <w:bottom w:val="none" w:sz="0" w:space="0" w:color="auto"/>
                    <w:right w:val="none" w:sz="0" w:space="0" w:color="auto"/>
                  </w:divBdr>
                  <w:divsChild>
                    <w:div w:id="18821951">
                      <w:marLeft w:val="0"/>
                      <w:marRight w:val="0"/>
                      <w:marTop w:val="150"/>
                      <w:marBottom w:val="150"/>
                      <w:divBdr>
                        <w:top w:val="none" w:sz="0" w:space="0" w:color="auto"/>
                        <w:left w:val="none" w:sz="0" w:space="0" w:color="auto"/>
                        <w:bottom w:val="none" w:sz="0" w:space="0" w:color="auto"/>
                        <w:right w:val="none" w:sz="0" w:space="0" w:color="auto"/>
                      </w:divBdr>
                      <w:divsChild>
                        <w:div w:id="962420863">
                          <w:marLeft w:val="0"/>
                          <w:marRight w:val="0"/>
                          <w:marTop w:val="0"/>
                          <w:marBottom w:val="0"/>
                          <w:divBdr>
                            <w:top w:val="none" w:sz="0" w:space="0" w:color="auto"/>
                            <w:left w:val="none" w:sz="0" w:space="0" w:color="auto"/>
                            <w:bottom w:val="none" w:sz="0" w:space="0" w:color="auto"/>
                            <w:right w:val="none" w:sz="0" w:space="0" w:color="auto"/>
                          </w:divBdr>
                          <w:divsChild>
                            <w:div w:id="224604238">
                              <w:marLeft w:val="0"/>
                              <w:marRight w:val="0"/>
                              <w:marTop w:val="0"/>
                              <w:marBottom w:val="0"/>
                              <w:divBdr>
                                <w:top w:val="none" w:sz="0" w:space="0" w:color="auto"/>
                                <w:left w:val="none" w:sz="0" w:space="0" w:color="auto"/>
                                <w:bottom w:val="none" w:sz="0" w:space="0" w:color="auto"/>
                                <w:right w:val="none" w:sz="0" w:space="0" w:color="auto"/>
                              </w:divBdr>
                              <w:divsChild>
                                <w:div w:id="1303846300">
                                  <w:marLeft w:val="0"/>
                                  <w:marRight w:val="0"/>
                                  <w:marTop w:val="0"/>
                                  <w:marBottom w:val="0"/>
                                  <w:divBdr>
                                    <w:top w:val="none" w:sz="0" w:space="0" w:color="auto"/>
                                    <w:left w:val="none" w:sz="0" w:space="0" w:color="auto"/>
                                    <w:bottom w:val="none" w:sz="0" w:space="0" w:color="auto"/>
                                    <w:right w:val="none" w:sz="0" w:space="0" w:color="auto"/>
                                  </w:divBdr>
                                  <w:divsChild>
                                    <w:div w:id="32127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085747">
                          <w:marLeft w:val="0"/>
                          <w:marRight w:val="0"/>
                          <w:marTop w:val="225"/>
                          <w:marBottom w:val="0"/>
                          <w:divBdr>
                            <w:top w:val="none" w:sz="0" w:space="0" w:color="auto"/>
                            <w:left w:val="none" w:sz="0" w:space="0" w:color="auto"/>
                            <w:bottom w:val="none" w:sz="0" w:space="0" w:color="auto"/>
                            <w:right w:val="none" w:sz="0" w:space="0" w:color="auto"/>
                          </w:divBdr>
                        </w:div>
                      </w:divsChild>
                    </w:div>
                    <w:div w:id="1765492966">
                      <w:marLeft w:val="0"/>
                      <w:marRight w:val="0"/>
                      <w:marTop w:val="60"/>
                      <w:marBottom w:val="60"/>
                      <w:divBdr>
                        <w:top w:val="none" w:sz="0" w:space="0" w:color="auto"/>
                        <w:left w:val="none" w:sz="0" w:space="0" w:color="auto"/>
                        <w:bottom w:val="none" w:sz="0" w:space="0" w:color="auto"/>
                        <w:right w:val="none" w:sz="0" w:space="0" w:color="auto"/>
                      </w:divBdr>
                      <w:divsChild>
                        <w:div w:id="265431402">
                          <w:marLeft w:val="0"/>
                          <w:marRight w:val="78"/>
                          <w:marTop w:val="0"/>
                          <w:marBottom w:val="60"/>
                          <w:divBdr>
                            <w:top w:val="none" w:sz="0" w:space="0" w:color="auto"/>
                            <w:left w:val="none" w:sz="0" w:space="0" w:color="auto"/>
                            <w:bottom w:val="none" w:sz="0" w:space="0" w:color="auto"/>
                            <w:right w:val="none" w:sz="0" w:space="0" w:color="auto"/>
                          </w:divBdr>
                        </w:div>
                      </w:divsChild>
                    </w:div>
                  </w:divsChild>
                </w:div>
              </w:divsChild>
            </w:div>
            <w:div w:id="644747743">
              <w:marLeft w:val="0"/>
              <w:marRight w:val="0"/>
              <w:marTop w:val="0"/>
              <w:marBottom w:val="0"/>
              <w:divBdr>
                <w:top w:val="none" w:sz="0" w:space="0" w:color="auto"/>
                <w:left w:val="none" w:sz="0" w:space="0" w:color="auto"/>
                <w:bottom w:val="none" w:sz="0" w:space="0" w:color="auto"/>
                <w:right w:val="none" w:sz="0" w:space="0" w:color="auto"/>
              </w:divBdr>
              <w:divsChild>
                <w:div w:id="531846461">
                  <w:marLeft w:val="0"/>
                  <w:marRight w:val="0"/>
                  <w:marTop w:val="0"/>
                  <w:marBottom w:val="0"/>
                  <w:divBdr>
                    <w:top w:val="none" w:sz="0" w:space="0" w:color="auto"/>
                    <w:left w:val="none" w:sz="0" w:space="0" w:color="auto"/>
                    <w:bottom w:val="none" w:sz="0" w:space="0" w:color="auto"/>
                    <w:right w:val="none" w:sz="0" w:space="0" w:color="auto"/>
                  </w:divBdr>
                  <w:divsChild>
                    <w:div w:id="736364482">
                      <w:marLeft w:val="0"/>
                      <w:marRight w:val="0"/>
                      <w:marTop w:val="0"/>
                      <w:marBottom w:val="0"/>
                      <w:divBdr>
                        <w:top w:val="none" w:sz="0" w:space="0" w:color="auto"/>
                        <w:left w:val="none" w:sz="0" w:space="0" w:color="auto"/>
                        <w:bottom w:val="none" w:sz="0" w:space="0" w:color="auto"/>
                        <w:right w:val="none" w:sz="0" w:space="0" w:color="auto"/>
                      </w:divBdr>
                      <w:divsChild>
                        <w:div w:id="818499982">
                          <w:marLeft w:val="0"/>
                          <w:marRight w:val="0"/>
                          <w:marTop w:val="240"/>
                          <w:marBottom w:val="120"/>
                          <w:divBdr>
                            <w:top w:val="none" w:sz="0" w:space="0" w:color="auto"/>
                            <w:left w:val="none" w:sz="0" w:space="0" w:color="auto"/>
                            <w:bottom w:val="none" w:sz="0" w:space="0" w:color="auto"/>
                            <w:right w:val="none" w:sz="0" w:space="0" w:color="auto"/>
                          </w:divBdr>
                          <w:divsChild>
                            <w:div w:id="1056052352">
                              <w:marLeft w:val="0"/>
                              <w:marRight w:val="78"/>
                              <w:marTop w:val="0"/>
                              <w:marBottom w:val="0"/>
                              <w:divBdr>
                                <w:top w:val="none" w:sz="0" w:space="0" w:color="auto"/>
                                <w:left w:val="none" w:sz="0" w:space="0" w:color="auto"/>
                                <w:bottom w:val="none" w:sz="0" w:space="0" w:color="auto"/>
                                <w:right w:val="none" w:sz="0" w:space="0" w:color="auto"/>
                              </w:divBdr>
                              <w:divsChild>
                                <w:div w:id="1331445499">
                                  <w:marLeft w:val="0"/>
                                  <w:marRight w:val="0"/>
                                  <w:marTop w:val="0"/>
                                  <w:marBottom w:val="0"/>
                                  <w:divBdr>
                                    <w:top w:val="none" w:sz="0" w:space="0" w:color="auto"/>
                                    <w:left w:val="none" w:sz="0" w:space="0" w:color="auto"/>
                                    <w:bottom w:val="none" w:sz="0" w:space="0" w:color="auto"/>
                                    <w:right w:val="none" w:sz="0" w:space="0" w:color="auto"/>
                                  </w:divBdr>
                                </w:div>
                              </w:divsChild>
                            </w:div>
                            <w:div w:id="126358967">
                              <w:marLeft w:val="0"/>
                              <w:marRight w:val="78"/>
                              <w:marTop w:val="0"/>
                              <w:marBottom w:val="0"/>
                              <w:divBdr>
                                <w:top w:val="none" w:sz="0" w:space="0" w:color="auto"/>
                                <w:left w:val="none" w:sz="0" w:space="0" w:color="auto"/>
                                <w:bottom w:val="none" w:sz="0" w:space="0" w:color="auto"/>
                                <w:right w:val="none" w:sz="0" w:space="0" w:color="auto"/>
                              </w:divBdr>
                            </w:div>
                            <w:div w:id="667247651">
                              <w:marLeft w:val="0"/>
                              <w:marRight w:val="0"/>
                              <w:marTop w:val="0"/>
                              <w:marBottom w:val="0"/>
                              <w:divBdr>
                                <w:top w:val="none" w:sz="0" w:space="0" w:color="auto"/>
                                <w:left w:val="none" w:sz="0" w:space="0" w:color="auto"/>
                                <w:bottom w:val="none" w:sz="0" w:space="0" w:color="auto"/>
                                <w:right w:val="none" w:sz="0" w:space="0" w:color="auto"/>
                              </w:divBdr>
                            </w:div>
                          </w:divsChild>
                        </w:div>
                        <w:div w:id="1718310519">
                          <w:marLeft w:val="0"/>
                          <w:marRight w:val="0"/>
                          <w:marTop w:val="240"/>
                          <w:marBottom w:val="120"/>
                          <w:divBdr>
                            <w:top w:val="none" w:sz="0" w:space="0" w:color="auto"/>
                            <w:left w:val="none" w:sz="0" w:space="0" w:color="auto"/>
                            <w:bottom w:val="none" w:sz="0" w:space="0" w:color="auto"/>
                            <w:right w:val="none" w:sz="0" w:space="0" w:color="auto"/>
                          </w:divBdr>
                          <w:divsChild>
                            <w:div w:id="1105073523">
                              <w:marLeft w:val="0"/>
                              <w:marRight w:val="78"/>
                              <w:marTop w:val="0"/>
                              <w:marBottom w:val="0"/>
                              <w:divBdr>
                                <w:top w:val="none" w:sz="0" w:space="0" w:color="auto"/>
                                <w:left w:val="none" w:sz="0" w:space="0" w:color="auto"/>
                                <w:bottom w:val="none" w:sz="0" w:space="0" w:color="auto"/>
                                <w:right w:val="none" w:sz="0" w:space="0" w:color="auto"/>
                              </w:divBdr>
                              <w:divsChild>
                                <w:div w:id="1588341761">
                                  <w:marLeft w:val="0"/>
                                  <w:marRight w:val="0"/>
                                  <w:marTop w:val="0"/>
                                  <w:marBottom w:val="0"/>
                                  <w:divBdr>
                                    <w:top w:val="none" w:sz="0" w:space="0" w:color="auto"/>
                                    <w:left w:val="none" w:sz="0" w:space="0" w:color="auto"/>
                                    <w:bottom w:val="none" w:sz="0" w:space="0" w:color="auto"/>
                                    <w:right w:val="none" w:sz="0" w:space="0" w:color="auto"/>
                                  </w:divBdr>
                                </w:div>
                              </w:divsChild>
                            </w:div>
                            <w:div w:id="2084136662">
                              <w:marLeft w:val="0"/>
                              <w:marRight w:val="78"/>
                              <w:marTop w:val="0"/>
                              <w:marBottom w:val="0"/>
                              <w:divBdr>
                                <w:top w:val="none" w:sz="0" w:space="0" w:color="auto"/>
                                <w:left w:val="none" w:sz="0" w:space="0" w:color="auto"/>
                                <w:bottom w:val="none" w:sz="0" w:space="0" w:color="auto"/>
                                <w:right w:val="none" w:sz="0" w:space="0" w:color="auto"/>
                              </w:divBdr>
                            </w:div>
                            <w:div w:id="129526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7205390">
          <w:marLeft w:val="4650"/>
          <w:marRight w:val="4800"/>
          <w:marTop w:val="0"/>
          <w:marBottom w:val="0"/>
          <w:divBdr>
            <w:top w:val="none" w:sz="0" w:space="0" w:color="auto"/>
            <w:left w:val="none" w:sz="0" w:space="0" w:color="auto"/>
            <w:bottom w:val="none" w:sz="0" w:space="0" w:color="auto"/>
            <w:right w:val="none" w:sz="0" w:space="0" w:color="auto"/>
          </w:divBdr>
          <w:divsChild>
            <w:div w:id="1402562449">
              <w:marLeft w:val="0"/>
              <w:marRight w:val="0"/>
              <w:marTop w:val="0"/>
              <w:marBottom w:val="0"/>
              <w:divBdr>
                <w:top w:val="none" w:sz="0" w:space="0" w:color="auto"/>
                <w:left w:val="none" w:sz="0" w:space="0" w:color="auto"/>
                <w:bottom w:val="none" w:sz="0" w:space="0" w:color="auto"/>
                <w:right w:val="none" w:sz="0" w:space="0" w:color="auto"/>
              </w:divBdr>
              <w:divsChild>
                <w:div w:id="459494108">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1987658409">
      <w:bodyDiv w:val="1"/>
      <w:marLeft w:val="0"/>
      <w:marRight w:val="0"/>
      <w:marTop w:val="0"/>
      <w:marBottom w:val="0"/>
      <w:divBdr>
        <w:top w:val="none" w:sz="0" w:space="0" w:color="auto"/>
        <w:left w:val="none" w:sz="0" w:space="0" w:color="auto"/>
        <w:bottom w:val="none" w:sz="0" w:space="0" w:color="auto"/>
        <w:right w:val="none" w:sz="0" w:space="0" w:color="auto"/>
      </w:divBdr>
    </w:div>
    <w:div w:id="2028408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publication/issn/1087-8572" TargetMode="External"/><Relationship Id="rId21" Type="http://schemas.openxmlformats.org/officeDocument/2006/relationships/hyperlink" Target="https://www.emerald.com/insight/search?q=Jacob%20Dencik" TargetMode="External"/><Relationship Id="rId34" Type="http://schemas.openxmlformats.org/officeDocument/2006/relationships/hyperlink" Target="https://doi.org/10.1177/21582440211047576" TargetMode="External"/><Relationship Id="rId42" Type="http://schemas.openxmlformats.org/officeDocument/2006/relationships/hyperlink" Target="https://doi.org/10.1145/3514097.3514104" TargetMode="External"/><Relationship Id="rId47" Type="http://schemas.openxmlformats.org/officeDocument/2006/relationships/hyperlink" Target="https://books.google.co.uk/books?hl=en&amp;lr=&amp;id=nizZDwAAQBAJ&amp;oi=fnd&amp;pg=PT13&amp;dq=leaders+and+digital+opportunities&amp;ots=f77XaZeJSu&amp;sig=ynbiaNBOorTBjqGs6rhdi0hzfyw#v=onepage&amp;q=leaders%20and%20digital%20opportunities&amp;f=false" TargetMode="External"/><Relationship Id="rId50" Type="http://schemas.openxmlformats.org/officeDocument/2006/relationships/hyperlink" Target="https://www.hbsp.harvard.edu/product/10292-HBK-ENG" TargetMode="External"/><Relationship Id="rId55" Type="http://schemas.openxmlformats.org/officeDocument/2006/relationships/hyperlink" Target="https://www.emerald.com/insight/publication/issn/1087-8572" TargetMode="External"/><Relationship Id="rId63" Type="http://schemas.openxmlformats.org/officeDocument/2006/relationships/hyperlink" Target="https://doi.org/10.1002/jls.21827"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emerald.com/insight/search?q=Wolfgang%20Schnellb%C3%A4cher" TargetMode="External"/><Relationship Id="rId29" Type="http://schemas.openxmlformats.org/officeDocument/2006/relationships/hyperlink" Target="https://www.sciencedirect.com/journal/international-journal-of-information-management/vol/55/suppl/C" TargetMode="External"/><Relationship Id="rId11" Type="http://schemas.openxmlformats.org/officeDocument/2006/relationships/hyperlink" Target="https://doi.org/10.1108/SL-04-2022-0036" TargetMode="External"/><Relationship Id="rId24" Type="http://schemas.openxmlformats.org/officeDocument/2006/relationships/hyperlink" Target="https://doi.org/10.1108/SL-06-2022-0066" TargetMode="External"/><Relationship Id="rId32" Type="http://schemas.openxmlformats.org/officeDocument/2006/relationships/hyperlink" Target="https://openaccess.city.ac.uk/id/eprint/18730/1/" TargetMode="External"/><Relationship Id="rId37" Type="http://schemas.openxmlformats.org/officeDocument/2006/relationships/hyperlink" Target="https://www.emerald.com/insight/publication/issn/0144-3577" TargetMode="External"/><Relationship Id="rId40" Type="http://schemas.openxmlformats.org/officeDocument/2006/relationships/hyperlink" Target="https://dl.acm.org/toc/sigmis/2022/53/1" TargetMode="External"/><Relationship Id="rId45" Type="http://schemas.openxmlformats.org/officeDocument/2006/relationships/hyperlink" Target="https://books.google.co.uk/books?id=nizZDwAAQBAJ&amp;dq=leaders+and+digital+opportunities&amp;lr=&amp;sitesec=reviews" TargetMode="External"/><Relationship Id="rId53" Type="http://schemas.openxmlformats.org/officeDocument/2006/relationships/hyperlink" Target="https://doi.org/10.1177/17427150221148845" TargetMode="External"/><Relationship Id="rId58" Type="http://schemas.openxmlformats.org/officeDocument/2006/relationships/hyperlink" Target="https://www.emerald.com/insight/search?q=Jacob%20Dencik" TargetMode="External"/><Relationship Id="rId5" Type="http://schemas.openxmlformats.org/officeDocument/2006/relationships/hyperlink" Target="https://www.sciencedirect.com/journal/journal-of-manufacturing-systems" TargetMode="External"/><Relationship Id="rId61" Type="http://schemas.openxmlformats.org/officeDocument/2006/relationships/hyperlink" Target="https://www.emerald.com/insight/publication/issn/1087-8572" TargetMode="External"/><Relationship Id="rId19" Type="http://schemas.openxmlformats.org/officeDocument/2006/relationships/hyperlink" Target="https://www.emerald.com/insight/publication/issn/1087-8572" TargetMode="External"/><Relationship Id="rId14" Type="http://schemas.openxmlformats.org/officeDocument/2006/relationships/hyperlink" Target="https://doi.org/10.1108/SL-11-2022-238" TargetMode="External"/><Relationship Id="rId22" Type="http://schemas.openxmlformats.org/officeDocument/2006/relationships/hyperlink" Target="https://www.emerald.com/insight/search?q=Anthony%20Marshall" TargetMode="External"/><Relationship Id="rId27" Type="http://schemas.openxmlformats.org/officeDocument/2006/relationships/hyperlink" Target="https://doi.org/10.1108/SL-12-2017-0126" TargetMode="External"/><Relationship Id="rId30" Type="http://schemas.openxmlformats.org/officeDocument/2006/relationships/hyperlink" Target="https://doi.org/10.1080/08956308.2019.1661079" TargetMode="External"/><Relationship Id="rId35" Type="http://schemas.openxmlformats.org/officeDocument/2006/relationships/hyperlink" Target="https://doi.org/10.15295/bmij.v8i1.1441" TargetMode="External"/><Relationship Id="rId43" Type="http://schemas.openxmlformats.org/officeDocument/2006/relationships/hyperlink" Target="https://books.google.co.uk/books?id=nizZDwAAQBAJ&amp;printsec=frontcover" TargetMode="External"/><Relationship Id="rId48" Type="http://schemas.openxmlformats.org/officeDocument/2006/relationships/image" Target="media/image5.jpeg"/><Relationship Id="rId56" Type="http://schemas.openxmlformats.org/officeDocument/2006/relationships/hyperlink" Target="https://doi.org/10.1108/SL-11-2022-238" TargetMode="External"/><Relationship Id="rId64"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www.gartner.com/en/publications/the-real-business-of-blockchain" TargetMode="External"/><Relationship Id="rId3" Type="http://schemas.openxmlformats.org/officeDocument/2006/relationships/settings" Target="settings.xml"/><Relationship Id="rId12" Type="http://schemas.openxmlformats.org/officeDocument/2006/relationships/hyperlink" Target="https://www.emerald.com/insight/search?q=Robert%20Chapman%20Wood" TargetMode="External"/><Relationship Id="rId17" Type="http://schemas.openxmlformats.org/officeDocument/2006/relationships/hyperlink" Target="https://www.emerald.com/insight/search?q=Alenka%20Triplat" TargetMode="External"/><Relationship Id="rId25" Type="http://schemas.openxmlformats.org/officeDocument/2006/relationships/hyperlink" Target="https://www.emerald.com/insight/search?q=Haydn%20Shaughnessy" TargetMode="External"/><Relationship Id="rId33" Type="http://schemas.openxmlformats.org/officeDocument/2006/relationships/hyperlink" Target="https://doi.org/10.1177/1536504219865226" TargetMode="External"/><Relationship Id="rId38" Type="http://schemas.openxmlformats.org/officeDocument/2006/relationships/hyperlink" Target="https://doi.org/10.1108/IJOPM-04-2020-0202" TargetMode="External"/><Relationship Id="rId46" Type="http://schemas.openxmlformats.org/officeDocument/2006/relationships/hyperlink" Target="https://books.google.co.uk/books?op=lookup&amp;id=nizZDwAAQBAJ&amp;continue=https://books.google.co.uk/books%3Fhl%3Den%26lr%3D%26id%3DnizZDwAAQBAJ%26oi%3Dfnd%26pg%3DPT13%26dq%3Dleaders%2Band%2Bdigital%2Bopportunities%26ots%3Df77XaZeJSu%26sig%3DynbiaNBOorTBjqGs6rhdi0hzfyw" TargetMode="External"/><Relationship Id="rId59" Type="http://schemas.openxmlformats.org/officeDocument/2006/relationships/hyperlink" Target="https://www.emerald.com/insight/search?q=Anthony%20Marshall" TargetMode="External"/><Relationship Id="rId20" Type="http://schemas.openxmlformats.org/officeDocument/2006/relationships/hyperlink" Target="https://doi.org/10.1108/SL-04-2022-0038" TargetMode="External"/><Relationship Id="rId41" Type="http://schemas.openxmlformats.org/officeDocument/2006/relationships/hyperlink" Target="https://dl.acm.org/toc/sigmis/2022/53/1" TargetMode="External"/><Relationship Id="rId54" Type="http://schemas.openxmlformats.org/officeDocument/2006/relationships/hyperlink" Target="https://www.emerald.com/insight/search?q=Robert%20Chapman%20Wood" TargetMode="External"/><Relationship Id="rId62" Type="http://schemas.openxmlformats.org/officeDocument/2006/relationships/hyperlink" Target="https://doi.org/10.1108/SL-08-2022-0082" TargetMode="External"/><Relationship Id="rId1" Type="http://schemas.openxmlformats.org/officeDocument/2006/relationships/numbering" Target="numbering.xml"/><Relationship Id="rId6" Type="http://schemas.openxmlformats.org/officeDocument/2006/relationships/hyperlink" Target="https://www.sciencedirect.com/journal/journal-of-manufacturing-systems/vol/60/suppl/C" TargetMode="External"/><Relationship Id="rId15" Type="http://schemas.openxmlformats.org/officeDocument/2006/relationships/hyperlink" Target="https://www.emerald.com/insight/search?q=Christian%20Schuh" TargetMode="External"/><Relationship Id="rId23" Type="http://schemas.openxmlformats.org/officeDocument/2006/relationships/hyperlink" Target="https://www.emerald.com/insight/publication/issn/1087-8572" TargetMode="External"/><Relationship Id="rId28" Type="http://schemas.openxmlformats.org/officeDocument/2006/relationships/hyperlink" Target="https://www.sciencedirect.com/journal/international-journal-of-information-management" TargetMode="External"/><Relationship Id="rId36" Type="http://schemas.openxmlformats.org/officeDocument/2006/relationships/hyperlink" Target="https://www.emerald.com/insight/search?q=Feng%20Li" TargetMode="External"/><Relationship Id="rId49" Type="http://schemas.openxmlformats.org/officeDocument/2006/relationships/hyperlink" Target="https://books.google.co.uk/books?id=obCPDwAAQBAJ&amp;pg=PT125&amp;source=gbs_selected_pages&amp;cad=2#v=onepage&amp;q&amp;f=false" TargetMode="External"/><Relationship Id="rId57" Type="http://schemas.openxmlformats.org/officeDocument/2006/relationships/hyperlink" Target="https://www.emerald.com/insight/search?q=Cindy%20Anderson" TargetMode="External"/><Relationship Id="rId10" Type="http://schemas.openxmlformats.org/officeDocument/2006/relationships/hyperlink" Target="https://www.emerald.com/insight/publication/issn/1087-8572" TargetMode="External"/><Relationship Id="rId31" Type="http://schemas.openxmlformats.org/officeDocument/2006/relationships/image" Target="media/image3.png"/><Relationship Id="rId44" Type="http://schemas.openxmlformats.org/officeDocument/2006/relationships/image" Target="media/image4.jpeg"/><Relationship Id="rId52" Type="http://schemas.openxmlformats.org/officeDocument/2006/relationships/hyperlink" Target="https://ojs.umt.edu.pk/index.php/jmr/article/view/1551" TargetMode="External"/><Relationship Id="rId60" Type="http://schemas.openxmlformats.org/officeDocument/2006/relationships/hyperlink" Target="https://www.emerald.com/insight/search?q=Raj%20Teer"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search?q=Brian%20Leavy" TargetMode="External"/><Relationship Id="rId13" Type="http://schemas.openxmlformats.org/officeDocument/2006/relationships/hyperlink" Target="https://www.emerald.com/insight/publication/issn/1087-8572" TargetMode="External"/><Relationship Id="rId18" Type="http://schemas.openxmlformats.org/officeDocument/2006/relationships/hyperlink" Target="https://www.emerald.com/insight/search?q=Daniel%20Weise" TargetMode="External"/><Relationship Id="rId39" Type="http://schemas.openxmlformats.org/officeDocument/2006/relationships/hyperlink" Target="https://dl.acm.org/toc/sigmis/2022/5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15</Pages>
  <Words>4163</Words>
  <Characters>23730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11</cp:revision>
  <dcterms:created xsi:type="dcterms:W3CDTF">2023-01-20T14:48:00Z</dcterms:created>
  <dcterms:modified xsi:type="dcterms:W3CDTF">2023-01-22T15:23:00Z</dcterms:modified>
</cp:coreProperties>
</file>