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61340" w:rsidR="00646B10" w:rsidP="00041A5A" w:rsidRDefault="00646B10" w14:paraId="2D347EAE" w14:textId="77777777">
      <w:pPr>
        <w:spacing w:line="360" w:lineRule="auto"/>
        <w:jc w:val="center"/>
        <w:rPr>
          <w:rFonts w:cs="Arial"/>
          <w:b/>
          <w:bCs/>
          <w:sz w:val="28"/>
          <w:szCs w:val="28"/>
        </w:rPr>
      </w:pPr>
    </w:p>
    <w:p w:rsidRPr="00761340" w:rsidR="00646B10" w:rsidP="00041A5A" w:rsidRDefault="00646B10" w14:paraId="7CAFB8A8" w14:textId="77777777">
      <w:pPr>
        <w:spacing w:line="360" w:lineRule="auto"/>
        <w:jc w:val="center"/>
        <w:rPr>
          <w:rFonts w:cs="Arial"/>
          <w:b/>
          <w:bCs/>
          <w:sz w:val="28"/>
          <w:szCs w:val="28"/>
        </w:rPr>
      </w:pPr>
    </w:p>
    <w:p w:rsidRPr="00761340" w:rsidR="00646B10" w:rsidP="00041A5A" w:rsidRDefault="00646B10" w14:paraId="09103BF7" w14:textId="77777777">
      <w:pPr>
        <w:spacing w:line="360" w:lineRule="auto"/>
        <w:jc w:val="center"/>
        <w:rPr>
          <w:rFonts w:cs="Arial"/>
          <w:b/>
          <w:bCs/>
          <w:sz w:val="28"/>
          <w:szCs w:val="28"/>
        </w:rPr>
      </w:pPr>
    </w:p>
    <w:p w:rsidRPr="00761340" w:rsidR="00715990" w:rsidP="00041A5A" w:rsidRDefault="00715990" w14:paraId="75E38F7F" w14:textId="7C4BF558">
      <w:pPr>
        <w:spacing w:line="360" w:lineRule="auto"/>
        <w:jc w:val="center"/>
        <w:rPr>
          <w:rFonts w:cs="Arial"/>
          <w:b/>
          <w:bCs/>
          <w:sz w:val="28"/>
          <w:szCs w:val="28"/>
        </w:rPr>
      </w:pPr>
      <w:r w:rsidRPr="00761340">
        <w:rPr>
          <w:rFonts w:cs="Arial"/>
          <w:b/>
          <w:bCs/>
          <w:sz w:val="28"/>
          <w:szCs w:val="28"/>
        </w:rPr>
        <w:t>Course: BSc (Hons) Health and Social Care</w:t>
      </w:r>
    </w:p>
    <w:p w:rsidRPr="00761340" w:rsidR="00715990" w:rsidP="00041A5A" w:rsidRDefault="00715990" w14:paraId="7680A4B0" w14:textId="43F6E3D7">
      <w:pPr>
        <w:spacing w:line="360" w:lineRule="auto"/>
        <w:jc w:val="center"/>
        <w:rPr>
          <w:rFonts w:cs="Arial"/>
          <w:b/>
          <w:bCs/>
          <w:sz w:val="28"/>
          <w:szCs w:val="28"/>
        </w:rPr>
      </w:pPr>
      <w:r w:rsidRPr="00761340">
        <w:rPr>
          <w:rFonts w:cs="Arial"/>
          <w:b/>
          <w:bCs/>
          <w:sz w:val="28"/>
          <w:szCs w:val="28"/>
        </w:rPr>
        <w:t>Module: Independent Project (BMHP6020_</w:t>
      </w:r>
      <w:r w:rsidRPr="00761340" w:rsidR="00646B10">
        <w:rPr>
          <w:rFonts w:cs="Arial"/>
          <w:b/>
          <w:bCs/>
          <w:sz w:val="28"/>
          <w:szCs w:val="28"/>
        </w:rPr>
        <w:t>BIRM</w:t>
      </w:r>
      <w:r w:rsidRPr="00761340">
        <w:rPr>
          <w:rFonts w:cs="Arial"/>
          <w:b/>
          <w:bCs/>
          <w:sz w:val="28"/>
          <w:szCs w:val="28"/>
        </w:rPr>
        <w:t>)</w:t>
      </w:r>
    </w:p>
    <w:p w:rsidRPr="00761340" w:rsidR="00715990" w:rsidP="00041A5A" w:rsidRDefault="00715990" w14:paraId="3157DF3C" w14:textId="77777777">
      <w:pPr>
        <w:spacing w:line="360" w:lineRule="auto"/>
        <w:jc w:val="center"/>
        <w:rPr>
          <w:rFonts w:cs="Arial"/>
          <w:sz w:val="28"/>
          <w:szCs w:val="28"/>
        </w:rPr>
      </w:pPr>
    </w:p>
    <w:p w:rsidRPr="00761340" w:rsidR="00041A5A" w:rsidP="00FB4301" w:rsidRDefault="00FB4301" w14:paraId="08BDA311" w14:textId="6E55C9BE">
      <w:pPr>
        <w:spacing w:line="360" w:lineRule="auto"/>
        <w:jc w:val="center"/>
        <w:rPr>
          <w:rFonts w:cs="Arial"/>
          <w:b/>
          <w:bCs/>
          <w:sz w:val="28"/>
          <w:szCs w:val="28"/>
        </w:rPr>
      </w:pPr>
      <w:r w:rsidRPr="00761340">
        <w:rPr>
          <w:rFonts w:cs="Arial"/>
          <w:b/>
          <w:bCs/>
          <w:sz w:val="28"/>
          <w:szCs w:val="28"/>
        </w:rPr>
        <w:t>Component 1</w:t>
      </w:r>
      <w:r w:rsidRPr="00761340" w:rsidR="00715990">
        <w:rPr>
          <w:rFonts w:cs="Arial"/>
          <w:b/>
          <w:bCs/>
          <w:sz w:val="28"/>
          <w:szCs w:val="28"/>
        </w:rPr>
        <w:t xml:space="preserve">: </w:t>
      </w:r>
      <w:r w:rsidRPr="00761340">
        <w:rPr>
          <w:rFonts w:cs="Arial"/>
          <w:sz w:val="28"/>
          <w:szCs w:val="28"/>
        </w:rPr>
        <w:t>Element 1</w:t>
      </w:r>
      <w:r w:rsidRPr="00761340" w:rsidR="00715990">
        <w:rPr>
          <w:rFonts w:cs="Arial"/>
          <w:sz w:val="28"/>
          <w:szCs w:val="28"/>
        </w:rPr>
        <w:t xml:space="preserve"> - Project Proposal</w:t>
      </w:r>
      <w:r w:rsidRPr="00761340" w:rsidR="00545684">
        <w:rPr>
          <w:rFonts w:cs="Arial"/>
          <w:sz w:val="28"/>
          <w:szCs w:val="28"/>
        </w:rPr>
        <w:t xml:space="preserve"> </w:t>
      </w:r>
    </w:p>
    <w:p w:rsidRPr="00761340" w:rsidR="00715990" w:rsidP="00041A5A" w:rsidRDefault="00715990" w14:paraId="2EDEAE0B" w14:textId="149B09BE">
      <w:pPr>
        <w:spacing w:line="360" w:lineRule="auto"/>
        <w:rPr>
          <w:rFonts w:cs="Arial"/>
          <w:sz w:val="28"/>
          <w:szCs w:val="28"/>
        </w:rPr>
      </w:pPr>
    </w:p>
    <w:p w:rsidRPr="00761340" w:rsidR="00FF5B70" w:rsidP="00041A5A" w:rsidRDefault="00FF5B70" w14:paraId="1AD185BB" w14:textId="77777777">
      <w:pPr>
        <w:spacing w:line="360" w:lineRule="auto"/>
        <w:rPr>
          <w:rFonts w:cs="Arial"/>
          <w:sz w:val="28"/>
          <w:szCs w:val="28"/>
        </w:rPr>
      </w:pPr>
    </w:p>
    <w:p w:rsidRPr="00761340" w:rsidR="00715990" w:rsidP="00041A5A" w:rsidRDefault="00715990" w14:paraId="684DDF82" w14:textId="1532A360">
      <w:pPr>
        <w:spacing w:line="360" w:lineRule="auto"/>
        <w:rPr>
          <w:rFonts w:cs="Arial"/>
          <w:sz w:val="28"/>
          <w:szCs w:val="28"/>
        </w:rPr>
      </w:pPr>
      <w:r w:rsidRPr="2B8B4B2C" w:rsidR="00715990">
        <w:rPr>
          <w:rFonts w:cs="Arial"/>
          <w:b w:val="1"/>
          <w:bCs w:val="1"/>
          <w:sz w:val="28"/>
          <w:szCs w:val="28"/>
        </w:rPr>
        <w:t>Student ID</w:t>
      </w:r>
      <w:r w:rsidRPr="2B8B4B2C" w:rsidR="00715990">
        <w:rPr>
          <w:rFonts w:cs="Arial"/>
          <w:sz w:val="28"/>
          <w:szCs w:val="28"/>
        </w:rPr>
        <w:t xml:space="preserve">: </w:t>
      </w:r>
      <w:r w:rsidRPr="2B8B4B2C" w:rsidR="0898BE55">
        <w:rPr>
          <w:rFonts w:cs="Arial"/>
          <w:sz w:val="28"/>
          <w:szCs w:val="28"/>
        </w:rPr>
        <w:t>2310506</w:t>
      </w:r>
    </w:p>
    <w:p w:rsidRPr="00761340" w:rsidR="00FF5B70" w:rsidP="00041A5A" w:rsidRDefault="00FF5B70" w14:paraId="01D5D8DB" w14:textId="03ED09ED">
      <w:pPr>
        <w:spacing w:line="360" w:lineRule="auto"/>
        <w:rPr>
          <w:rFonts w:cs="Arial"/>
          <w:sz w:val="28"/>
          <w:szCs w:val="28"/>
        </w:rPr>
      </w:pPr>
    </w:p>
    <w:p w:rsidRPr="00761340" w:rsidR="00646B10" w:rsidP="00646B10" w:rsidRDefault="00FF5B70" w14:paraId="7B4B148B" w14:textId="5226BA37">
      <w:pPr>
        <w:spacing w:line="360" w:lineRule="auto"/>
        <w:rPr>
          <w:rFonts w:cs="Arial"/>
          <w:sz w:val="28"/>
          <w:szCs w:val="28"/>
        </w:rPr>
      </w:pPr>
      <w:r w:rsidRPr="00761340">
        <w:rPr>
          <w:rFonts w:cs="Arial"/>
          <w:b/>
          <w:bCs/>
          <w:sz w:val="28"/>
          <w:szCs w:val="28"/>
        </w:rPr>
        <w:t>Student Name</w:t>
      </w:r>
      <w:r w:rsidRPr="00761340">
        <w:rPr>
          <w:rFonts w:cs="Arial"/>
          <w:sz w:val="28"/>
          <w:szCs w:val="28"/>
        </w:rPr>
        <w:t xml:space="preserve">: </w:t>
      </w:r>
      <w:r w:rsidRPr="00C052D8" w:rsidR="00C052D8">
        <w:rPr>
          <w:rFonts w:cs="Arial"/>
          <w:sz w:val="28"/>
          <w:szCs w:val="28"/>
        </w:rPr>
        <w:t>Gabriela Emilia Gheorghe</w:t>
      </w:r>
    </w:p>
    <w:p w:rsidRPr="00761340" w:rsidR="00715990" w:rsidP="00041A5A" w:rsidRDefault="00715990" w14:paraId="638A4615" w14:textId="77777777">
      <w:pPr>
        <w:spacing w:line="360" w:lineRule="auto"/>
        <w:rPr>
          <w:rFonts w:cs="Arial"/>
          <w:sz w:val="28"/>
          <w:szCs w:val="28"/>
        </w:rPr>
      </w:pPr>
    </w:p>
    <w:p w:rsidRPr="00761340" w:rsidR="00715990" w:rsidP="00041A5A" w:rsidRDefault="00715990" w14:paraId="5BD313B6" w14:textId="4BA804DC">
      <w:pPr>
        <w:spacing w:line="360" w:lineRule="auto"/>
        <w:rPr>
          <w:rFonts w:cs="Arial"/>
        </w:rPr>
      </w:pPr>
    </w:p>
    <w:p w:rsidRPr="00761340" w:rsidR="00715990" w:rsidP="00041A5A" w:rsidRDefault="00715990" w14:paraId="07CF3A4D" w14:textId="4AAF8C7D">
      <w:pPr>
        <w:spacing w:line="360" w:lineRule="auto"/>
        <w:rPr>
          <w:rFonts w:cs="Arial"/>
        </w:rPr>
      </w:pPr>
      <w:r w:rsidRPr="00761340">
        <w:rPr>
          <w:rFonts w:cs="Arial"/>
        </w:rPr>
        <w:br w:type="page"/>
      </w:r>
    </w:p>
    <w:p w:rsidRPr="00761340" w:rsidR="00D769F0" w:rsidP="00530330" w:rsidRDefault="00FB4301" w14:paraId="6630FBCE" w14:textId="0ECF9AB0">
      <w:pPr>
        <w:pStyle w:val="Heading1"/>
        <w:rPr>
          <w:rFonts w:cs="Arial"/>
        </w:rPr>
      </w:pPr>
      <w:r w:rsidRPr="00761340">
        <w:rPr>
          <w:rFonts w:cs="Arial"/>
        </w:rPr>
        <w:lastRenderedPageBreak/>
        <w:t>Element 1 -</w:t>
      </w:r>
      <w:r w:rsidRPr="00761340" w:rsidR="00866B7B">
        <w:rPr>
          <w:rFonts w:cs="Arial"/>
        </w:rPr>
        <w:t xml:space="preserve"> Project</w:t>
      </w:r>
      <w:r w:rsidRPr="00761340" w:rsidR="00545684">
        <w:rPr>
          <w:rFonts w:cs="Arial"/>
        </w:rPr>
        <w:t xml:space="preserve"> </w:t>
      </w:r>
      <w:r w:rsidRPr="00761340" w:rsidR="000B7CD5">
        <w:rPr>
          <w:rFonts w:cs="Arial"/>
        </w:rPr>
        <w:t>P</w:t>
      </w:r>
      <w:r w:rsidRPr="00761340" w:rsidR="00545684">
        <w:rPr>
          <w:rFonts w:cs="Arial"/>
        </w:rPr>
        <w:t>roposal</w:t>
      </w:r>
    </w:p>
    <w:p w:rsidRPr="00761340" w:rsidR="00D769F0" w:rsidP="00784670" w:rsidRDefault="00E52221" w14:paraId="24BD4B42" w14:textId="09B352EF">
      <w:pPr>
        <w:pStyle w:val="Heading2"/>
      </w:pPr>
      <w:r w:rsidRPr="00761340">
        <w:t>P</w:t>
      </w:r>
      <w:r w:rsidRPr="00761340" w:rsidR="00D769F0">
        <w:t xml:space="preserve">roject </w:t>
      </w:r>
      <w:r w:rsidRPr="00761340" w:rsidR="0095445A">
        <w:t>T</w:t>
      </w:r>
      <w:r w:rsidRPr="00761340" w:rsidR="00D769F0">
        <w:t xml:space="preserve">itle: </w:t>
      </w:r>
    </w:p>
    <w:p w:rsidRPr="00761340" w:rsidR="00715990" w:rsidP="00041A5A" w:rsidRDefault="00E11652" w14:paraId="03FD30D3" w14:textId="26977C8B">
      <w:pPr>
        <w:spacing w:line="360" w:lineRule="auto"/>
        <w:rPr>
          <w:rFonts w:cs="Arial"/>
        </w:rPr>
      </w:pPr>
      <w:r w:rsidRPr="00761340">
        <w:rPr>
          <w:rFonts w:cs="Arial"/>
        </w:rPr>
        <w:t>The impact of palliative care interventions on quality of life in end-of-life patients</w:t>
      </w:r>
      <w:r w:rsidRPr="00761340" w:rsidR="00233945">
        <w:rPr>
          <w:rFonts w:cs="Arial"/>
        </w:rPr>
        <w:t>.</w:t>
      </w:r>
    </w:p>
    <w:p w:rsidRPr="00761340" w:rsidR="0009270B" w:rsidP="00BD5582" w:rsidRDefault="00BD5582" w14:paraId="22C42E8A" w14:textId="23BAC611">
      <w:pPr>
        <w:pStyle w:val="Heading2"/>
      </w:pPr>
      <w:r w:rsidRPr="00761340">
        <w:t>1</w:t>
      </w:r>
      <w:r w:rsidRPr="00761340" w:rsidR="0009270B">
        <w:t>) Aim</w:t>
      </w:r>
    </w:p>
    <w:p w:rsidRPr="00761340" w:rsidR="0009270B" w:rsidP="0009270B" w:rsidRDefault="005453EE" w14:paraId="5F1B882B" w14:textId="58720D01">
      <w:pPr>
        <w:rPr>
          <w:rFonts w:cs="Arial"/>
        </w:rPr>
      </w:pPr>
      <w:r w:rsidRPr="00761340">
        <w:rPr>
          <w:rFonts w:cs="Arial"/>
        </w:rPr>
        <w:t xml:space="preserve">This study aims </w:t>
      </w:r>
      <w:r w:rsidRPr="00761340" w:rsidR="00682D63">
        <w:rPr>
          <w:rFonts w:cs="Arial"/>
        </w:rPr>
        <w:t>to assess</w:t>
      </w:r>
      <w:r w:rsidRPr="00761340">
        <w:rPr>
          <w:rFonts w:cs="Arial"/>
        </w:rPr>
        <w:t xml:space="preserve"> the effect of palliative care interventions on the quality of life of patients facing </w:t>
      </w:r>
      <w:r w:rsidRPr="00761340" w:rsidR="00682D63">
        <w:rPr>
          <w:rFonts w:cs="Arial"/>
        </w:rPr>
        <w:t xml:space="preserve">the </w:t>
      </w:r>
      <w:r w:rsidRPr="00761340">
        <w:rPr>
          <w:rFonts w:cs="Arial"/>
        </w:rPr>
        <w:t>end of life. To be more precise, the research examines the role of palliative care approaches such as pain management, psychosocial support, and holistic care in improving physical comfort, emotional well-being, dignity, and the general experience of patients in the end-stage.</w:t>
      </w:r>
      <w:r w:rsidRPr="00761340" w:rsidR="0009270B">
        <w:rPr>
          <w:rFonts w:cs="Arial"/>
        </w:rPr>
        <w:t xml:space="preserve"> </w:t>
      </w:r>
    </w:p>
    <w:p w:rsidRPr="00761340" w:rsidR="0009270B" w:rsidP="00BD5582" w:rsidRDefault="0009270B" w14:paraId="3E43CDFC" w14:textId="3C3214F8">
      <w:pPr>
        <w:pStyle w:val="Heading2"/>
      </w:pPr>
      <w:r w:rsidRPr="00761340">
        <w:t>2) Objectives</w:t>
      </w:r>
    </w:p>
    <w:p w:rsidRPr="00761340" w:rsidR="005453EE" w:rsidP="0009270B" w:rsidRDefault="005453EE" w14:paraId="0A572BA4" w14:textId="77777777">
      <w:pPr>
        <w:rPr>
          <w:rFonts w:cs="Arial"/>
        </w:rPr>
      </w:pPr>
      <w:r w:rsidRPr="00761340">
        <w:rPr>
          <w:rFonts w:cs="Arial"/>
        </w:rPr>
        <w:t xml:space="preserve">1. To define and study the construct of quality of life in the environment of end-of-life and palliative care. </w:t>
      </w:r>
    </w:p>
    <w:p w:rsidRPr="00761340" w:rsidR="005453EE" w:rsidP="0009270B" w:rsidRDefault="005453EE" w14:paraId="0C902D11" w14:textId="2E4A0899">
      <w:pPr>
        <w:rPr>
          <w:rFonts w:cs="Arial"/>
        </w:rPr>
      </w:pPr>
      <w:r w:rsidRPr="00761340">
        <w:rPr>
          <w:rFonts w:cs="Arial"/>
        </w:rPr>
        <w:t xml:space="preserve">2. To critically evaluate the available empirical research on the impact of palliative care interventions on </w:t>
      </w:r>
      <w:r w:rsidRPr="00761340" w:rsidR="00682D63">
        <w:rPr>
          <w:rFonts w:cs="Arial"/>
        </w:rPr>
        <w:t xml:space="preserve">the </w:t>
      </w:r>
      <w:r w:rsidRPr="00761340">
        <w:rPr>
          <w:rFonts w:cs="Arial"/>
        </w:rPr>
        <w:t xml:space="preserve">physical, psychological, and social well-being of patients during their terminal stages. </w:t>
      </w:r>
    </w:p>
    <w:p w:rsidRPr="00761340" w:rsidR="005453EE" w:rsidP="0009270B" w:rsidRDefault="005453EE" w14:paraId="139E7A0B" w14:textId="77777777">
      <w:pPr>
        <w:rPr>
          <w:rFonts w:cs="Arial"/>
        </w:rPr>
      </w:pPr>
      <w:r w:rsidRPr="00761340">
        <w:rPr>
          <w:rFonts w:cs="Arial"/>
        </w:rPr>
        <w:t>3. To determine the comparative efficiency of various palliative care strategies on the improvement of patient comfort, dignity, and emotional support.</w:t>
      </w:r>
    </w:p>
    <w:p w:rsidRPr="00761340" w:rsidR="0009270B" w:rsidP="0009270B" w:rsidRDefault="005453EE" w14:paraId="47704634" w14:textId="35C66D71">
      <w:pPr>
        <w:rPr>
          <w:rFonts w:cs="Arial"/>
        </w:rPr>
      </w:pPr>
      <w:r w:rsidRPr="00761340">
        <w:rPr>
          <w:rFonts w:cs="Arial"/>
        </w:rPr>
        <w:t xml:space="preserve">4. To develop evidence-based </w:t>
      </w:r>
      <w:r w:rsidRPr="00761340" w:rsidR="00682D63">
        <w:rPr>
          <w:rFonts w:cs="Arial"/>
        </w:rPr>
        <w:t>practice</w:t>
      </w:r>
      <w:r w:rsidRPr="00761340">
        <w:rPr>
          <w:rFonts w:cs="Arial"/>
        </w:rPr>
        <w:t xml:space="preserve"> suggestions to health and social care professionals on how to enhance the quality of life by </w:t>
      </w:r>
      <w:r w:rsidRPr="00761340" w:rsidR="00682D63">
        <w:rPr>
          <w:rFonts w:cs="Arial"/>
        </w:rPr>
        <w:t>refining</w:t>
      </w:r>
      <w:r w:rsidRPr="00761340">
        <w:rPr>
          <w:rFonts w:cs="Arial"/>
        </w:rPr>
        <w:t xml:space="preserve"> palliative care practise.</w:t>
      </w:r>
    </w:p>
    <w:p w:rsidRPr="00761340" w:rsidR="0009270B" w:rsidP="00D009F5" w:rsidRDefault="0009270B" w14:paraId="39420551" w14:textId="25D1D9C5">
      <w:pPr>
        <w:pStyle w:val="Heading2"/>
      </w:pPr>
      <w:r w:rsidRPr="00761340">
        <w:t xml:space="preserve">3) Background </w:t>
      </w:r>
      <w:r w:rsidR="00C026E8">
        <w:t>and</w:t>
      </w:r>
      <w:r w:rsidRPr="00761340">
        <w:t xml:space="preserve"> Rationale</w:t>
      </w:r>
    </w:p>
    <w:p w:rsidRPr="00761340" w:rsidR="0009270B" w:rsidP="0009270B" w:rsidRDefault="00F8540C" w14:paraId="78DE9CF4" w14:textId="69AB39EE">
      <w:pPr>
        <w:rPr>
          <w:rFonts w:cs="Arial"/>
        </w:rPr>
      </w:pPr>
      <w:r>
        <w:rPr>
          <w:rFonts w:cs="Arial"/>
        </w:rPr>
        <w:t>The end of life</w:t>
      </w:r>
      <w:r w:rsidRPr="00761340" w:rsidR="005453EE">
        <w:rPr>
          <w:rFonts w:cs="Arial"/>
        </w:rPr>
        <w:t xml:space="preserve"> care is an important field of health and social care that aims at protecting </w:t>
      </w:r>
      <w:r w:rsidRPr="00761340" w:rsidR="00682D63">
        <w:rPr>
          <w:rFonts w:cs="Arial"/>
        </w:rPr>
        <w:t xml:space="preserve">the </w:t>
      </w:r>
      <w:r w:rsidRPr="00761340" w:rsidR="005453EE">
        <w:rPr>
          <w:rFonts w:cs="Arial"/>
        </w:rPr>
        <w:t xml:space="preserve">dignity, comfort, and overall well-being of patients who face life-threatening illnesses (Karunarathna et al., 2024). The interventions of palliative care are aimed </w:t>
      </w:r>
      <w:r w:rsidRPr="00761340" w:rsidR="00682D63">
        <w:rPr>
          <w:rFonts w:cs="Arial"/>
        </w:rPr>
        <w:t>at coping</w:t>
      </w:r>
      <w:r w:rsidRPr="00761340" w:rsidR="005453EE">
        <w:rPr>
          <w:rFonts w:cs="Arial"/>
        </w:rPr>
        <w:t xml:space="preserve"> with not only physical symptoms of pain and fatigue but also psychological, social and spiritual ones. As the ageing populations and the increasing cases of chronic diseases continue to challenge the prevailing circumstances, the urgency to ensure that palliative care is provided has escalated. Despite the fact that multiple studies show that policy frameworks widely </w:t>
      </w:r>
      <w:r w:rsidRPr="00761340" w:rsidR="00682D63">
        <w:rPr>
          <w:rFonts w:cs="Arial"/>
        </w:rPr>
        <w:t>recognise</w:t>
      </w:r>
      <w:r w:rsidRPr="00761340" w:rsidR="005453EE">
        <w:rPr>
          <w:rFonts w:cs="Arial"/>
        </w:rPr>
        <w:t xml:space="preserve"> palliative care as a component of end-of-life services, the manner in which it is provided and universally accessed differ in significant ways (Marie Curie, 2024). </w:t>
      </w:r>
      <w:r w:rsidRPr="00761340" w:rsidR="009D0801">
        <w:rPr>
          <w:rFonts w:cs="Arial"/>
        </w:rPr>
        <w:t>Much existing research</w:t>
      </w:r>
      <w:r w:rsidRPr="00761340" w:rsidR="005453EE">
        <w:rPr>
          <w:rFonts w:cs="Arial"/>
        </w:rPr>
        <w:t xml:space="preserve"> </w:t>
      </w:r>
      <w:r w:rsidRPr="00761340" w:rsidR="009D0801">
        <w:rPr>
          <w:rFonts w:cs="Arial"/>
        </w:rPr>
        <w:t>is</w:t>
      </w:r>
      <w:r w:rsidRPr="00761340" w:rsidR="005453EE">
        <w:rPr>
          <w:rFonts w:cs="Arial"/>
        </w:rPr>
        <w:t xml:space="preserve"> currently mostly focused on clinical outcomes, which provide little information on the patient-centred quality-of-life aspects.</w:t>
      </w:r>
    </w:p>
    <w:p w:rsidRPr="00761340" w:rsidR="0009270B" w:rsidP="002454F7" w:rsidRDefault="0009270B" w14:paraId="0F383F52" w14:textId="4ECB0926">
      <w:pPr>
        <w:pStyle w:val="Heading2"/>
      </w:pPr>
      <w:r w:rsidRPr="00761340">
        <w:t>4) Methods</w:t>
      </w:r>
    </w:p>
    <w:p w:rsidRPr="00761340" w:rsidR="0009270B" w:rsidP="0009270B" w:rsidRDefault="00682D63" w14:paraId="222370DD" w14:textId="4A33B63D">
      <w:pPr>
        <w:rPr>
          <w:rFonts w:cs="Arial"/>
        </w:rPr>
      </w:pPr>
      <w:r w:rsidRPr="00761340">
        <w:rPr>
          <w:rFonts w:cs="Arial"/>
        </w:rPr>
        <w:t xml:space="preserve">The research design that will be applied in this study is the secondary qualitative research on the basis of an inductive approach that will be supported by the philosophy of interpretivism. The sources will include peer-reviewed journal articles, systematic reviews, policy reports, and official organisational reports that were published within the past ten years. The criteria will include those of relevance, scholarly credibility, and </w:t>
      </w:r>
      <w:r w:rsidRPr="00761340">
        <w:rPr>
          <w:rFonts w:cs="Arial"/>
        </w:rPr>
        <w:lastRenderedPageBreak/>
        <w:t>methodological rigour. A thematic analysis will be used to determine the common patterns and meanings of the corpus. Academic integrity and transparency are preserved through adherence to ethical standards of research, such as proper citation, critical evaluation, and a high level of plagiarism (Haneef, 2024).</w:t>
      </w:r>
    </w:p>
    <w:p w:rsidRPr="00761340" w:rsidR="0009270B" w:rsidP="002454F7" w:rsidRDefault="0009270B" w14:paraId="44AD82A9" w14:textId="21FDBD09">
      <w:pPr>
        <w:pStyle w:val="Heading2"/>
      </w:pPr>
      <w:r w:rsidRPr="00761340">
        <w:t xml:space="preserve">5) Resources </w:t>
      </w:r>
    </w:p>
    <w:p w:rsidRPr="00761340" w:rsidR="0009270B" w:rsidP="0009270B" w:rsidRDefault="00682D63" w14:paraId="25A65CAB" w14:textId="7415DED1">
      <w:pPr>
        <w:rPr>
          <w:rFonts w:cs="Arial"/>
        </w:rPr>
      </w:pPr>
      <w:r w:rsidRPr="00761340">
        <w:rPr>
          <w:rFonts w:cs="Arial"/>
        </w:rPr>
        <w:t>Academic databases on the internet, university library resources, Google Scholar, reference management programmes and Microsoft Word to draft and format.</w:t>
      </w:r>
    </w:p>
    <w:p w:rsidRPr="00761340" w:rsidR="0009270B" w:rsidP="002454F7" w:rsidRDefault="0009270B" w14:paraId="7A3DDED7" w14:textId="77777777">
      <w:pPr>
        <w:pStyle w:val="Heading2"/>
      </w:pPr>
      <w:r w:rsidRPr="00761340">
        <w:t>6) Timescale</w:t>
      </w:r>
    </w:p>
    <w:tbl>
      <w:tblPr>
        <w:tblStyle w:val="TableGrid"/>
        <w:tblW w:w="5000" w:type="pct"/>
        <w:tblLook w:val="04A0" w:firstRow="1" w:lastRow="0" w:firstColumn="1" w:lastColumn="0" w:noHBand="0" w:noVBand="1"/>
      </w:tblPr>
      <w:tblGrid>
        <w:gridCol w:w="1134"/>
        <w:gridCol w:w="5947"/>
        <w:gridCol w:w="1935"/>
      </w:tblGrid>
      <w:tr w:rsidRPr="00761340" w:rsidR="0009270B" w:rsidTr="002454F7" w14:paraId="16B98486" w14:textId="77777777">
        <w:tc>
          <w:tcPr>
            <w:tcW w:w="629" w:type="pct"/>
            <w:hideMark/>
          </w:tcPr>
          <w:p w:rsidRPr="00761340" w:rsidR="0009270B" w:rsidP="002454F7" w:rsidRDefault="0009270B" w14:paraId="329ACC53" w14:textId="77777777">
            <w:pPr>
              <w:spacing w:line="360" w:lineRule="auto"/>
              <w:rPr>
                <w:rFonts w:cs="Arial"/>
              </w:rPr>
            </w:pPr>
            <w:r w:rsidRPr="00761340">
              <w:rPr>
                <w:rFonts w:cs="Arial"/>
              </w:rPr>
              <w:t>Stage</w:t>
            </w:r>
          </w:p>
        </w:tc>
        <w:tc>
          <w:tcPr>
            <w:tcW w:w="3298" w:type="pct"/>
            <w:hideMark/>
          </w:tcPr>
          <w:p w:rsidRPr="00761340" w:rsidR="0009270B" w:rsidP="002454F7" w:rsidRDefault="0009270B" w14:paraId="779D6D7B" w14:textId="77777777">
            <w:pPr>
              <w:spacing w:line="360" w:lineRule="auto"/>
              <w:rPr>
                <w:rFonts w:cs="Arial"/>
              </w:rPr>
            </w:pPr>
            <w:r w:rsidRPr="00761340">
              <w:rPr>
                <w:rFonts w:cs="Arial"/>
              </w:rPr>
              <w:t>Activity</w:t>
            </w:r>
          </w:p>
        </w:tc>
        <w:tc>
          <w:tcPr>
            <w:tcW w:w="1074" w:type="pct"/>
            <w:hideMark/>
          </w:tcPr>
          <w:p w:rsidRPr="00761340" w:rsidR="0009270B" w:rsidP="002454F7" w:rsidRDefault="0009270B" w14:paraId="6D7E0603" w14:textId="77777777">
            <w:pPr>
              <w:spacing w:line="360" w:lineRule="auto"/>
              <w:rPr>
                <w:rFonts w:cs="Arial"/>
              </w:rPr>
            </w:pPr>
            <w:r w:rsidRPr="00761340">
              <w:rPr>
                <w:rFonts w:cs="Arial"/>
              </w:rPr>
              <w:t>Timeframe</w:t>
            </w:r>
          </w:p>
        </w:tc>
      </w:tr>
      <w:tr w:rsidRPr="00761340" w:rsidR="0009270B" w:rsidTr="002454F7" w14:paraId="46AF6C70" w14:textId="77777777">
        <w:tc>
          <w:tcPr>
            <w:tcW w:w="629" w:type="pct"/>
            <w:hideMark/>
          </w:tcPr>
          <w:p w:rsidRPr="00761340" w:rsidR="0009270B" w:rsidP="002454F7" w:rsidRDefault="0009270B" w14:paraId="661DBDA7" w14:textId="77777777">
            <w:pPr>
              <w:spacing w:line="360" w:lineRule="auto"/>
              <w:rPr>
                <w:rFonts w:cs="Arial"/>
              </w:rPr>
            </w:pPr>
            <w:r w:rsidRPr="00761340">
              <w:rPr>
                <w:rFonts w:cs="Arial"/>
              </w:rPr>
              <w:t>1</w:t>
            </w:r>
          </w:p>
        </w:tc>
        <w:tc>
          <w:tcPr>
            <w:tcW w:w="3298" w:type="pct"/>
            <w:hideMark/>
          </w:tcPr>
          <w:p w:rsidRPr="00761340" w:rsidR="0009270B" w:rsidP="002454F7" w:rsidRDefault="0009270B" w14:paraId="1E01999E" w14:textId="77777777">
            <w:pPr>
              <w:spacing w:line="360" w:lineRule="auto"/>
              <w:rPr>
                <w:rFonts w:cs="Arial"/>
              </w:rPr>
            </w:pPr>
            <w:r w:rsidRPr="00761340">
              <w:rPr>
                <w:rFonts w:cs="Arial"/>
              </w:rPr>
              <w:t>Topic refinement and proposal writing</w:t>
            </w:r>
          </w:p>
        </w:tc>
        <w:tc>
          <w:tcPr>
            <w:tcW w:w="1074" w:type="pct"/>
            <w:hideMark/>
          </w:tcPr>
          <w:p w:rsidRPr="00761340" w:rsidR="0009270B" w:rsidP="002454F7" w:rsidRDefault="0009270B" w14:paraId="3E6F1618" w14:textId="77777777">
            <w:pPr>
              <w:spacing w:line="360" w:lineRule="auto"/>
              <w:rPr>
                <w:rFonts w:cs="Arial"/>
              </w:rPr>
            </w:pPr>
            <w:r w:rsidRPr="00761340">
              <w:rPr>
                <w:rFonts w:cs="Arial"/>
              </w:rPr>
              <w:t>Weeks 1–2</w:t>
            </w:r>
          </w:p>
        </w:tc>
      </w:tr>
      <w:tr w:rsidRPr="00761340" w:rsidR="0009270B" w:rsidTr="002454F7" w14:paraId="40AA7739" w14:textId="77777777">
        <w:tc>
          <w:tcPr>
            <w:tcW w:w="629" w:type="pct"/>
            <w:hideMark/>
          </w:tcPr>
          <w:p w:rsidRPr="00761340" w:rsidR="0009270B" w:rsidP="002454F7" w:rsidRDefault="0009270B" w14:paraId="52DFD6BC" w14:textId="77777777">
            <w:pPr>
              <w:spacing w:line="360" w:lineRule="auto"/>
              <w:rPr>
                <w:rFonts w:cs="Arial"/>
              </w:rPr>
            </w:pPr>
            <w:r w:rsidRPr="00761340">
              <w:rPr>
                <w:rFonts w:cs="Arial"/>
              </w:rPr>
              <w:t>2</w:t>
            </w:r>
          </w:p>
        </w:tc>
        <w:tc>
          <w:tcPr>
            <w:tcW w:w="3298" w:type="pct"/>
            <w:hideMark/>
          </w:tcPr>
          <w:p w:rsidRPr="00761340" w:rsidR="0009270B" w:rsidP="002454F7" w:rsidRDefault="0009270B" w14:paraId="703DC029" w14:textId="77777777">
            <w:pPr>
              <w:spacing w:line="360" w:lineRule="auto"/>
              <w:rPr>
                <w:rFonts w:cs="Arial"/>
              </w:rPr>
            </w:pPr>
            <w:r w:rsidRPr="00761340">
              <w:rPr>
                <w:rFonts w:cs="Arial"/>
              </w:rPr>
              <w:t>Literature search and source selection</w:t>
            </w:r>
          </w:p>
        </w:tc>
        <w:tc>
          <w:tcPr>
            <w:tcW w:w="1074" w:type="pct"/>
            <w:hideMark/>
          </w:tcPr>
          <w:p w:rsidRPr="00761340" w:rsidR="0009270B" w:rsidP="002454F7" w:rsidRDefault="0009270B" w14:paraId="0C01EB3F" w14:textId="77777777">
            <w:pPr>
              <w:spacing w:line="360" w:lineRule="auto"/>
              <w:rPr>
                <w:rFonts w:cs="Arial"/>
              </w:rPr>
            </w:pPr>
            <w:r w:rsidRPr="00761340">
              <w:rPr>
                <w:rFonts w:cs="Arial"/>
              </w:rPr>
              <w:t>Weeks 3–4</w:t>
            </w:r>
          </w:p>
        </w:tc>
      </w:tr>
      <w:tr w:rsidRPr="00761340" w:rsidR="0009270B" w:rsidTr="002454F7" w14:paraId="26BBAED9" w14:textId="77777777">
        <w:tc>
          <w:tcPr>
            <w:tcW w:w="629" w:type="pct"/>
            <w:hideMark/>
          </w:tcPr>
          <w:p w:rsidRPr="00761340" w:rsidR="0009270B" w:rsidP="002454F7" w:rsidRDefault="0009270B" w14:paraId="66ACAD68" w14:textId="77777777">
            <w:pPr>
              <w:spacing w:line="360" w:lineRule="auto"/>
              <w:rPr>
                <w:rFonts w:cs="Arial"/>
              </w:rPr>
            </w:pPr>
            <w:r w:rsidRPr="00761340">
              <w:rPr>
                <w:rFonts w:cs="Arial"/>
              </w:rPr>
              <w:t>3</w:t>
            </w:r>
          </w:p>
        </w:tc>
        <w:tc>
          <w:tcPr>
            <w:tcW w:w="3298" w:type="pct"/>
            <w:hideMark/>
          </w:tcPr>
          <w:p w:rsidRPr="00761340" w:rsidR="0009270B" w:rsidP="002454F7" w:rsidRDefault="0009270B" w14:paraId="0985579C" w14:textId="77777777">
            <w:pPr>
              <w:spacing w:line="360" w:lineRule="auto"/>
              <w:rPr>
                <w:rFonts w:cs="Arial"/>
              </w:rPr>
            </w:pPr>
            <w:r w:rsidRPr="00761340">
              <w:rPr>
                <w:rFonts w:cs="Arial"/>
              </w:rPr>
              <w:t>Data analysis and theme development</w:t>
            </w:r>
          </w:p>
        </w:tc>
        <w:tc>
          <w:tcPr>
            <w:tcW w:w="1074" w:type="pct"/>
            <w:hideMark/>
          </w:tcPr>
          <w:p w:rsidRPr="00761340" w:rsidR="0009270B" w:rsidP="002454F7" w:rsidRDefault="0009270B" w14:paraId="5B7EB391" w14:textId="77777777">
            <w:pPr>
              <w:spacing w:line="360" w:lineRule="auto"/>
              <w:rPr>
                <w:rFonts w:cs="Arial"/>
              </w:rPr>
            </w:pPr>
            <w:r w:rsidRPr="00761340">
              <w:rPr>
                <w:rFonts w:cs="Arial"/>
              </w:rPr>
              <w:t>Weeks 5–6</w:t>
            </w:r>
          </w:p>
        </w:tc>
      </w:tr>
      <w:tr w:rsidRPr="00761340" w:rsidR="0009270B" w:rsidTr="002454F7" w14:paraId="7BA96ED0" w14:textId="77777777">
        <w:tc>
          <w:tcPr>
            <w:tcW w:w="629" w:type="pct"/>
            <w:hideMark/>
          </w:tcPr>
          <w:p w:rsidRPr="00761340" w:rsidR="0009270B" w:rsidP="002454F7" w:rsidRDefault="0009270B" w14:paraId="092F8743" w14:textId="77777777">
            <w:pPr>
              <w:spacing w:line="360" w:lineRule="auto"/>
              <w:rPr>
                <w:rFonts w:cs="Arial"/>
              </w:rPr>
            </w:pPr>
            <w:r w:rsidRPr="00761340">
              <w:rPr>
                <w:rFonts w:cs="Arial"/>
              </w:rPr>
              <w:t>4</w:t>
            </w:r>
          </w:p>
        </w:tc>
        <w:tc>
          <w:tcPr>
            <w:tcW w:w="3298" w:type="pct"/>
            <w:hideMark/>
          </w:tcPr>
          <w:p w:rsidRPr="00761340" w:rsidR="0009270B" w:rsidP="002454F7" w:rsidRDefault="0009270B" w14:paraId="7F64D34D" w14:textId="77777777">
            <w:pPr>
              <w:spacing w:line="360" w:lineRule="auto"/>
              <w:rPr>
                <w:rFonts w:cs="Arial"/>
              </w:rPr>
            </w:pPr>
            <w:r w:rsidRPr="00761340">
              <w:rPr>
                <w:rFonts w:cs="Arial"/>
              </w:rPr>
              <w:t>Writing and editing</w:t>
            </w:r>
          </w:p>
        </w:tc>
        <w:tc>
          <w:tcPr>
            <w:tcW w:w="1074" w:type="pct"/>
            <w:hideMark/>
          </w:tcPr>
          <w:p w:rsidRPr="00761340" w:rsidR="0009270B" w:rsidP="002454F7" w:rsidRDefault="0009270B" w14:paraId="5A0B397E" w14:textId="77777777">
            <w:pPr>
              <w:spacing w:line="360" w:lineRule="auto"/>
              <w:rPr>
                <w:rFonts w:cs="Arial"/>
              </w:rPr>
            </w:pPr>
            <w:r w:rsidRPr="00761340">
              <w:rPr>
                <w:rFonts w:cs="Arial"/>
              </w:rPr>
              <w:t>Weeks 7–8</w:t>
            </w:r>
          </w:p>
        </w:tc>
      </w:tr>
    </w:tbl>
    <w:p w:rsidRPr="00761340" w:rsidR="0009270B" w:rsidP="0009270B" w:rsidRDefault="0009270B" w14:paraId="2E0D0BD0" w14:textId="39A54946">
      <w:pPr>
        <w:rPr>
          <w:rFonts w:cs="Arial"/>
        </w:rPr>
      </w:pPr>
    </w:p>
    <w:p w:rsidRPr="00761340" w:rsidR="0009270B" w:rsidP="008827C4" w:rsidRDefault="0009270B" w14:paraId="458AF3EB" w14:textId="47F8D404">
      <w:pPr>
        <w:pStyle w:val="Heading2"/>
      </w:pPr>
      <w:r w:rsidRPr="00761340">
        <w:t>7) Self-Reflection as Researcher</w:t>
      </w:r>
    </w:p>
    <w:p w:rsidRPr="00761340" w:rsidR="0009270B" w:rsidP="005453EE" w:rsidRDefault="00682D63" w14:paraId="7EBC518A" w14:textId="6652AAA3">
      <w:pPr>
        <w:rPr>
          <w:rFonts w:cs="Arial"/>
        </w:rPr>
      </w:pPr>
      <w:r w:rsidRPr="00761340">
        <w:rPr>
          <w:rFonts w:cs="Arial"/>
        </w:rPr>
        <w:t>One obvious strength is the strong academic reading and critical analysis skills. The main problem of literature review and evidence synthesis is still how to handle and combine voluminous, heterogeneous, and context-dependent literature, which can hamper the recognition of evidence and the inference of trustworthy conclusions (World Health Organisation, 2023). The project will promote high-level skills of qualitative analysis and gain confidence in the ability to independently plan research and manage time.</w:t>
      </w:r>
    </w:p>
    <w:p w:rsidRPr="00761340" w:rsidR="00545684" w:rsidP="0009270B" w:rsidRDefault="00545684" w14:paraId="449212CA" w14:textId="77777777">
      <w:pPr>
        <w:rPr>
          <w:rFonts w:cs="Arial"/>
        </w:rPr>
      </w:pPr>
      <w:r w:rsidRPr="00761340">
        <w:rPr>
          <w:rFonts w:cs="Arial"/>
        </w:rPr>
        <w:br w:type="page"/>
      </w:r>
    </w:p>
    <w:p w:rsidRPr="00761340" w:rsidR="00331F5A" w:rsidP="005453EE" w:rsidRDefault="00545684" w14:paraId="157CFF34" w14:textId="1E61023A">
      <w:pPr>
        <w:pStyle w:val="Heading1"/>
        <w:rPr>
          <w:rFonts w:cs="Arial"/>
        </w:rPr>
      </w:pPr>
      <w:r w:rsidRPr="00761340">
        <w:rPr>
          <w:rFonts w:cs="Arial"/>
        </w:rPr>
        <w:lastRenderedPageBreak/>
        <w:t>References</w:t>
      </w:r>
    </w:p>
    <w:p w:rsidRPr="00761340" w:rsidR="00F8540C" w:rsidP="005453EE" w:rsidRDefault="00F8540C" w14:paraId="1A8BF5C3" w14:textId="77777777">
      <w:pPr>
        <w:ind w:left="720" w:hanging="720"/>
        <w:rPr>
          <w:rFonts w:cs="Arial"/>
          <w:lang w:val="en-US"/>
        </w:rPr>
      </w:pPr>
      <w:r w:rsidRPr="00761340">
        <w:rPr>
          <w:rFonts w:cs="Arial"/>
          <w:lang w:val="en-US"/>
        </w:rPr>
        <w:t xml:space="preserve">Haneef, I. (2024) ‘Ethical issues in educational research’, </w:t>
      </w:r>
      <w:r w:rsidRPr="00761340">
        <w:rPr>
          <w:rFonts w:cs="Arial"/>
          <w:i/>
          <w:iCs/>
          <w:lang w:val="en-US"/>
        </w:rPr>
        <w:t>Asian Research Journal of Arts and Social Sciences</w:t>
      </w:r>
      <w:r w:rsidRPr="00761340">
        <w:rPr>
          <w:rFonts w:cs="Arial"/>
          <w:lang w:val="en-US"/>
        </w:rPr>
        <w:t>, 1, n.p. Available at:</w:t>
      </w:r>
      <w:r w:rsidRPr="00761340">
        <w:rPr>
          <w:rFonts w:cs="Arial"/>
          <w:lang w:val="en-US"/>
        </w:rPr>
        <w:br/>
      </w:r>
      <w:hyperlink w:tgtFrame="_new" w:history="1" r:id="rId7">
        <w:r w:rsidRPr="00761340">
          <w:rPr>
            <w:rStyle w:val="Hyperlink"/>
            <w:rFonts w:cs="Arial"/>
            <w:lang w:val="en-US"/>
          </w:rPr>
          <w:t>https://www.researchgate.net/profile/Ibrahima_Haneef/publication/380664123_Ethical_Issues_in_Educational_Research/links/6647adf222a7f16b4f3362c0/Ethical-Issues-in-Educational-Research.pdf</w:t>
        </w:r>
      </w:hyperlink>
      <w:r w:rsidRPr="00761340">
        <w:rPr>
          <w:rFonts w:cs="Arial"/>
          <w:lang w:val="en-US"/>
        </w:rPr>
        <w:t xml:space="preserve"> (Accessed: 16 February 2026).</w:t>
      </w:r>
    </w:p>
    <w:p w:rsidRPr="00761340" w:rsidR="00F8540C" w:rsidP="005453EE" w:rsidRDefault="00F8540C" w14:paraId="065FE959" w14:textId="77777777">
      <w:pPr>
        <w:ind w:left="720" w:hanging="720"/>
        <w:rPr>
          <w:rFonts w:cs="Arial"/>
          <w:lang w:val="en-US"/>
        </w:rPr>
      </w:pPr>
      <w:r w:rsidRPr="00761340">
        <w:rPr>
          <w:rFonts w:cs="Arial"/>
          <w:lang w:val="en-US"/>
        </w:rPr>
        <w:t xml:space="preserve">Karunarathna, I., Godage, S., Fernando, C. </w:t>
      </w:r>
      <w:r w:rsidRPr="00761340">
        <w:rPr>
          <w:rFonts w:cs="Arial"/>
        </w:rPr>
        <w:t>and colleagues</w:t>
      </w:r>
      <w:r w:rsidRPr="00761340">
        <w:rPr>
          <w:rFonts w:cs="Arial"/>
          <w:lang w:val="en-US"/>
        </w:rPr>
        <w:t xml:space="preserve"> (2024) ‘The role of palliative care in enhancing quality of life: addressing complex needs and improving outcomes’, </w:t>
      </w:r>
      <w:r w:rsidRPr="00761340">
        <w:rPr>
          <w:rFonts w:cs="Arial"/>
          <w:i/>
          <w:iCs/>
          <w:lang w:val="en-US"/>
        </w:rPr>
        <w:t>Uva Clinical Palliative Care Medicine</w:t>
      </w:r>
      <w:r w:rsidRPr="00761340">
        <w:rPr>
          <w:rFonts w:cs="Arial"/>
          <w:lang w:val="en-US"/>
        </w:rPr>
        <w:t>, 1, n.p. Available at:</w:t>
      </w:r>
      <w:r w:rsidRPr="00761340">
        <w:rPr>
          <w:rFonts w:cs="Arial"/>
          <w:lang w:val="en-US"/>
        </w:rPr>
        <w:br/>
      </w:r>
      <w:hyperlink w:tgtFrame="_new" w:history="1" r:id="rId8">
        <w:r w:rsidRPr="00761340">
          <w:rPr>
            <w:rStyle w:val="Hyperlink"/>
            <w:rFonts w:cs="Arial"/>
            <w:lang w:val="en-US"/>
          </w:rPr>
          <w:t>https://www.researchgate.net/publication/386336326_The_Role_of_Palliative_Care_in_Enhancing_Quality_of_Life_Addressing_Complex_Needs_and_Improving_Outcomes</w:t>
        </w:r>
      </w:hyperlink>
      <w:r w:rsidRPr="00761340">
        <w:rPr>
          <w:rFonts w:cs="Arial"/>
          <w:lang w:val="en-US"/>
        </w:rPr>
        <w:t xml:space="preserve"> (Accessed: 16 February 2026).</w:t>
      </w:r>
    </w:p>
    <w:p w:rsidRPr="00761340" w:rsidR="00F8540C" w:rsidP="005453EE" w:rsidRDefault="00F8540C" w14:paraId="2887B4F4" w14:textId="77777777">
      <w:pPr>
        <w:ind w:left="720" w:hanging="720"/>
        <w:rPr>
          <w:rFonts w:cs="Arial"/>
          <w:lang w:val="en-US"/>
        </w:rPr>
      </w:pPr>
      <w:r w:rsidRPr="00761340">
        <w:rPr>
          <w:rFonts w:cs="Arial"/>
          <w:lang w:val="en-US"/>
        </w:rPr>
        <w:t xml:space="preserve">Marie Curie (2024) ‘Better end of life 2024: time to care report’, </w:t>
      </w:r>
      <w:r w:rsidRPr="00761340">
        <w:rPr>
          <w:rFonts w:cs="Arial"/>
          <w:i/>
          <w:iCs/>
          <w:lang w:val="en-US"/>
        </w:rPr>
        <w:t>Marie Curie Policy Report</w:t>
      </w:r>
      <w:r w:rsidRPr="00761340">
        <w:rPr>
          <w:rFonts w:cs="Arial"/>
          <w:lang w:val="en-US"/>
        </w:rPr>
        <w:t>, 1, n.p. London: Marie Curie. Available at:</w:t>
      </w:r>
      <w:r w:rsidRPr="00761340">
        <w:rPr>
          <w:rFonts w:cs="Arial"/>
          <w:lang w:val="en-US"/>
        </w:rPr>
        <w:br/>
      </w:r>
      <w:hyperlink w:tgtFrame="_new" w:history="1" r:id="rId9">
        <w:r w:rsidRPr="00761340">
          <w:rPr>
            <w:rStyle w:val="Hyperlink"/>
            <w:rFonts w:cs="Arial"/>
            <w:lang w:val="en-US"/>
          </w:rPr>
          <w:t>https://www.mariecurie.org.uk/globalassets/media/documents/policy/beol-reports-2024/beol-2024-time-to-care-report.pdf</w:t>
        </w:r>
      </w:hyperlink>
      <w:r w:rsidRPr="00761340">
        <w:rPr>
          <w:rFonts w:cs="Arial"/>
          <w:lang w:val="en-US"/>
        </w:rPr>
        <w:t xml:space="preserve"> (Accessed: 16 February 2026).</w:t>
      </w:r>
    </w:p>
    <w:p w:rsidRPr="00761340" w:rsidR="00F8540C" w:rsidP="005453EE" w:rsidRDefault="00F8540C" w14:paraId="7935C243" w14:textId="77777777">
      <w:pPr>
        <w:ind w:left="720" w:hanging="720"/>
        <w:rPr>
          <w:rFonts w:cs="Arial"/>
          <w:lang w:val="en-US"/>
        </w:rPr>
      </w:pPr>
      <w:r w:rsidRPr="00761340">
        <w:rPr>
          <w:rFonts w:cs="Arial"/>
          <w:lang w:val="en-US"/>
        </w:rPr>
        <w:t xml:space="preserve">World Health Organisation (2023) ‘Evidence synthesis for health policy and systems research: a methods guide’, </w:t>
      </w:r>
      <w:r w:rsidRPr="00761340">
        <w:rPr>
          <w:rFonts w:cs="Arial"/>
          <w:i/>
          <w:iCs/>
          <w:lang w:val="en-US"/>
        </w:rPr>
        <w:t>World Health Organisation Technical Report</w:t>
      </w:r>
      <w:r w:rsidRPr="00761340">
        <w:rPr>
          <w:rFonts w:cs="Arial"/>
          <w:lang w:val="en-US"/>
        </w:rPr>
        <w:t>, 1, n.p. Geneva: World Health Organisation. Available at:</w:t>
      </w:r>
      <w:r w:rsidRPr="00761340">
        <w:rPr>
          <w:rFonts w:cs="Arial"/>
          <w:lang w:val="en-US"/>
        </w:rPr>
        <w:br/>
      </w:r>
      <w:hyperlink w:tgtFrame="_new" w:history="1" r:id="rId10">
        <w:r w:rsidRPr="00761340">
          <w:rPr>
            <w:rStyle w:val="Hyperlink"/>
            <w:rFonts w:cs="Arial"/>
            <w:lang w:val="en-US"/>
          </w:rPr>
          <w:t>https://iris.who.int/bitstream/handle/10665/275367/9789241514552-eng.pdf</w:t>
        </w:r>
      </w:hyperlink>
      <w:r w:rsidRPr="00761340">
        <w:rPr>
          <w:rFonts w:cs="Arial"/>
          <w:lang w:val="en-US"/>
        </w:rPr>
        <w:t xml:space="preserve"> (Accessed: 16 February 2026).</w:t>
      </w:r>
    </w:p>
    <w:p w:rsidRPr="00761340" w:rsidR="005453EE" w:rsidP="005453EE" w:rsidRDefault="005453EE" w14:paraId="7D5D606B" w14:textId="0320602B">
      <w:pPr>
        <w:ind w:left="720" w:hanging="720"/>
        <w:rPr>
          <w:rFonts w:cs="Arial"/>
        </w:rPr>
      </w:pPr>
    </w:p>
    <w:p w:rsidRPr="00761340" w:rsidR="00331F5A" w:rsidP="00331F5A" w:rsidRDefault="00331F5A" w14:paraId="122C4F5C" w14:textId="64CA9049">
      <w:pPr>
        <w:spacing w:line="360" w:lineRule="auto"/>
        <w:rPr>
          <w:rFonts w:cs="Arial"/>
        </w:rPr>
      </w:pPr>
      <w:r w:rsidRPr="00761340">
        <w:rPr>
          <w:rFonts w:cs="Arial"/>
        </w:rPr>
        <w:br/>
      </w:r>
    </w:p>
    <w:p w:rsidRPr="00761340" w:rsidR="00331F5A" w:rsidP="00331F5A" w:rsidRDefault="00331F5A" w14:paraId="4F674FD0" w14:textId="7B679175">
      <w:pPr>
        <w:spacing w:line="360" w:lineRule="auto"/>
        <w:rPr>
          <w:rFonts w:cs="Arial"/>
        </w:rPr>
      </w:pPr>
    </w:p>
    <w:p w:rsidRPr="00761340" w:rsidR="00545684" w:rsidP="00331F5A" w:rsidRDefault="00331F5A" w14:paraId="5BC91157" w14:textId="2E98F5EB">
      <w:pPr>
        <w:spacing w:line="360" w:lineRule="auto"/>
        <w:rPr>
          <w:rFonts w:cs="Arial"/>
        </w:rPr>
      </w:pPr>
      <w:r w:rsidRPr="00761340">
        <w:rPr>
          <w:rFonts w:cs="Arial"/>
        </w:rPr>
        <w:br/>
      </w:r>
    </w:p>
    <w:sectPr w:rsidRPr="00761340" w:rsidR="00545684" w:rsidSect="00041A5A">
      <w:footerReference w:type="default" r:id="rId11"/>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6B5F" w:rsidP="00545684" w:rsidRDefault="00416B5F" w14:paraId="52D76A21" w14:textId="77777777">
      <w:pPr>
        <w:spacing w:after="0" w:line="240" w:lineRule="auto"/>
      </w:pPr>
      <w:r>
        <w:separator/>
      </w:r>
    </w:p>
  </w:endnote>
  <w:endnote w:type="continuationSeparator" w:id="0">
    <w:p w:rsidR="00416B5F" w:rsidP="00545684" w:rsidRDefault="00416B5F" w14:paraId="401DE4B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6B5F" w:rsidP="00545684" w:rsidRDefault="00416B5F" w14:paraId="58AAACFC" w14:textId="77777777">
      <w:pPr>
        <w:spacing w:after="0" w:line="240" w:lineRule="auto"/>
      </w:pPr>
      <w:r>
        <w:separator/>
      </w:r>
    </w:p>
  </w:footnote>
  <w:footnote w:type="continuationSeparator" w:id="0">
    <w:p w:rsidR="00416B5F" w:rsidP="00545684" w:rsidRDefault="00416B5F" w14:paraId="74172DA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1841AE"/>
    <w:multiLevelType w:val="multilevel"/>
    <w:tmpl w:val="0A0CE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696741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270B"/>
    <w:rsid w:val="000A5161"/>
    <w:rsid w:val="000B67B3"/>
    <w:rsid w:val="000B7CD5"/>
    <w:rsid w:val="0020643B"/>
    <w:rsid w:val="00216C85"/>
    <w:rsid w:val="00233945"/>
    <w:rsid w:val="002454F7"/>
    <w:rsid w:val="00245A44"/>
    <w:rsid w:val="00246285"/>
    <w:rsid w:val="00260277"/>
    <w:rsid w:val="00273EDD"/>
    <w:rsid w:val="002A15DA"/>
    <w:rsid w:val="002C3965"/>
    <w:rsid w:val="003018F0"/>
    <w:rsid w:val="0030581A"/>
    <w:rsid w:val="00321C4C"/>
    <w:rsid w:val="00331F5A"/>
    <w:rsid w:val="003A2FDF"/>
    <w:rsid w:val="003B5B7F"/>
    <w:rsid w:val="003F5709"/>
    <w:rsid w:val="00416B5F"/>
    <w:rsid w:val="00482E8A"/>
    <w:rsid w:val="004903AA"/>
    <w:rsid w:val="004E08D7"/>
    <w:rsid w:val="004E6C3B"/>
    <w:rsid w:val="00530330"/>
    <w:rsid w:val="00533F3A"/>
    <w:rsid w:val="005453EE"/>
    <w:rsid w:val="00545684"/>
    <w:rsid w:val="005848E8"/>
    <w:rsid w:val="00592900"/>
    <w:rsid w:val="0061260B"/>
    <w:rsid w:val="00646B10"/>
    <w:rsid w:val="00682D63"/>
    <w:rsid w:val="006903E0"/>
    <w:rsid w:val="006A5D4E"/>
    <w:rsid w:val="006D298C"/>
    <w:rsid w:val="00715990"/>
    <w:rsid w:val="00761340"/>
    <w:rsid w:val="00763097"/>
    <w:rsid w:val="00766861"/>
    <w:rsid w:val="00784670"/>
    <w:rsid w:val="00866B7B"/>
    <w:rsid w:val="008827C4"/>
    <w:rsid w:val="008E5015"/>
    <w:rsid w:val="00947954"/>
    <w:rsid w:val="00951D34"/>
    <w:rsid w:val="0095445A"/>
    <w:rsid w:val="009D0801"/>
    <w:rsid w:val="009D1D1E"/>
    <w:rsid w:val="00A035FD"/>
    <w:rsid w:val="00A276A0"/>
    <w:rsid w:val="00A6153D"/>
    <w:rsid w:val="00A970C5"/>
    <w:rsid w:val="00AF33FC"/>
    <w:rsid w:val="00AF3D12"/>
    <w:rsid w:val="00B70CE9"/>
    <w:rsid w:val="00BB09CD"/>
    <w:rsid w:val="00BD5582"/>
    <w:rsid w:val="00C026E8"/>
    <w:rsid w:val="00C052D8"/>
    <w:rsid w:val="00C52C96"/>
    <w:rsid w:val="00C54573"/>
    <w:rsid w:val="00D009F5"/>
    <w:rsid w:val="00D025CA"/>
    <w:rsid w:val="00D769F0"/>
    <w:rsid w:val="00E11652"/>
    <w:rsid w:val="00E52221"/>
    <w:rsid w:val="00E60F44"/>
    <w:rsid w:val="00E614D4"/>
    <w:rsid w:val="00E913EA"/>
    <w:rsid w:val="00EB1CE7"/>
    <w:rsid w:val="00EC20DB"/>
    <w:rsid w:val="00EC68DA"/>
    <w:rsid w:val="00EE4E58"/>
    <w:rsid w:val="00F278D4"/>
    <w:rsid w:val="00F46D1F"/>
    <w:rsid w:val="00F8540C"/>
    <w:rsid w:val="00FB4301"/>
    <w:rsid w:val="00FC2B9B"/>
    <w:rsid w:val="00FF5B70"/>
    <w:rsid w:val="00FF68EE"/>
    <w:rsid w:val="0898BE55"/>
    <w:rsid w:val="2B8B4B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30330"/>
    <w:pPr>
      <w:jc w:val="both"/>
    </w:pPr>
    <w:rPr>
      <w:rFonts w:ascii="Arial" w:hAnsi="Arial"/>
    </w:rPr>
  </w:style>
  <w:style w:type="paragraph" w:styleId="Heading1">
    <w:name w:val="heading 1"/>
    <w:basedOn w:val="Normal"/>
    <w:next w:val="Normal"/>
    <w:link w:val="Heading1Char"/>
    <w:autoRedefine/>
    <w:uiPriority w:val="9"/>
    <w:qFormat/>
    <w:rsid w:val="00530330"/>
    <w:pPr>
      <w:keepNext/>
      <w:keepLines/>
      <w:spacing w:before="240" w:after="0" w:line="360"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3033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5453EE"/>
    <w:rPr>
      <w:color w:val="0563C1" w:themeColor="hyperlink"/>
      <w:u w:val="single"/>
    </w:rPr>
  </w:style>
  <w:style w:type="character" w:styleId="UnresolvedMention">
    <w:name w:val="Unresolved Mention"/>
    <w:basedOn w:val="DefaultParagraphFont"/>
    <w:uiPriority w:val="99"/>
    <w:semiHidden/>
    <w:unhideWhenUsed/>
    <w:rsid w:val="005453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researchgate.net/publication/386336326_The_Role_of_Palliative_Care_in_Enhancing_Quality_of_Life_Addressing_Complex_Needs_and_Improving_Outcomes"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researchgate.net/profile/Ibrahima_Haneef/publication/380664123_Ethical_Issues_in_Educational_Research/links/6647adf222a7f16b4f3362c0/Ethical-Issues-in-Educational-Research.pdf"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iris.who.int/bitstream/handle/10665/275367/9789241514552-eng.pdf" TargetMode="External" Id="rId10" /><Relationship Type="http://schemas.openxmlformats.org/officeDocument/2006/relationships/webSettings" Target="webSettings.xml" Id="rId4" /><Relationship Type="http://schemas.openxmlformats.org/officeDocument/2006/relationships/hyperlink" Target="https://www.mariecurie.org.uk/globalassets/media/documents/policy/beol-reports-2024/beol-2024-time-to-care-report.pdf"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Gabriela Emilia Gheorghe (2310506)</lastModifiedBy>
  <revision>49</revision>
  <dcterms:created xsi:type="dcterms:W3CDTF">2025-01-13T16:05:00.0000000Z</dcterms:created>
  <dcterms:modified xsi:type="dcterms:W3CDTF">2026-02-16T20:25:58.5141617Z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72d8c364-bf14-4a3c-8dd5-500a43061877</vt:lpwstr>
  </property>
</Properties>
</file>