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83743" w14:textId="77777777" w:rsidR="004954FF" w:rsidRDefault="004954FF" w:rsidP="004954FF">
      <w:pPr>
        <w:spacing w:line="360" w:lineRule="auto"/>
        <w:rPr>
          <w:rFonts w:ascii="Arial" w:hAnsi="Arial" w:cs="Arial"/>
        </w:rPr>
      </w:pPr>
    </w:p>
    <w:p w14:paraId="3BFD2DA7" w14:textId="096554E9" w:rsidR="004954FF" w:rsidRDefault="004954FF" w:rsidP="004954FF">
      <w:pPr>
        <w:spacing w:line="360" w:lineRule="auto"/>
        <w:rPr>
          <w:rFonts w:ascii="Arial" w:hAnsi="Arial" w:cs="Arial"/>
        </w:rPr>
      </w:pPr>
      <w:r>
        <w:rPr>
          <w:rFonts w:ascii="Arial" w:hAnsi="Arial" w:cs="Arial"/>
          <w:noProof/>
        </w:rPr>
        <w:drawing>
          <wp:inline distT="0" distB="0" distL="0" distR="0" wp14:anchorId="1C0FDAE9" wp14:editId="5928CA1E">
            <wp:extent cx="2742527" cy="1098550"/>
            <wp:effectExtent l="0" t="0" r="1270" b="0"/>
            <wp:docPr id="1461908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7690" cy="1100618"/>
                    </a:xfrm>
                    <a:prstGeom prst="rect">
                      <a:avLst/>
                    </a:prstGeom>
                    <a:noFill/>
                  </pic:spPr>
                </pic:pic>
              </a:graphicData>
            </a:graphic>
          </wp:inline>
        </w:drawing>
      </w:r>
    </w:p>
    <w:p w14:paraId="5A5DB76C" w14:textId="77777777" w:rsidR="004954FF" w:rsidRDefault="004954FF" w:rsidP="004954FF">
      <w:pPr>
        <w:spacing w:line="360" w:lineRule="auto"/>
        <w:rPr>
          <w:rFonts w:ascii="Arial" w:hAnsi="Arial" w:cs="Arial"/>
        </w:rPr>
      </w:pPr>
    </w:p>
    <w:p w14:paraId="727069C0" w14:textId="04CAD4F3" w:rsidR="004954FF" w:rsidRPr="002C02A2" w:rsidRDefault="002C02A2" w:rsidP="004954FF">
      <w:pPr>
        <w:spacing w:line="360" w:lineRule="auto"/>
        <w:rPr>
          <w:rFonts w:ascii="Arial" w:hAnsi="Arial" w:cs="Arial"/>
          <w:sz w:val="44"/>
          <w:szCs w:val="44"/>
        </w:rPr>
      </w:pPr>
      <w:r w:rsidRPr="002C02A2">
        <w:rPr>
          <w:rFonts w:ascii="Arial" w:hAnsi="Arial" w:cs="Arial"/>
          <w:b/>
          <w:bCs/>
          <w:sz w:val="44"/>
          <w:szCs w:val="44"/>
        </w:rPr>
        <w:t>Module Name:</w:t>
      </w:r>
      <w:r>
        <w:rPr>
          <w:rFonts w:ascii="Arial" w:hAnsi="Arial" w:cs="Arial"/>
          <w:sz w:val="44"/>
          <w:szCs w:val="44"/>
        </w:rPr>
        <w:t xml:space="preserve"> </w:t>
      </w:r>
      <w:r w:rsidRPr="002C02A2">
        <w:rPr>
          <w:rFonts w:ascii="Arial" w:hAnsi="Arial" w:cs="Arial"/>
          <w:sz w:val="44"/>
          <w:szCs w:val="44"/>
        </w:rPr>
        <w:t>Problem Solving and Innovation</w:t>
      </w:r>
    </w:p>
    <w:p w14:paraId="15D9C5A5" w14:textId="2DB7E784" w:rsidR="002C02A2" w:rsidRPr="002C02A2" w:rsidRDefault="002C02A2" w:rsidP="004954FF">
      <w:pPr>
        <w:spacing w:line="360" w:lineRule="auto"/>
        <w:rPr>
          <w:rFonts w:ascii="Arial" w:hAnsi="Arial" w:cs="Arial"/>
          <w:sz w:val="44"/>
          <w:szCs w:val="44"/>
        </w:rPr>
      </w:pPr>
      <w:r w:rsidRPr="002C02A2">
        <w:rPr>
          <w:rFonts w:ascii="Arial" w:hAnsi="Arial" w:cs="Arial"/>
          <w:b/>
          <w:bCs/>
          <w:sz w:val="44"/>
          <w:szCs w:val="44"/>
        </w:rPr>
        <w:t>Module Code:</w:t>
      </w:r>
      <w:r>
        <w:rPr>
          <w:rFonts w:ascii="Arial" w:hAnsi="Arial" w:cs="Arial"/>
          <w:sz w:val="44"/>
          <w:szCs w:val="44"/>
        </w:rPr>
        <w:t xml:space="preserve"> </w:t>
      </w:r>
      <w:r w:rsidRPr="002C02A2">
        <w:rPr>
          <w:rFonts w:ascii="Arial" w:hAnsi="Arial" w:cs="Arial"/>
          <w:sz w:val="44"/>
          <w:szCs w:val="44"/>
        </w:rPr>
        <w:t>BMSW4014</w:t>
      </w:r>
    </w:p>
    <w:p w14:paraId="0BDF21F9" w14:textId="145CD0FF" w:rsidR="002C02A2" w:rsidRPr="002C141A" w:rsidRDefault="002C02A2" w:rsidP="004954FF">
      <w:pPr>
        <w:spacing w:line="360" w:lineRule="auto"/>
        <w:rPr>
          <w:rFonts w:ascii="Arial" w:hAnsi="Arial" w:cs="Arial"/>
          <w:sz w:val="44"/>
          <w:szCs w:val="44"/>
        </w:rPr>
      </w:pPr>
      <w:r w:rsidRPr="002C02A2">
        <w:rPr>
          <w:rFonts w:ascii="Arial" w:hAnsi="Arial" w:cs="Arial"/>
          <w:b/>
          <w:bCs/>
          <w:sz w:val="44"/>
          <w:szCs w:val="44"/>
        </w:rPr>
        <w:t>Assessment 2:</w:t>
      </w:r>
      <w:r w:rsidR="002C141A">
        <w:rPr>
          <w:rFonts w:ascii="Arial" w:hAnsi="Arial" w:cs="Arial"/>
          <w:sz w:val="44"/>
          <w:szCs w:val="44"/>
        </w:rPr>
        <w:t xml:space="preserve"> Understanding the Business Environment of the Influencer Industry</w:t>
      </w:r>
    </w:p>
    <w:p w14:paraId="50920BA7" w14:textId="3514BD52" w:rsidR="002C02A2" w:rsidRPr="002C02A2" w:rsidRDefault="002C02A2" w:rsidP="004954FF">
      <w:pPr>
        <w:spacing w:line="360" w:lineRule="auto"/>
        <w:rPr>
          <w:rFonts w:ascii="Arial" w:hAnsi="Arial" w:cs="Arial"/>
          <w:sz w:val="44"/>
          <w:szCs w:val="44"/>
        </w:rPr>
      </w:pPr>
      <w:r w:rsidRPr="002C02A2">
        <w:rPr>
          <w:rFonts w:ascii="Arial" w:hAnsi="Arial" w:cs="Arial"/>
          <w:b/>
          <w:bCs/>
          <w:sz w:val="44"/>
          <w:szCs w:val="44"/>
        </w:rPr>
        <w:t>Student Name:</w:t>
      </w:r>
      <w:r>
        <w:rPr>
          <w:rFonts w:ascii="Arial" w:hAnsi="Arial" w:cs="Arial"/>
          <w:sz w:val="44"/>
          <w:szCs w:val="44"/>
        </w:rPr>
        <w:t xml:space="preserve"> Jaclina Sanca</w:t>
      </w:r>
    </w:p>
    <w:p w14:paraId="5A5921C2" w14:textId="6731B12C" w:rsidR="002C02A2" w:rsidRPr="002C02A2" w:rsidRDefault="002C02A2" w:rsidP="004954FF">
      <w:pPr>
        <w:spacing w:line="360" w:lineRule="auto"/>
        <w:rPr>
          <w:rFonts w:ascii="Arial" w:hAnsi="Arial" w:cs="Arial"/>
          <w:sz w:val="44"/>
          <w:szCs w:val="44"/>
        </w:rPr>
      </w:pPr>
      <w:r w:rsidRPr="002C02A2">
        <w:rPr>
          <w:rFonts w:ascii="Arial" w:hAnsi="Arial" w:cs="Arial"/>
          <w:b/>
          <w:bCs/>
          <w:sz w:val="44"/>
          <w:szCs w:val="44"/>
        </w:rPr>
        <w:t>Student Number:</w:t>
      </w:r>
      <w:r>
        <w:rPr>
          <w:rFonts w:ascii="Arial" w:hAnsi="Arial" w:cs="Arial"/>
          <w:sz w:val="44"/>
          <w:szCs w:val="44"/>
        </w:rPr>
        <w:t xml:space="preserve"> 2507894</w:t>
      </w:r>
    </w:p>
    <w:p w14:paraId="4D62D507" w14:textId="37864ABD" w:rsidR="002C02A2" w:rsidRPr="002C02A2" w:rsidRDefault="002C02A2" w:rsidP="004954FF">
      <w:pPr>
        <w:spacing w:line="360" w:lineRule="auto"/>
        <w:rPr>
          <w:rFonts w:ascii="Arial" w:hAnsi="Arial" w:cs="Arial"/>
          <w:sz w:val="44"/>
          <w:szCs w:val="44"/>
        </w:rPr>
      </w:pPr>
      <w:r w:rsidRPr="002C02A2">
        <w:rPr>
          <w:rFonts w:ascii="Arial" w:hAnsi="Arial" w:cs="Arial"/>
          <w:b/>
          <w:bCs/>
          <w:sz w:val="44"/>
          <w:szCs w:val="44"/>
        </w:rPr>
        <w:t>Lecturer:</w:t>
      </w:r>
      <w:r>
        <w:rPr>
          <w:rFonts w:ascii="Arial" w:hAnsi="Arial" w:cs="Arial"/>
          <w:sz w:val="44"/>
          <w:szCs w:val="44"/>
        </w:rPr>
        <w:t xml:space="preserve"> </w:t>
      </w:r>
      <w:r w:rsidRPr="002C02A2">
        <w:rPr>
          <w:rFonts w:ascii="Arial" w:hAnsi="Arial" w:cs="Arial"/>
          <w:sz w:val="44"/>
          <w:szCs w:val="44"/>
        </w:rPr>
        <w:t>Chris Wilkin</w:t>
      </w:r>
    </w:p>
    <w:p w14:paraId="51AF9AC4" w14:textId="12543947" w:rsidR="002C02A2" w:rsidRDefault="002C02A2" w:rsidP="004954FF">
      <w:pPr>
        <w:spacing w:line="360" w:lineRule="auto"/>
        <w:rPr>
          <w:rFonts w:ascii="Arial" w:hAnsi="Arial" w:cs="Arial"/>
          <w:sz w:val="44"/>
          <w:szCs w:val="44"/>
        </w:rPr>
      </w:pPr>
      <w:r w:rsidRPr="002C02A2">
        <w:rPr>
          <w:rFonts w:ascii="Arial" w:hAnsi="Arial" w:cs="Arial"/>
          <w:b/>
          <w:bCs/>
          <w:sz w:val="44"/>
          <w:szCs w:val="44"/>
        </w:rPr>
        <w:t>Deadline:</w:t>
      </w:r>
      <w:r>
        <w:rPr>
          <w:rFonts w:ascii="Arial" w:hAnsi="Arial" w:cs="Arial"/>
          <w:sz w:val="44"/>
          <w:szCs w:val="44"/>
        </w:rPr>
        <w:t xml:space="preserve"> Friday 10</w:t>
      </w:r>
      <w:r w:rsidRPr="002C02A2">
        <w:rPr>
          <w:rFonts w:ascii="Arial" w:hAnsi="Arial" w:cs="Arial"/>
          <w:sz w:val="44"/>
          <w:szCs w:val="44"/>
          <w:vertAlign w:val="superscript"/>
        </w:rPr>
        <w:t>th</w:t>
      </w:r>
      <w:r>
        <w:rPr>
          <w:rFonts w:ascii="Arial" w:hAnsi="Arial" w:cs="Arial"/>
          <w:sz w:val="44"/>
          <w:szCs w:val="44"/>
        </w:rPr>
        <w:t xml:space="preserve"> July 23:59PM</w:t>
      </w:r>
    </w:p>
    <w:p w14:paraId="4011614F" w14:textId="77777777" w:rsidR="002C141A" w:rsidRDefault="002C141A" w:rsidP="004954FF">
      <w:pPr>
        <w:spacing w:line="360" w:lineRule="auto"/>
        <w:rPr>
          <w:rFonts w:ascii="Arial" w:hAnsi="Arial" w:cs="Arial"/>
          <w:sz w:val="44"/>
          <w:szCs w:val="44"/>
        </w:rPr>
      </w:pPr>
    </w:p>
    <w:p w14:paraId="1C707058" w14:textId="77777777" w:rsidR="002C141A" w:rsidRDefault="002C141A" w:rsidP="004954FF">
      <w:pPr>
        <w:spacing w:line="360" w:lineRule="auto"/>
        <w:rPr>
          <w:rFonts w:ascii="Arial" w:hAnsi="Arial" w:cs="Arial"/>
          <w:sz w:val="44"/>
          <w:szCs w:val="44"/>
        </w:rPr>
      </w:pPr>
    </w:p>
    <w:p w14:paraId="762CC930" w14:textId="601F31D9" w:rsidR="002D6B10" w:rsidRPr="0069034C" w:rsidRDefault="002D6B10" w:rsidP="004954FF">
      <w:pPr>
        <w:spacing w:line="360" w:lineRule="auto"/>
        <w:rPr>
          <w:rFonts w:ascii="Arial" w:hAnsi="Arial" w:cs="Arial"/>
          <w:b/>
          <w:bCs/>
          <w:sz w:val="44"/>
          <w:szCs w:val="44"/>
        </w:rPr>
      </w:pPr>
    </w:p>
    <w:sdt>
      <w:sdtPr>
        <w:rPr>
          <w:rFonts w:ascii="Arial" w:hAnsi="Arial" w:cs="Arial"/>
        </w:rPr>
        <w:id w:val="-1184815988"/>
        <w:docPartObj>
          <w:docPartGallery w:val="Table of Contents"/>
          <w:docPartUnique/>
        </w:docPartObj>
      </w:sdtPr>
      <w:sdtEndPr>
        <w:rPr>
          <w:rFonts w:eastAsiaTheme="minorHAnsi"/>
          <w:b/>
          <w:bCs/>
          <w:color w:val="auto"/>
          <w:kern w:val="2"/>
          <w:sz w:val="24"/>
          <w:szCs w:val="24"/>
          <w:lang w:eastAsia="en-US"/>
          <w14:ligatures w14:val="standardContextual"/>
        </w:rPr>
      </w:sdtEndPr>
      <w:sdtContent>
        <w:p w14:paraId="7866CEB4" w14:textId="41A11BB7" w:rsidR="00BF477F" w:rsidRPr="00BF477F" w:rsidRDefault="00BF477F">
          <w:pPr>
            <w:pStyle w:val="TOCHeading"/>
            <w:rPr>
              <w:rFonts w:ascii="Arial" w:hAnsi="Arial" w:cs="Arial"/>
            </w:rPr>
          </w:pPr>
          <w:r w:rsidRPr="00BF477F">
            <w:rPr>
              <w:rFonts w:ascii="Arial" w:hAnsi="Arial" w:cs="Arial"/>
            </w:rPr>
            <w:t>Table of Contents</w:t>
          </w:r>
        </w:p>
        <w:p w14:paraId="0F4BDB89" w14:textId="79290496" w:rsidR="00114858" w:rsidRDefault="00BF477F">
          <w:pPr>
            <w:pStyle w:val="TOC1"/>
            <w:tabs>
              <w:tab w:val="right" w:leader="dot" w:pos="9016"/>
            </w:tabs>
            <w:rPr>
              <w:rFonts w:eastAsiaTheme="minorEastAsia"/>
              <w:noProof/>
              <w:lang w:eastAsia="en-GB"/>
            </w:rPr>
          </w:pPr>
          <w:r w:rsidRPr="0069034C">
            <w:rPr>
              <w:rFonts w:ascii="Arial" w:hAnsi="Arial" w:cs="Arial"/>
            </w:rPr>
            <w:fldChar w:fldCharType="begin"/>
          </w:r>
          <w:r w:rsidRPr="0069034C">
            <w:rPr>
              <w:rFonts w:ascii="Arial" w:hAnsi="Arial" w:cs="Arial"/>
            </w:rPr>
            <w:instrText xml:space="preserve"> TOC \o "1-3" \h \z \u </w:instrText>
          </w:r>
          <w:r w:rsidRPr="0069034C">
            <w:rPr>
              <w:rFonts w:ascii="Arial" w:hAnsi="Arial" w:cs="Arial"/>
            </w:rPr>
            <w:fldChar w:fldCharType="separate"/>
          </w:r>
          <w:hyperlink w:anchor="_Toc234602647" w:history="1">
            <w:r w:rsidR="00114858" w:rsidRPr="009F54DF">
              <w:rPr>
                <w:rStyle w:val="Hyperlink"/>
                <w:rFonts w:ascii="Arial" w:hAnsi="Arial" w:cs="Arial"/>
                <w:noProof/>
              </w:rPr>
              <w:t>1. Introduction</w:t>
            </w:r>
            <w:r w:rsidR="00114858">
              <w:rPr>
                <w:noProof/>
                <w:webHidden/>
              </w:rPr>
              <w:tab/>
            </w:r>
            <w:r w:rsidR="00114858">
              <w:rPr>
                <w:noProof/>
                <w:webHidden/>
              </w:rPr>
              <w:fldChar w:fldCharType="begin"/>
            </w:r>
            <w:r w:rsidR="00114858">
              <w:rPr>
                <w:noProof/>
                <w:webHidden/>
              </w:rPr>
              <w:instrText xml:space="preserve"> PAGEREF _Toc234602647 \h </w:instrText>
            </w:r>
            <w:r w:rsidR="00114858">
              <w:rPr>
                <w:noProof/>
                <w:webHidden/>
              </w:rPr>
            </w:r>
            <w:r w:rsidR="00114858">
              <w:rPr>
                <w:noProof/>
                <w:webHidden/>
              </w:rPr>
              <w:fldChar w:fldCharType="separate"/>
            </w:r>
            <w:r w:rsidR="00114858">
              <w:rPr>
                <w:noProof/>
                <w:webHidden/>
              </w:rPr>
              <w:t>3</w:t>
            </w:r>
            <w:r w:rsidR="00114858">
              <w:rPr>
                <w:noProof/>
                <w:webHidden/>
              </w:rPr>
              <w:fldChar w:fldCharType="end"/>
            </w:r>
          </w:hyperlink>
        </w:p>
        <w:p w14:paraId="6C31D94E" w14:textId="1DAB72BB" w:rsidR="00114858" w:rsidRDefault="00114858">
          <w:pPr>
            <w:pStyle w:val="TOC1"/>
            <w:tabs>
              <w:tab w:val="right" w:leader="dot" w:pos="9016"/>
            </w:tabs>
            <w:rPr>
              <w:rFonts w:eastAsiaTheme="minorEastAsia"/>
              <w:noProof/>
              <w:lang w:eastAsia="en-GB"/>
            </w:rPr>
          </w:pPr>
          <w:hyperlink w:anchor="_Toc234602648" w:history="1">
            <w:r w:rsidRPr="009F54DF">
              <w:rPr>
                <w:rStyle w:val="Hyperlink"/>
                <w:rFonts w:ascii="Arial" w:hAnsi="Arial" w:cs="Arial"/>
                <w:noProof/>
              </w:rPr>
              <w:t>2. STEEPLE Analysis</w:t>
            </w:r>
            <w:r>
              <w:rPr>
                <w:noProof/>
                <w:webHidden/>
              </w:rPr>
              <w:tab/>
            </w:r>
            <w:r>
              <w:rPr>
                <w:noProof/>
                <w:webHidden/>
              </w:rPr>
              <w:fldChar w:fldCharType="begin"/>
            </w:r>
            <w:r>
              <w:rPr>
                <w:noProof/>
                <w:webHidden/>
              </w:rPr>
              <w:instrText xml:space="preserve"> PAGEREF _Toc234602648 \h </w:instrText>
            </w:r>
            <w:r>
              <w:rPr>
                <w:noProof/>
                <w:webHidden/>
              </w:rPr>
            </w:r>
            <w:r>
              <w:rPr>
                <w:noProof/>
                <w:webHidden/>
              </w:rPr>
              <w:fldChar w:fldCharType="separate"/>
            </w:r>
            <w:r>
              <w:rPr>
                <w:noProof/>
                <w:webHidden/>
              </w:rPr>
              <w:t>4</w:t>
            </w:r>
            <w:r>
              <w:rPr>
                <w:noProof/>
                <w:webHidden/>
              </w:rPr>
              <w:fldChar w:fldCharType="end"/>
            </w:r>
          </w:hyperlink>
        </w:p>
        <w:p w14:paraId="4F6A6A90" w14:textId="727A556D" w:rsidR="00114858" w:rsidRDefault="00114858">
          <w:pPr>
            <w:pStyle w:val="TOC2"/>
            <w:tabs>
              <w:tab w:val="right" w:leader="dot" w:pos="9016"/>
            </w:tabs>
            <w:rPr>
              <w:rFonts w:eastAsiaTheme="minorEastAsia"/>
              <w:noProof/>
              <w:lang w:eastAsia="en-GB"/>
            </w:rPr>
          </w:pPr>
          <w:hyperlink w:anchor="_Toc234602649" w:history="1">
            <w:r w:rsidRPr="009F54DF">
              <w:rPr>
                <w:rStyle w:val="Hyperlink"/>
                <w:rFonts w:ascii="Arial" w:hAnsi="Arial" w:cs="Arial"/>
                <w:noProof/>
              </w:rPr>
              <w:t>2.1 Social factors</w:t>
            </w:r>
            <w:r>
              <w:rPr>
                <w:noProof/>
                <w:webHidden/>
              </w:rPr>
              <w:tab/>
            </w:r>
            <w:r>
              <w:rPr>
                <w:noProof/>
                <w:webHidden/>
              </w:rPr>
              <w:fldChar w:fldCharType="begin"/>
            </w:r>
            <w:r>
              <w:rPr>
                <w:noProof/>
                <w:webHidden/>
              </w:rPr>
              <w:instrText xml:space="preserve"> PAGEREF _Toc234602649 \h </w:instrText>
            </w:r>
            <w:r>
              <w:rPr>
                <w:noProof/>
                <w:webHidden/>
              </w:rPr>
            </w:r>
            <w:r>
              <w:rPr>
                <w:noProof/>
                <w:webHidden/>
              </w:rPr>
              <w:fldChar w:fldCharType="separate"/>
            </w:r>
            <w:r>
              <w:rPr>
                <w:noProof/>
                <w:webHidden/>
              </w:rPr>
              <w:t>4</w:t>
            </w:r>
            <w:r>
              <w:rPr>
                <w:noProof/>
                <w:webHidden/>
              </w:rPr>
              <w:fldChar w:fldCharType="end"/>
            </w:r>
          </w:hyperlink>
        </w:p>
        <w:p w14:paraId="4086FF70" w14:textId="68AD3CC7" w:rsidR="00114858" w:rsidRDefault="00114858">
          <w:pPr>
            <w:pStyle w:val="TOC2"/>
            <w:tabs>
              <w:tab w:val="right" w:leader="dot" w:pos="9016"/>
            </w:tabs>
            <w:rPr>
              <w:rFonts w:eastAsiaTheme="minorEastAsia"/>
              <w:noProof/>
              <w:lang w:eastAsia="en-GB"/>
            </w:rPr>
          </w:pPr>
          <w:hyperlink w:anchor="_Toc234602650" w:history="1">
            <w:r w:rsidRPr="009F54DF">
              <w:rPr>
                <w:rStyle w:val="Hyperlink"/>
                <w:rFonts w:ascii="Arial" w:hAnsi="Arial" w:cs="Arial"/>
                <w:noProof/>
              </w:rPr>
              <w:t>2.2 Technological factors</w:t>
            </w:r>
            <w:r>
              <w:rPr>
                <w:noProof/>
                <w:webHidden/>
              </w:rPr>
              <w:tab/>
            </w:r>
            <w:r>
              <w:rPr>
                <w:noProof/>
                <w:webHidden/>
              </w:rPr>
              <w:fldChar w:fldCharType="begin"/>
            </w:r>
            <w:r>
              <w:rPr>
                <w:noProof/>
                <w:webHidden/>
              </w:rPr>
              <w:instrText xml:space="preserve"> PAGEREF _Toc234602650 \h </w:instrText>
            </w:r>
            <w:r>
              <w:rPr>
                <w:noProof/>
                <w:webHidden/>
              </w:rPr>
            </w:r>
            <w:r>
              <w:rPr>
                <w:noProof/>
                <w:webHidden/>
              </w:rPr>
              <w:fldChar w:fldCharType="separate"/>
            </w:r>
            <w:r>
              <w:rPr>
                <w:noProof/>
                <w:webHidden/>
              </w:rPr>
              <w:t>4</w:t>
            </w:r>
            <w:r>
              <w:rPr>
                <w:noProof/>
                <w:webHidden/>
              </w:rPr>
              <w:fldChar w:fldCharType="end"/>
            </w:r>
          </w:hyperlink>
        </w:p>
        <w:p w14:paraId="16023F76" w14:textId="2C7DF314" w:rsidR="00114858" w:rsidRDefault="00114858">
          <w:pPr>
            <w:pStyle w:val="TOC2"/>
            <w:tabs>
              <w:tab w:val="right" w:leader="dot" w:pos="9016"/>
            </w:tabs>
            <w:rPr>
              <w:rFonts w:eastAsiaTheme="minorEastAsia"/>
              <w:noProof/>
              <w:lang w:eastAsia="en-GB"/>
            </w:rPr>
          </w:pPr>
          <w:hyperlink w:anchor="_Toc234602651" w:history="1">
            <w:r w:rsidRPr="009F54DF">
              <w:rPr>
                <w:rStyle w:val="Hyperlink"/>
                <w:rFonts w:ascii="Arial" w:hAnsi="Arial" w:cs="Arial"/>
                <w:noProof/>
              </w:rPr>
              <w:t>2.3 Economic factors</w:t>
            </w:r>
            <w:r>
              <w:rPr>
                <w:noProof/>
                <w:webHidden/>
              </w:rPr>
              <w:tab/>
            </w:r>
            <w:r>
              <w:rPr>
                <w:noProof/>
                <w:webHidden/>
              </w:rPr>
              <w:fldChar w:fldCharType="begin"/>
            </w:r>
            <w:r>
              <w:rPr>
                <w:noProof/>
                <w:webHidden/>
              </w:rPr>
              <w:instrText xml:space="preserve"> PAGEREF _Toc234602651 \h </w:instrText>
            </w:r>
            <w:r>
              <w:rPr>
                <w:noProof/>
                <w:webHidden/>
              </w:rPr>
            </w:r>
            <w:r>
              <w:rPr>
                <w:noProof/>
                <w:webHidden/>
              </w:rPr>
              <w:fldChar w:fldCharType="separate"/>
            </w:r>
            <w:r>
              <w:rPr>
                <w:noProof/>
                <w:webHidden/>
              </w:rPr>
              <w:t>4</w:t>
            </w:r>
            <w:r>
              <w:rPr>
                <w:noProof/>
                <w:webHidden/>
              </w:rPr>
              <w:fldChar w:fldCharType="end"/>
            </w:r>
          </w:hyperlink>
        </w:p>
        <w:p w14:paraId="6F494830" w14:textId="024ADDDF" w:rsidR="00114858" w:rsidRDefault="00114858">
          <w:pPr>
            <w:pStyle w:val="TOC2"/>
            <w:tabs>
              <w:tab w:val="right" w:leader="dot" w:pos="9016"/>
            </w:tabs>
            <w:rPr>
              <w:rFonts w:eastAsiaTheme="minorEastAsia"/>
              <w:noProof/>
              <w:lang w:eastAsia="en-GB"/>
            </w:rPr>
          </w:pPr>
          <w:hyperlink w:anchor="_Toc234602652" w:history="1">
            <w:r w:rsidRPr="009F54DF">
              <w:rPr>
                <w:rStyle w:val="Hyperlink"/>
                <w:rFonts w:ascii="Arial" w:hAnsi="Arial" w:cs="Arial"/>
                <w:noProof/>
              </w:rPr>
              <w:t>2.4 Environmental factors</w:t>
            </w:r>
            <w:r>
              <w:rPr>
                <w:noProof/>
                <w:webHidden/>
              </w:rPr>
              <w:tab/>
            </w:r>
            <w:r>
              <w:rPr>
                <w:noProof/>
                <w:webHidden/>
              </w:rPr>
              <w:fldChar w:fldCharType="begin"/>
            </w:r>
            <w:r>
              <w:rPr>
                <w:noProof/>
                <w:webHidden/>
              </w:rPr>
              <w:instrText xml:space="preserve"> PAGEREF _Toc234602652 \h </w:instrText>
            </w:r>
            <w:r>
              <w:rPr>
                <w:noProof/>
                <w:webHidden/>
              </w:rPr>
            </w:r>
            <w:r>
              <w:rPr>
                <w:noProof/>
                <w:webHidden/>
              </w:rPr>
              <w:fldChar w:fldCharType="separate"/>
            </w:r>
            <w:r>
              <w:rPr>
                <w:noProof/>
                <w:webHidden/>
              </w:rPr>
              <w:t>5</w:t>
            </w:r>
            <w:r>
              <w:rPr>
                <w:noProof/>
                <w:webHidden/>
              </w:rPr>
              <w:fldChar w:fldCharType="end"/>
            </w:r>
          </w:hyperlink>
        </w:p>
        <w:p w14:paraId="69634DB9" w14:textId="4A10E364" w:rsidR="00114858" w:rsidRDefault="00114858">
          <w:pPr>
            <w:pStyle w:val="TOC2"/>
            <w:tabs>
              <w:tab w:val="right" w:leader="dot" w:pos="9016"/>
            </w:tabs>
            <w:rPr>
              <w:rFonts w:eastAsiaTheme="minorEastAsia"/>
              <w:noProof/>
              <w:lang w:eastAsia="en-GB"/>
            </w:rPr>
          </w:pPr>
          <w:hyperlink w:anchor="_Toc234602653" w:history="1">
            <w:r w:rsidRPr="009F54DF">
              <w:rPr>
                <w:rStyle w:val="Hyperlink"/>
                <w:rFonts w:ascii="Arial" w:hAnsi="Arial" w:cs="Arial"/>
                <w:noProof/>
              </w:rPr>
              <w:t>2.5 Political factors</w:t>
            </w:r>
            <w:r>
              <w:rPr>
                <w:noProof/>
                <w:webHidden/>
              </w:rPr>
              <w:tab/>
            </w:r>
            <w:r>
              <w:rPr>
                <w:noProof/>
                <w:webHidden/>
              </w:rPr>
              <w:fldChar w:fldCharType="begin"/>
            </w:r>
            <w:r>
              <w:rPr>
                <w:noProof/>
                <w:webHidden/>
              </w:rPr>
              <w:instrText xml:space="preserve"> PAGEREF _Toc234602653 \h </w:instrText>
            </w:r>
            <w:r>
              <w:rPr>
                <w:noProof/>
                <w:webHidden/>
              </w:rPr>
            </w:r>
            <w:r>
              <w:rPr>
                <w:noProof/>
                <w:webHidden/>
              </w:rPr>
              <w:fldChar w:fldCharType="separate"/>
            </w:r>
            <w:r>
              <w:rPr>
                <w:noProof/>
                <w:webHidden/>
              </w:rPr>
              <w:t>5</w:t>
            </w:r>
            <w:r>
              <w:rPr>
                <w:noProof/>
                <w:webHidden/>
              </w:rPr>
              <w:fldChar w:fldCharType="end"/>
            </w:r>
          </w:hyperlink>
        </w:p>
        <w:p w14:paraId="21A9AED1" w14:textId="141A25C6" w:rsidR="00114858" w:rsidRDefault="00114858">
          <w:pPr>
            <w:pStyle w:val="TOC2"/>
            <w:tabs>
              <w:tab w:val="right" w:leader="dot" w:pos="9016"/>
            </w:tabs>
            <w:rPr>
              <w:rFonts w:eastAsiaTheme="minorEastAsia"/>
              <w:noProof/>
              <w:lang w:eastAsia="en-GB"/>
            </w:rPr>
          </w:pPr>
          <w:hyperlink w:anchor="_Toc234602654" w:history="1">
            <w:r w:rsidRPr="009F54DF">
              <w:rPr>
                <w:rStyle w:val="Hyperlink"/>
                <w:rFonts w:ascii="Arial" w:hAnsi="Arial" w:cs="Arial"/>
                <w:noProof/>
              </w:rPr>
              <w:t>2.6 Legal factors</w:t>
            </w:r>
            <w:r>
              <w:rPr>
                <w:noProof/>
                <w:webHidden/>
              </w:rPr>
              <w:tab/>
            </w:r>
            <w:r>
              <w:rPr>
                <w:noProof/>
                <w:webHidden/>
              </w:rPr>
              <w:fldChar w:fldCharType="begin"/>
            </w:r>
            <w:r>
              <w:rPr>
                <w:noProof/>
                <w:webHidden/>
              </w:rPr>
              <w:instrText xml:space="preserve"> PAGEREF _Toc234602654 \h </w:instrText>
            </w:r>
            <w:r>
              <w:rPr>
                <w:noProof/>
                <w:webHidden/>
              </w:rPr>
            </w:r>
            <w:r>
              <w:rPr>
                <w:noProof/>
                <w:webHidden/>
              </w:rPr>
              <w:fldChar w:fldCharType="separate"/>
            </w:r>
            <w:r>
              <w:rPr>
                <w:noProof/>
                <w:webHidden/>
              </w:rPr>
              <w:t>5</w:t>
            </w:r>
            <w:r>
              <w:rPr>
                <w:noProof/>
                <w:webHidden/>
              </w:rPr>
              <w:fldChar w:fldCharType="end"/>
            </w:r>
          </w:hyperlink>
        </w:p>
        <w:p w14:paraId="05A43E07" w14:textId="73F19D45" w:rsidR="00114858" w:rsidRDefault="00114858">
          <w:pPr>
            <w:pStyle w:val="TOC2"/>
            <w:tabs>
              <w:tab w:val="right" w:leader="dot" w:pos="9016"/>
            </w:tabs>
            <w:rPr>
              <w:rFonts w:eastAsiaTheme="minorEastAsia"/>
              <w:noProof/>
              <w:lang w:eastAsia="en-GB"/>
            </w:rPr>
          </w:pPr>
          <w:hyperlink w:anchor="_Toc234602655" w:history="1">
            <w:r w:rsidRPr="009F54DF">
              <w:rPr>
                <w:rStyle w:val="Hyperlink"/>
                <w:rFonts w:ascii="Arial" w:hAnsi="Arial" w:cs="Arial"/>
                <w:noProof/>
              </w:rPr>
              <w:t>2.7 Ethical factors</w:t>
            </w:r>
            <w:r>
              <w:rPr>
                <w:noProof/>
                <w:webHidden/>
              </w:rPr>
              <w:tab/>
            </w:r>
            <w:r>
              <w:rPr>
                <w:noProof/>
                <w:webHidden/>
              </w:rPr>
              <w:fldChar w:fldCharType="begin"/>
            </w:r>
            <w:r>
              <w:rPr>
                <w:noProof/>
                <w:webHidden/>
              </w:rPr>
              <w:instrText xml:space="preserve"> PAGEREF _Toc234602655 \h </w:instrText>
            </w:r>
            <w:r>
              <w:rPr>
                <w:noProof/>
                <w:webHidden/>
              </w:rPr>
            </w:r>
            <w:r>
              <w:rPr>
                <w:noProof/>
                <w:webHidden/>
              </w:rPr>
              <w:fldChar w:fldCharType="separate"/>
            </w:r>
            <w:r>
              <w:rPr>
                <w:noProof/>
                <w:webHidden/>
              </w:rPr>
              <w:t>6</w:t>
            </w:r>
            <w:r>
              <w:rPr>
                <w:noProof/>
                <w:webHidden/>
              </w:rPr>
              <w:fldChar w:fldCharType="end"/>
            </w:r>
          </w:hyperlink>
        </w:p>
        <w:p w14:paraId="08EC4B91" w14:textId="75137481" w:rsidR="00114858" w:rsidRDefault="00114858">
          <w:pPr>
            <w:pStyle w:val="TOC1"/>
            <w:tabs>
              <w:tab w:val="right" w:leader="dot" w:pos="9016"/>
            </w:tabs>
            <w:rPr>
              <w:rFonts w:eastAsiaTheme="minorEastAsia"/>
              <w:noProof/>
              <w:lang w:eastAsia="en-GB"/>
            </w:rPr>
          </w:pPr>
          <w:hyperlink w:anchor="_Toc234602656" w:history="1">
            <w:r w:rsidRPr="009F54DF">
              <w:rPr>
                <w:rStyle w:val="Hyperlink"/>
                <w:rFonts w:ascii="Arial" w:hAnsi="Arial" w:cs="Arial"/>
                <w:noProof/>
              </w:rPr>
              <w:t>3. SWOT Analysis</w:t>
            </w:r>
            <w:r>
              <w:rPr>
                <w:noProof/>
                <w:webHidden/>
              </w:rPr>
              <w:tab/>
            </w:r>
            <w:r>
              <w:rPr>
                <w:noProof/>
                <w:webHidden/>
              </w:rPr>
              <w:fldChar w:fldCharType="begin"/>
            </w:r>
            <w:r>
              <w:rPr>
                <w:noProof/>
                <w:webHidden/>
              </w:rPr>
              <w:instrText xml:space="preserve"> PAGEREF _Toc234602656 \h </w:instrText>
            </w:r>
            <w:r>
              <w:rPr>
                <w:noProof/>
                <w:webHidden/>
              </w:rPr>
            </w:r>
            <w:r>
              <w:rPr>
                <w:noProof/>
                <w:webHidden/>
              </w:rPr>
              <w:fldChar w:fldCharType="separate"/>
            </w:r>
            <w:r>
              <w:rPr>
                <w:noProof/>
                <w:webHidden/>
              </w:rPr>
              <w:t>6</w:t>
            </w:r>
            <w:r>
              <w:rPr>
                <w:noProof/>
                <w:webHidden/>
              </w:rPr>
              <w:fldChar w:fldCharType="end"/>
            </w:r>
          </w:hyperlink>
        </w:p>
        <w:p w14:paraId="6C1BB5EA" w14:textId="15FA82A6" w:rsidR="00114858" w:rsidRDefault="00114858">
          <w:pPr>
            <w:pStyle w:val="TOC1"/>
            <w:tabs>
              <w:tab w:val="right" w:leader="dot" w:pos="9016"/>
            </w:tabs>
            <w:rPr>
              <w:rFonts w:eastAsiaTheme="minorEastAsia"/>
              <w:noProof/>
              <w:lang w:eastAsia="en-GB"/>
            </w:rPr>
          </w:pPr>
          <w:hyperlink w:anchor="_Toc234602657" w:history="1">
            <w:r w:rsidRPr="009F54DF">
              <w:rPr>
                <w:rStyle w:val="Hyperlink"/>
                <w:rFonts w:ascii="Arial" w:hAnsi="Arial" w:cs="Arial"/>
                <w:noProof/>
              </w:rPr>
              <w:t>4. Future Lens</w:t>
            </w:r>
            <w:r>
              <w:rPr>
                <w:noProof/>
                <w:webHidden/>
              </w:rPr>
              <w:tab/>
            </w:r>
            <w:r>
              <w:rPr>
                <w:noProof/>
                <w:webHidden/>
              </w:rPr>
              <w:fldChar w:fldCharType="begin"/>
            </w:r>
            <w:r>
              <w:rPr>
                <w:noProof/>
                <w:webHidden/>
              </w:rPr>
              <w:instrText xml:space="preserve"> PAGEREF _Toc234602657 \h </w:instrText>
            </w:r>
            <w:r>
              <w:rPr>
                <w:noProof/>
                <w:webHidden/>
              </w:rPr>
            </w:r>
            <w:r>
              <w:rPr>
                <w:noProof/>
                <w:webHidden/>
              </w:rPr>
              <w:fldChar w:fldCharType="separate"/>
            </w:r>
            <w:r>
              <w:rPr>
                <w:noProof/>
                <w:webHidden/>
              </w:rPr>
              <w:t>7</w:t>
            </w:r>
            <w:r>
              <w:rPr>
                <w:noProof/>
                <w:webHidden/>
              </w:rPr>
              <w:fldChar w:fldCharType="end"/>
            </w:r>
          </w:hyperlink>
        </w:p>
        <w:p w14:paraId="7E1ED3B5" w14:textId="3F4FCC2E" w:rsidR="00114858" w:rsidRDefault="00114858">
          <w:pPr>
            <w:pStyle w:val="TOC1"/>
            <w:tabs>
              <w:tab w:val="right" w:leader="dot" w:pos="9016"/>
            </w:tabs>
            <w:rPr>
              <w:rFonts w:eastAsiaTheme="minorEastAsia"/>
              <w:noProof/>
              <w:lang w:eastAsia="en-GB"/>
            </w:rPr>
          </w:pPr>
          <w:hyperlink w:anchor="_Toc234602658" w:history="1">
            <w:r w:rsidRPr="009F54DF">
              <w:rPr>
                <w:rStyle w:val="Hyperlink"/>
                <w:rFonts w:ascii="Arial" w:hAnsi="Arial" w:cs="Arial"/>
                <w:noProof/>
              </w:rPr>
              <w:t>5. Recommendations</w:t>
            </w:r>
            <w:r>
              <w:rPr>
                <w:noProof/>
                <w:webHidden/>
              </w:rPr>
              <w:tab/>
            </w:r>
            <w:r>
              <w:rPr>
                <w:noProof/>
                <w:webHidden/>
              </w:rPr>
              <w:fldChar w:fldCharType="begin"/>
            </w:r>
            <w:r>
              <w:rPr>
                <w:noProof/>
                <w:webHidden/>
              </w:rPr>
              <w:instrText xml:space="preserve"> PAGEREF _Toc234602658 \h </w:instrText>
            </w:r>
            <w:r>
              <w:rPr>
                <w:noProof/>
                <w:webHidden/>
              </w:rPr>
            </w:r>
            <w:r>
              <w:rPr>
                <w:noProof/>
                <w:webHidden/>
              </w:rPr>
              <w:fldChar w:fldCharType="separate"/>
            </w:r>
            <w:r>
              <w:rPr>
                <w:noProof/>
                <w:webHidden/>
              </w:rPr>
              <w:t>8</w:t>
            </w:r>
            <w:r>
              <w:rPr>
                <w:noProof/>
                <w:webHidden/>
              </w:rPr>
              <w:fldChar w:fldCharType="end"/>
            </w:r>
          </w:hyperlink>
        </w:p>
        <w:p w14:paraId="7FACB0C6" w14:textId="316394CE" w:rsidR="00114858" w:rsidRDefault="00114858">
          <w:pPr>
            <w:pStyle w:val="TOC1"/>
            <w:tabs>
              <w:tab w:val="right" w:leader="dot" w:pos="9016"/>
            </w:tabs>
            <w:rPr>
              <w:rFonts w:eastAsiaTheme="minorEastAsia"/>
              <w:noProof/>
              <w:lang w:eastAsia="en-GB"/>
            </w:rPr>
          </w:pPr>
          <w:hyperlink w:anchor="_Toc234602659" w:history="1">
            <w:r w:rsidRPr="009F54DF">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_Toc234602659 \h </w:instrText>
            </w:r>
            <w:r>
              <w:rPr>
                <w:noProof/>
                <w:webHidden/>
              </w:rPr>
            </w:r>
            <w:r>
              <w:rPr>
                <w:noProof/>
                <w:webHidden/>
              </w:rPr>
              <w:fldChar w:fldCharType="separate"/>
            </w:r>
            <w:r>
              <w:rPr>
                <w:noProof/>
                <w:webHidden/>
              </w:rPr>
              <w:t>8</w:t>
            </w:r>
            <w:r>
              <w:rPr>
                <w:noProof/>
                <w:webHidden/>
              </w:rPr>
              <w:fldChar w:fldCharType="end"/>
            </w:r>
          </w:hyperlink>
        </w:p>
        <w:p w14:paraId="1F069D09" w14:textId="2A36FF49" w:rsidR="00114858" w:rsidRDefault="00114858">
          <w:pPr>
            <w:pStyle w:val="TOC1"/>
            <w:tabs>
              <w:tab w:val="right" w:leader="dot" w:pos="9016"/>
            </w:tabs>
            <w:rPr>
              <w:rFonts w:eastAsiaTheme="minorEastAsia"/>
              <w:noProof/>
              <w:lang w:eastAsia="en-GB"/>
            </w:rPr>
          </w:pPr>
          <w:hyperlink w:anchor="_Toc234602660" w:history="1">
            <w:r w:rsidRPr="009F54DF">
              <w:rPr>
                <w:rStyle w:val="Hyperlink"/>
                <w:rFonts w:ascii="Arial" w:eastAsiaTheme="majorEastAsia" w:hAnsi="Arial" w:cs="Arial"/>
                <w:noProof/>
                <w:lang w:val="en-US"/>
              </w:rPr>
              <w:t>References</w:t>
            </w:r>
            <w:r>
              <w:rPr>
                <w:noProof/>
                <w:webHidden/>
              </w:rPr>
              <w:tab/>
            </w:r>
            <w:r>
              <w:rPr>
                <w:noProof/>
                <w:webHidden/>
              </w:rPr>
              <w:fldChar w:fldCharType="begin"/>
            </w:r>
            <w:r>
              <w:rPr>
                <w:noProof/>
                <w:webHidden/>
              </w:rPr>
              <w:instrText xml:space="preserve"> PAGEREF _Toc234602660 \h </w:instrText>
            </w:r>
            <w:r>
              <w:rPr>
                <w:noProof/>
                <w:webHidden/>
              </w:rPr>
            </w:r>
            <w:r>
              <w:rPr>
                <w:noProof/>
                <w:webHidden/>
              </w:rPr>
              <w:fldChar w:fldCharType="separate"/>
            </w:r>
            <w:r>
              <w:rPr>
                <w:noProof/>
                <w:webHidden/>
              </w:rPr>
              <w:t>9</w:t>
            </w:r>
            <w:r>
              <w:rPr>
                <w:noProof/>
                <w:webHidden/>
              </w:rPr>
              <w:fldChar w:fldCharType="end"/>
            </w:r>
          </w:hyperlink>
        </w:p>
        <w:p w14:paraId="1B14DAE9" w14:textId="5BC3148C" w:rsidR="00BF477F" w:rsidRPr="0069034C" w:rsidRDefault="00BF477F">
          <w:pPr>
            <w:rPr>
              <w:rFonts w:ascii="Arial" w:hAnsi="Arial" w:cs="Arial"/>
            </w:rPr>
          </w:pPr>
          <w:r w:rsidRPr="0069034C">
            <w:rPr>
              <w:rFonts w:ascii="Arial" w:hAnsi="Arial" w:cs="Arial"/>
              <w:b/>
              <w:bCs/>
            </w:rPr>
            <w:fldChar w:fldCharType="end"/>
          </w:r>
        </w:p>
      </w:sdtContent>
    </w:sdt>
    <w:p w14:paraId="422D594B" w14:textId="77777777" w:rsidR="002D6B10" w:rsidRPr="0069034C" w:rsidRDefault="002D6B10" w:rsidP="004954FF">
      <w:pPr>
        <w:spacing w:line="360" w:lineRule="auto"/>
        <w:rPr>
          <w:rFonts w:ascii="Arial" w:hAnsi="Arial" w:cs="Arial"/>
        </w:rPr>
      </w:pPr>
    </w:p>
    <w:p w14:paraId="5BE98C6A" w14:textId="77777777" w:rsidR="002D6B10" w:rsidRPr="0069034C" w:rsidRDefault="002D6B10" w:rsidP="004954FF">
      <w:pPr>
        <w:spacing w:line="360" w:lineRule="auto"/>
        <w:rPr>
          <w:rFonts w:ascii="Arial" w:hAnsi="Arial" w:cs="Arial"/>
          <w:b/>
          <w:bCs/>
        </w:rPr>
      </w:pPr>
    </w:p>
    <w:p w14:paraId="466C1AA1" w14:textId="77777777" w:rsidR="002D6B10" w:rsidRPr="0069034C" w:rsidRDefault="002D6B10" w:rsidP="004954FF">
      <w:pPr>
        <w:spacing w:line="360" w:lineRule="auto"/>
        <w:rPr>
          <w:rFonts w:ascii="Arial" w:hAnsi="Arial" w:cs="Arial"/>
        </w:rPr>
      </w:pPr>
    </w:p>
    <w:p w14:paraId="746347EF" w14:textId="77777777" w:rsidR="002D6B10" w:rsidRPr="0069034C" w:rsidRDefault="002D6B10" w:rsidP="004954FF">
      <w:pPr>
        <w:spacing w:line="360" w:lineRule="auto"/>
        <w:rPr>
          <w:rFonts w:ascii="Arial" w:hAnsi="Arial" w:cs="Arial"/>
          <w:b/>
          <w:bCs/>
        </w:rPr>
      </w:pPr>
    </w:p>
    <w:p w14:paraId="61C5E35C" w14:textId="77777777" w:rsidR="002D6B10" w:rsidRPr="0069034C" w:rsidRDefault="002D6B10" w:rsidP="004954FF">
      <w:pPr>
        <w:spacing w:line="360" w:lineRule="auto"/>
        <w:rPr>
          <w:rFonts w:ascii="Arial" w:hAnsi="Arial" w:cs="Arial"/>
        </w:rPr>
      </w:pPr>
    </w:p>
    <w:p w14:paraId="239E5A7C" w14:textId="77777777" w:rsidR="002D6B10" w:rsidRPr="0069034C" w:rsidRDefault="002D6B10" w:rsidP="004954FF">
      <w:pPr>
        <w:spacing w:line="360" w:lineRule="auto"/>
        <w:rPr>
          <w:rFonts w:ascii="Arial" w:hAnsi="Arial" w:cs="Arial"/>
          <w:b/>
          <w:bCs/>
        </w:rPr>
      </w:pPr>
    </w:p>
    <w:p w14:paraId="24614566" w14:textId="77777777" w:rsidR="002D6B10" w:rsidRPr="0069034C" w:rsidRDefault="002D6B10" w:rsidP="004954FF">
      <w:pPr>
        <w:spacing w:line="360" w:lineRule="auto"/>
        <w:rPr>
          <w:rFonts w:ascii="Arial" w:hAnsi="Arial" w:cs="Arial"/>
          <w:b/>
          <w:bCs/>
        </w:rPr>
      </w:pPr>
    </w:p>
    <w:p w14:paraId="7AD5401B" w14:textId="77777777" w:rsidR="002D6B10" w:rsidRPr="0069034C" w:rsidRDefault="002D6B10" w:rsidP="004954FF">
      <w:pPr>
        <w:spacing w:line="360" w:lineRule="auto"/>
        <w:rPr>
          <w:rFonts w:ascii="Arial" w:hAnsi="Arial" w:cs="Arial"/>
          <w:b/>
          <w:bCs/>
        </w:rPr>
      </w:pPr>
    </w:p>
    <w:p w14:paraId="5D199008" w14:textId="77777777" w:rsidR="0069034C" w:rsidRDefault="0069034C" w:rsidP="0069034C">
      <w:pPr>
        <w:pStyle w:val="Title"/>
        <w:rPr>
          <w:rFonts w:ascii="Arial" w:hAnsi="Arial" w:cs="Arial"/>
        </w:rPr>
      </w:pPr>
    </w:p>
    <w:p w14:paraId="7092B8D8" w14:textId="77777777" w:rsidR="0069034C" w:rsidRPr="0069034C" w:rsidRDefault="0069034C" w:rsidP="0069034C">
      <w:pPr>
        <w:pStyle w:val="Title"/>
        <w:rPr>
          <w:rFonts w:ascii="Arial" w:hAnsi="Arial" w:cs="Arial"/>
          <w:sz w:val="24"/>
          <w:szCs w:val="24"/>
        </w:rPr>
      </w:pPr>
    </w:p>
    <w:p w14:paraId="331BFC2E" w14:textId="77777777" w:rsidR="0069034C" w:rsidRDefault="0069034C" w:rsidP="0069034C">
      <w:pPr>
        <w:pStyle w:val="Title"/>
        <w:rPr>
          <w:rFonts w:ascii="Arial" w:hAnsi="Arial" w:cs="Arial"/>
        </w:rPr>
      </w:pPr>
    </w:p>
    <w:p w14:paraId="58D94A50" w14:textId="47CA3339" w:rsidR="00C507EE" w:rsidRPr="0069034C" w:rsidRDefault="00C507EE" w:rsidP="0069034C">
      <w:pPr>
        <w:pStyle w:val="Title"/>
        <w:rPr>
          <w:rFonts w:ascii="Arial" w:hAnsi="Arial" w:cs="Arial"/>
        </w:rPr>
      </w:pPr>
      <w:r w:rsidRPr="002D6B10">
        <w:rPr>
          <w:rFonts w:ascii="Arial" w:hAnsi="Arial" w:cs="Arial"/>
        </w:rPr>
        <w:lastRenderedPageBreak/>
        <w:t>A Critical Analysis of External Factors Influencing the Creator Economy</w:t>
      </w:r>
    </w:p>
    <w:p w14:paraId="3F4EC090" w14:textId="77777777" w:rsidR="00C507EE" w:rsidRPr="002D6B10" w:rsidRDefault="00C507EE" w:rsidP="002D6B10">
      <w:pPr>
        <w:pStyle w:val="Heading1"/>
        <w:rPr>
          <w:rFonts w:ascii="Arial" w:hAnsi="Arial" w:cs="Arial"/>
        </w:rPr>
      </w:pPr>
      <w:bookmarkStart w:id="0" w:name="_Toc234602647"/>
      <w:r w:rsidRPr="002D6B10">
        <w:rPr>
          <w:rFonts w:ascii="Arial" w:hAnsi="Arial" w:cs="Arial"/>
        </w:rPr>
        <w:t>1. Introduction</w:t>
      </w:r>
      <w:bookmarkEnd w:id="0"/>
    </w:p>
    <w:p w14:paraId="0A9780AB" w14:textId="285517AE" w:rsidR="00C507EE" w:rsidRDefault="00C507EE" w:rsidP="00C507EE">
      <w:pPr>
        <w:spacing w:line="360" w:lineRule="auto"/>
        <w:rPr>
          <w:rFonts w:ascii="Arial" w:hAnsi="Arial" w:cs="Arial"/>
        </w:rPr>
      </w:pPr>
      <w:r w:rsidRPr="00C507EE">
        <w:rPr>
          <w:rFonts w:ascii="Arial" w:hAnsi="Arial" w:cs="Arial"/>
        </w:rPr>
        <w:t xml:space="preserve">Creator Economy is an ecosystem within which individuals generate digital content via social media platforms such as TikTok, YouTube, and Instagram, gaining followers and earning from advertisements, sponsorships, subscription services and commerce (Cunningham and Craig, 2019). Creator economy is economically important; according to Goldman Sachs (2023), the total addressable market is estimated at approximately $250 billion and may be doubled up to $480 billion in 2027 owing to approximately fifty million creators globally. However, it is one of the industries that is highly vulnerable to external factors, since creators are not owners of the platform, algorithm and regulations that they work with (Poell, Nieborg and Duffy, 2022). The purpose of this report is to conduct a critical analysis of the external environment of the creator economy in accordance with STEEPLE framework, provide an assessment of the sector's strategic position by means of SWOT analysis based on the obtained results, </w:t>
      </w:r>
      <w:r w:rsidR="00666568" w:rsidRPr="00C507EE">
        <w:rPr>
          <w:rFonts w:ascii="Arial" w:hAnsi="Arial" w:cs="Arial"/>
        </w:rPr>
        <w:t>analyse</w:t>
      </w:r>
      <w:r w:rsidRPr="00C507EE">
        <w:rPr>
          <w:rFonts w:ascii="Arial" w:hAnsi="Arial" w:cs="Arial"/>
        </w:rPr>
        <w:t xml:space="preserve"> the sector with the help of a future lens including DPSIR framework and provide two recommendations. STEEPLE framework is used instead of PESTLE due to ethics issues such as authenticity, disclosure and trust among others.</w:t>
      </w:r>
    </w:p>
    <w:p w14:paraId="4B35615C" w14:textId="77777777" w:rsidR="00C507EE" w:rsidRPr="00666568" w:rsidRDefault="00C507EE" w:rsidP="00C507EE">
      <w:pPr>
        <w:spacing w:line="360" w:lineRule="auto"/>
        <w:rPr>
          <w:rFonts w:ascii="Arial" w:hAnsi="Arial" w:cs="Arial"/>
          <w:b/>
          <w:bCs/>
          <w:sz w:val="44"/>
          <w:szCs w:val="44"/>
        </w:rPr>
      </w:pPr>
    </w:p>
    <w:p w14:paraId="646A550F" w14:textId="77777777" w:rsidR="00666568" w:rsidRDefault="00666568" w:rsidP="00C507EE">
      <w:pPr>
        <w:spacing w:line="360" w:lineRule="auto"/>
        <w:rPr>
          <w:rFonts w:ascii="Arial" w:hAnsi="Arial" w:cs="Arial"/>
          <w:b/>
          <w:bCs/>
          <w:sz w:val="44"/>
          <w:szCs w:val="44"/>
        </w:rPr>
      </w:pPr>
    </w:p>
    <w:p w14:paraId="7198CE44" w14:textId="77777777" w:rsidR="00666568" w:rsidRDefault="00666568" w:rsidP="00C507EE">
      <w:pPr>
        <w:spacing w:line="360" w:lineRule="auto"/>
        <w:rPr>
          <w:rFonts w:ascii="Arial" w:hAnsi="Arial" w:cs="Arial"/>
          <w:b/>
          <w:bCs/>
          <w:sz w:val="44"/>
          <w:szCs w:val="44"/>
        </w:rPr>
      </w:pPr>
    </w:p>
    <w:p w14:paraId="7158FF89" w14:textId="5E4E0168" w:rsidR="00C507EE" w:rsidRPr="002D6B10" w:rsidRDefault="00C507EE" w:rsidP="002D6B10">
      <w:pPr>
        <w:pStyle w:val="Heading1"/>
        <w:rPr>
          <w:rFonts w:ascii="Arial" w:hAnsi="Arial" w:cs="Arial"/>
          <w:sz w:val="44"/>
          <w:szCs w:val="44"/>
        </w:rPr>
      </w:pPr>
      <w:bookmarkStart w:id="1" w:name="_Toc234602648"/>
      <w:r w:rsidRPr="002D6B10">
        <w:rPr>
          <w:rFonts w:ascii="Arial" w:hAnsi="Arial" w:cs="Arial"/>
          <w:sz w:val="44"/>
          <w:szCs w:val="44"/>
        </w:rPr>
        <w:lastRenderedPageBreak/>
        <w:t>2. STEEPLE Analysis</w:t>
      </w:r>
      <w:bookmarkEnd w:id="1"/>
    </w:p>
    <w:p w14:paraId="7E502A38" w14:textId="77777777" w:rsidR="00C507EE" w:rsidRPr="002D6B10" w:rsidRDefault="00C507EE" w:rsidP="002D6B10">
      <w:pPr>
        <w:pStyle w:val="Heading2"/>
        <w:rPr>
          <w:rFonts w:ascii="Arial" w:hAnsi="Arial" w:cs="Arial"/>
          <w:sz w:val="40"/>
          <w:szCs w:val="40"/>
        </w:rPr>
      </w:pPr>
      <w:bookmarkStart w:id="2" w:name="_Toc234602649"/>
      <w:r w:rsidRPr="002D6B10">
        <w:rPr>
          <w:rFonts w:ascii="Arial" w:hAnsi="Arial" w:cs="Arial"/>
          <w:sz w:val="40"/>
          <w:szCs w:val="40"/>
        </w:rPr>
        <w:t>2.1 Social factors</w:t>
      </w:r>
      <w:bookmarkEnd w:id="2"/>
    </w:p>
    <w:p w14:paraId="6470A57F" w14:textId="52AA2902" w:rsidR="00C507EE" w:rsidRPr="00C507EE" w:rsidRDefault="00C507EE" w:rsidP="00C507EE">
      <w:pPr>
        <w:spacing w:line="360" w:lineRule="auto"/>
        <w:rPr>
          <w:rFonts w:ascii="Arial" w:hAnsi="Arial" w:cs="Arial"/>
        </w:rPr>
      </w:pPr>
      <w:r w:rsidRPr="00C507EE">
        <w:rPr>
          <w:rFonts w:ascii="Arial" w:hAnsi="Arial" w:cs="Arial"/>
        </w:rPr>
        <w:t xml:space="preserve">The changes in the </w:t>
      </w:r>
      <w:r w:rsidRPr="00C507EE">
        <w:rPr>
          <w:rFonts w:ascii="Arial" w:hAnsi="Arial" w:cs="Arial"/>
        </w:rPr>
        <w:t>behaviour</w:t>
      </w:r>
      <w:r w:rsidRPr="00C507EE">
        <w:rPr>
          <w:rFonts w:ascii="Arial" w:hAnsi="Arial" w:cs="Arial"/>
        </w:rPr>
        <w:t xml:space="preserve"> of consumers drive the growth in the sector. Consumers, especially Generation Z, have started to place more faith in peer-like recommendations rather than conventional marketing efforts, and the influence of influencers has become a key driver of purchasing decisions in areas such as beauty, fitness, and finance (Leung, Gu, and Palmatier, 2022). Nevertheless, this faith is conditional, as the examples of inauthenticity, commerciali</w:t>
      </w:r>
      <w:r w:rsidR="00E172AE">
        <w:rPr>
          <w:rFonts w:ascii="Arial" w:hAnsi="Arial" w:cs="Arial"/>
        </w:rPr>
        <w:t>s</w:t>
      </w:r>
      <w:r w:rsidRPr="00C507EE">
        <w:rPr>
          <w:rFonts w:ascii="Arial" w:hAnsi="Arial" w:cs="Arial"/>
        </w:rPr>
        <w:t>ation, and de-influencing prove. The socially valuable resource of credibility becomes vulnerable.</w:t>
      </w:r>
    </w:p>
    <w:p w14:paraId="5089DC6B" w14:textId="77777777" w:rsidR="00C507EE" w:rsidRPr="002D6B10" w:rsidRDefault="00C507EE" w:rsidP="002D6B10">
      <w:pPr>
        <w:pStyle w:val="Heading2"/>
        <w:rPr>
          <w:rFonts w:ascii="Arial" w:hAnsi="Arial" w:cs="Arial"/>
          <w:sz w:val="40"/>
          <w:szCs w:val="40"/>
        </w:rPr>
      </w:pPr>
      <w:bookmarkStart w:id="3" w:name="_Toc234602650"/>
      <w:r w:rsidRPr="002D6B10">
        <w:rPr>
          <w:rFonts w:ascii="Arial" w:hAnsi="Arial" w:cs="Arial"/>
          <w:sz w:val="40"/>
          <w:szCs w:val="40"/>
        </w:rPr>
        <w:t>2.2 Technological factors</w:t>
      </w:r>
      <w:bookmarkEnd w:id="3"/>
    </w:p>
    <w:p w14:paraId="53D9C232" w14:textId="77777777" w:rsidR="00C507EE" w:rsidRPr="00C507EE" w:rsidRDefault="00C507EE" w:rsidP="00C507EE">
      <w:pPr>
        <w:spacing w:line="360" w:lineRule="auto"/>
        <w:rPr>
          <w:rFonts w:ascii="Arial" w:hAnsi="Arial" w:cs="Arial"/>
        </w:rPr>
      </w:pPr>
      <w:r w:rsidRPr="00C507EE">
        <w:rPr>
          <w:rFonts w:ascii="Arial" w:hAnsi="Arial" w:cs="Arial"/>
        </w:rPr>
        <w:t>This same technology serves not only as the enabler of the industry but also as its biggest disruptor. Algorithmic recommendation technologies govern visibility; thus, a slight alteration to TikTok’s or Instagram’s algorithm could instantly ruin the reach of the content creator, a phenomenon that Poell, Nieborg, and Duffy (2022) call “platform precarity”. Generative AI is cutting down on the cost of production while at the same time generating artificial competition in the form of virtual influencers like Lil Miquela, who have managed to amass millions of followers and provide alternative ways to collaborate without the risk of controversy (Mouritzen, Penttinen and Pedersen, 2024).</w:t>
      </w:r>
    </w:p>
    <w:p w14:paraId="63FBE362" w14:textId="77777777" w:rsidR="00C507EE" w:rsidRPr="002D6B10" w:rsidRDefault="00C507EE" w:rsidP="002D6B10">
      <w:pPr>
        <w:pStyle w:val="Heading2"/>
        <w:rPr>
          <w:rFonts w:ascii="Arial" w:hAnsi="Arial" w:cs="Arial"/>
          <w:sz w:val="40"/>
          <w:szCs w:val="40"/>
        </w:rPr>
      </w:pPr>
      <w:bookmarkStart w:id="4" w:name="_Toc234602651"/>
      <w:r w:rsidRPr="002D6B10">
        <w:rPr>
          <w:rFonts w:ascii="Arial" w:hAnsi="Arial" w:cs="Arial"/>
          <w:sz w:val="40"/>
          <w:szCs w:val="40"/>
        </w:rPr>
        <w:t>2.3 Economic factors</w:t>
      </w:r>
      <w:bookmarkEnd w:id="4"/>
    </w:p>
    <w:p w14:paraId="514F2408" w14:textId="77777777" w:rsidR="00C507EE" w:rsidRPr="00C507EE" w:rsidRDefault="00C507EE" w:rsidP="00C507EE">
      <w:pPr>
        <w:spacing w:line="360" w:lineRule="auto"/>
        <w:rPr>
          <w:rFonts w:ascii="Arial" w:hAnsi="Arial" w:cs="Arial"/>
        </w:rPr>
      </w:pPr>
      <w:r w:rsidRPr="00C507EE">
        <w:rPr>
          <w:rFonts w:ascii="Arial" w:hAnsi="Arial" w:cs="Arial"/>
        </w:rPr>
        <w:t>Income inequality is high in the creator economy. According to Goldman Sachs (2023), only 4% of creators earn more than $100,000 a year, where the revenue is driven by about 70% from brand deals. The dependence of creators' income on marketing budgets means that creators are procyclical. That means that when advertising budgets shrink during recessions, mid-level creators suffer first. On the other hand, influencer marketing budgets keep growing and surpassed an estimate of $30 billion worldwide in 2025 (Influencer Marketing Hub, 2025).</w:t>
      </w:r>
    </w:p>
    <w:p w14:paraId="16434A79" w14:textId="77777777" w:rsidR="002D6B10" w:rsidRDefault="002D6B10" w:rsidP="00C507EE">
      <w:pPr>
        <w:spacing w:line="360" w:lineRule="auto"/>
        <w:rPr>
          <w:rFonts w:ascii="Arial" w:hAnsi="Arial" w:cs="Arial"/>
          <w:b/>
          <w:bCs/>
          <w:sz w:val="44"/>
          <w:szCs w:val="44"/>
        </w:rPr>
      </w:pPr>
    </w:p>
    <w:p w14:paraId="6426234A" w14:textId="44DE111C" w:rsidR="00C507EE" w:rsidRPr="002D6B10" w:rsidRDefault="00C507EE" w:rsidP="002D6B10">
      <w:pPr>
        <w:pStyle w:val="Heading2"/>
        <w:rPr>
          <w:rFonts w:ascii="Arial" w:hAnsi="Arial" w:cs="Arial"/>
          <w:sz w:val="40"/>
          <w:szCs w:val="40"/>
        </w:rPr>
      </w:pPr>
      <w:bookmarkStart w:id="5" w:name="_Toc234602652"/>
      <w:r w:rsidRPr="002D6B10">
        <w:rPr>
          <w:rFonts w:ascii="Arial" w:hAnsi="Arial" w:cs="Arial"/>
          <w:sz w:val="40"/>
          <w:szCs w:val="40"/>
        </w:rPr>
        <w:lastRenderedPageBreak/>
        <w:t>2.4 Environmental factors</w:t>
      </w:r>
      <w:bookmarkEnd w:id="5"/>
    </w:p>
    <w:p w14:paraId="2624CCAA" w14:textId="77777777" w:rsidR="00C507EE" w:rsidRPr="00C507EE" w:rsidRDefault="00C507EE" w:rsidP="00C507EE">
      <w:pPr>
        <w:spacing w:line="360" w:lineRule="auto"/>
        <w:rPr>
          <w:rFonts w:ascii="Arial" w:hAnsi="Arial" w:cs="Arial"/>
        </w:rPr>
      </w:pPr>
      <w:r w:rsidRPr="00C507EE">
        <w:rPr>
          <w:rFonts w:ascii="Arial" w:hAnsi="Arial" w:cs="Arial"/>
        </w:rPr>
        <w:t>The pressures on the environment have indirect effects, but they are becoming more visible. The influencer culture has been accused of encouraging over-consumption especially when dealing with fashion products that are fast-fashion haul content and are contrary to the growing demand for sustainability from consumers (Hund, 2023). Sustainability offers an opportunity: green influencers and sustainability partnerships with brands are emerging niches.</w:t>
      </w:r>
    </w:p>
    <w:p w14:paraId="6CCC561E" w14:textId="77777777" w:rsidR="00C507EE" w:rsidRPr="002D6B10" w:rsidRDefault="00C507EE" w:rsidP="002D6B10">
      <w:pPr>
        <w:pStyle w:val="Heading2"/>
        <w:rPr>
          <w:rFonts w:ascii="Arial" w:hAnsi="Arial" w:cs="Arial"/>
          <w:sz w:val="40"/>
          <w:szCs w:val="40"/>
        </w:rPr>
      </w:pPr>
      <w:bookmarkStart w:id="6" w:name="_Toc234602653"/>
      <w:r w:rsidRPr="002D6B10">
        <w:rPr>
          <w:rFonts w:ascii="Arial" w:hAnsi="Arial" w:cs="Arial"/>
          <w:sz w:val="40"/>
          <w:szCs w:val="40"/>
        </w:rPr>
        <w:t>2.5 Political factors</w:t>
      </w:r>
      <w:bookmarkEnd w:id="6"/>
    </w:p>
    <w:p w14:paraId="7610BE39" w14:textId="23A7EA47" w:rsidR="00C507EE" w:rsidRPr="00C507EE" w:rsidRDefault="00C507EE" w:rsidP="00C507EE">
      <w:pPr>
        <w:spacing w:line="360" w:lineRule="auto"/>
        <w:rPr>
          <w:rFonts w:ascii="Arial" w:hAnsi="Arial" w:cs="Arial"/>
        </w:rPr>
      </w:pPr>
      <w:r w:rsidRPr="00C507EE">
        <w:rPr>
          <w:rFonts w:ascii="Arial" w:hAnsi="Arial" w:cs="Arial"/>
        </w:rPr>
        <w:t xml:space="preserve">Geopolitical considerations are direct threats to platform stability. The protracted debate on TikTok ownership in the US is an example of how creator audiences have become political assets; Goldman Sachs Global Investment Research (2025) has even </w:t>
      </w:r>
      <w:r w:rsidRPr="00C507EE">
        <w:rPr>
          <w:rFonts w:ascii="Arial" w:hAnsi="Arial" w:cs="Arial"/>
        </w:rPr>
        <w:t>modelled</w:t>
      </w:r>
      <w:r w:rsidRPr="00C507EE">
        <w:rPr>
          <w:rFonts w:ascii="Arial" w:hAnsi="Arial" w:cs="Arial"/>
        </w:rPr>
        <w:t xml:space="preserve"> the effects of shutting down TikTok on advertising revenue. With increasing political concerns around data flow, national security, and platform power, it follows that creators assume political risks beyond their control.</w:t>
      </w:r>
    </w:p>
    <w:p w14:paraId="7B5E7E53" w14:textId="77777777" w:rsidR="00C507EE" w:rsidRPr="002D6B10" w:rsidRDefault="00C507EE" w:rsidP="002D6B10">
      <w:pPr>
        <w:pStyle w:val="Heading2"/>
        <w:rPr>
          <w:rFonts w:ascii="Arial" w:hAnsi="Arial" w:cs="Arial"/>
          <w:sz w:val="40"/>
          <w:szCs w:val="40"/>
        </w:rPr>
      </w:pPr>
      <w:bookmarkStart w:id="7" w:name="_Toc234602654"/>
      <w:r w:rsidRPr="002D6B10">
        <w:rPr>
          <w:rFonts w:ascii="Arial" w:hAnsi="Arial" w:cs="Arial"/>
          <w:sz w:val="40"/>
          <w:szCs w:val="40"/>
        </w:rPr>
        <w:t>2.6 Legal factors</w:t>
      </w:r>
      <w:bookmarkEnd w:id="7"/>
    </w:p>
    <w:p w14:paraId="73212C76" w14:textId="77777777" w:rsidR="00C507EE" w:rsidRPr="00C507EE" w:rsidRDefault="00C507EE" w:rsidP="00C507EE">
      <w:pPr>
        <w:spacing w:line="360" w:lineRule="auto"/>
        <w:rPr>
          <w:rFonts w:ascii="Arial" w:hAnsi="Arial" w:cs="Arial"/>
        </w:rPr>
      </w:pPr>
      <w:r w:rsidRPr="00C507EE">
        <w:rPr>
          <w:rFonts w:ascii="Arial" w:hAnsi="Arial" w:cs="Arial"/>
        </w:rPr>
        <w:t>Regulations are becoming stricter across jurisdictions. For example, the Competition and Markets Authority of the UK mandates clear disclosure of sponsored posts (CMA, 2023), while the Advertising Standards Authority takes actions against influencers who fail to comply with regulations. Meanwhile, the updated Endorsement Guides of the FTC of the US include fake reviews and material connections among liabilities (FTC, 2023). Moreover, the EU AI Act has made transparency a legal requirement for artificial intelligence content (European Commission, 2024), while the Online Safety Act of the UK is introducing new obligations for platforms (Ofcom, 2024). Thus, legal risks are not a marginal issue anymore.</w:t>
      </w:r>
    </w:p>
    <w:p w14:paraId="158CB250" w14:textId="77777777" w:rsidR="00666568" w:rsidRDefault="00666568" w:rsidP="00C507EE">
      <w:pPr>
        <w:spacing w:line="360" w:lineRule="auto"/>
        <w:rPr>
          <w:rFonts w:ascii="Arial" w:hAnsi="Arial" w:cs="Arial"/>
          <w:b/>
          <w:bCs/>
          <w:sz w:val="44"/>
          <w:szCs w:val="44"/>
        </w:rPr>
      </w:pPr>
    </w:p>
    <w:p w14:paraId="3599D7A0" w14:textId="77777777" w:rsidR="00666568" w:rsidRDefault="00666568" w:rsidP="00C507EE">
      <w:pPr>
        <w:spacing w:line="360" w:lineRule="auto"/>
        <w:rPr>
          <w:rFonts w:ascii="Arial" w:hAnsi="Arial" w:cs="Arial"/>
          <w:b/>
          <w:bCs/>
          <w:sz w:val="44"/>
          <w:szCs w:val="44"/>
        </w:rPr>
      </w:pPr>
    </w:p>
    <w:p w14:paraId="39FEE39E" w14:textId="77777777" w:rsidR="002D6B10" w:rsidRDefault="002D6B10" w:rsidP="00C507EE">
      <w:pPr>
        <w:spacing w:line="360" w:lineRule="auto"/>
        <w:rPr>
          <w:rFonts w:ascii="Arial" w:hAnsi="Arial" w:cs="Arial"/>
          <w:b/>
          <w:bCs/>
          <w:sz w:val="44"/>
          <w:szCs w:val="44"/>
        </w:rPr>
      </w:pPr>
    </w:p>
    <w:p w14:paraId="5AB3A3E0" w14:textId="6661336E" w:rsidR="00C507EE" w:rsidRPr="002D6B10" w:rsidRDefault="00C507EE" w:rsidP="002D6B10">
      <w:pPr>
        <w:pStyle w:val="Heading2"/>
        <w:rPr>
          <w:rFonts w:ascii="Arial" w:hAnsi="Arial" w:cs="Arial"/>
          <w:sz w:val="40"/>
          <w:szCs w:val="40"/>
        </w:rPr>
      </w:pPr>
      <w:bookmarkStart w:id="8" w:name="_Toc234602655"/>
      <w:r w:rsidRPr="002D6B10">
        <w:rPr>
          <w:rFonts w:ascii="Arial" w:hAnsi="Arial" w:cs="Arial"/>
          <w:sz w:val="40"/>
          <w:szCs w:val="40"/>
        </w:rPr>
        <w:lastRenderedPageBreak/>
        <w:t>2.7 Ethical factors</w:t>
      </w:r>
      <w:bookmarkEnd w:id="8"/>
    </w:p>
    <w:p w14:paraId="38A2AFB4" w14:textId="2987540E" w:rsidR="00C507EE" w:rsidRPr="00C507EE" w:rsidRDefault="00C507EE" w:rsidP="00C507EE">
      <w:pPr>
        <w:spacing w:line="360" w:lineRule="auto"/>
        <w:rPr>
          <w:rFonts w:ascii="Arial" w:hAnsi="Arial" w:cs="Arial"/>
        </w:rPr>
      </w:pPr>
      <w:r w:rsidRPr="00C507EE">
        <w:rPr>
          <w:rFonts w:ascii="Arial" w:hAnsi="Arial" w:cs="Arial"/>
        </w:rPr>
        <w:t xml:space="preserve">Ethics, hidden sponsorships, unrealistic body image, promotion of high-risk investments and exploiting children's market, all lie at the </w:t>
      </w:r>
      <w:r w:rsidR="00883C58" w:rsidRPr="00C507EE">
        <w:rPr>
          <w:rFonts w:ascii="Arial" w:hAnsi="Arial" w:cs="Arial"/>
        </w:rPr>
        <w:t>centre</w:t>
      </w:r>
      <w:r w:rsidRPr="00C507EE">
        <w:rPr>
          <w:rFonts w:ascii="Arial" w:hAnsi="Arial" w:cs="Arial"/>
        </w:rPr>
        <w:t xml:space="preserve"> of this issue. Truth is the currency of the industry, but it is artificially created (Kapitan et al., 2022). With AI influencers gaining more popularity, there is a bigger conflict in the industry because of the possibility of people not being able to differentiate between real humans and </w:t>
      </w:r>
      <w:r w:rsidRPr="00C507EE">
        <w:rPr>
          <w:rFonts w:ascii="Arial" w:hAnsi="Arial" w:cs="Arial"/>
        </w:rPr>
        <w:t>artificially created</w:t>
      </w:r>
      <w:r w:rsidRPr="00C507EE">
        <w:rPr>
          <w:rFonts w:ascii="Arial" w:hAnsi="Arial" w:cs="Arial"/>
        </w:rPr>
        <w:t xml:space="preserve"> persons. This means that ethical failures result in legal actions and public reaction to them.</w:t>
      </w:r>
    </w:p>
    <w:p w14:paraId="543B525F" w14:textId="77777777" w:rsidR="00C507EE" w:rsidRPr="002D6B10" w:rsidRDefault="00C507EE" w:rsidP="002D6B10">
      <w:pPr>
        <w:pStyle w:val="Heading1"/>
        <w:rPr>
          <w:rFonts w:ascii="Arial" w:hAnsi="Arial" w:cs="Arial"/>
          <w:sz w:val="44"/>
          <w:szCs w:val="44"/>
        </w:rPr>
      </w:pPr>
      <w:bookmarkStart w:id="9" w:name="_Toc234602656"/>
      <w:r w:rsidRPr="002D6B10">
        <w:rPr>
          <w:rFonts w:ascii="Arial" w:hAnsi="Arial" w:cs="Arial"/>
          <w:sz w:val="44"/>
          <w:szCs w:val="44"/>
        </w:rPr>
        <w:t>3. SWOT Analysis</w:t>
      </w:r>
      <w:bookmarkEnd w:id="9"/>
    </w:p>
    <w:p w14:paraId="02D3F961" w14:textId="77777777" w:rsidR="00C507EE" w:rsidRPr="00C507EE" w:rsidRDefault="00C507EE" w:rsidP="00C507EE">
      <w:pPr>
        <w:spacing w:line="360" w:lineRule="auto"/>
        <w:rPr>
          <w:rFonts w:ascii="Arial" w:hAnsi="Arial" w:cs="Arial"/>
        </w:rPr>
      </w:pPr>
      <w:r w:rsidRPr="00C507EE">
        <w:rPr>
          <w:rFonts w:ascii="Arial" w:hAnsi="Arial" w:cs="Arial"/>
        </w:rPr>
        <w:t>Based on the STEEPLE analysis, the first advantage of the industry is its unique ability to establish parasocial relationships and engagement at a very low cost compared to traditional media; hence, brand budgets continue to flow towards creators (Leung, Gu and Palmatier, 2022). The second strength is flexibility, meaning that individual creators can shift formats and niches more quickly than media companies. This means that creators that institutionalize this relationship, via their owned media such as newsletters, podcasts, and communities, have created an asset that can be converted into equity.</w:t>
      </w:r>
    </w:p>
    <w:p w14:paraId="1912C32D" w14:textId="77777777" w:rsidR="00C507EE" w:rsidRPr="00C507EE" w:rsidRDefault="00C507EE" w:rsidP="00C507EE">
      <w:pPr>
        <w:spacing w:line="360" w:lineRule="auto"/>
        <w:rPr>
          <w:rFonts w:ascii="Arial" w:hAnsi="Arial" w:cs="Arial"/>
        </w:rPr>
      </w:pPr>
      <w:r w:rsidRPr="00C507EE">
        <w:rPr>
          <w:rFonts w:ascii="Arial" w:hAnsi="Arial" w:cs="Arial"/>
        </w:rPr>
        <w:t>The key problem here is one of structural dependency. Artists depend upon unseen algorithms, third-party platforms over which they have no control, and brand money which they do not control, generating unstable and unpredictable incomes (Duffy, 2017; Poell et al., 2022). Income inequality implies that the median artist is an economic outsider (Goldman Sachs, 2023). The consequence is that this “industry” can more accurately be described as a small professional core with an outer ring of aspiring artists.</w:t>
      </w:r>
    </w:p>
    <w:p w14:paraId="7FD64D05" w14:textId="77777777" w:rsidR="00C507EE" w:rsidRPr="00C507EE" w:rsidRDefault="00C507EE" w:rsidP="00C507EE">
      <w:pPr>
        <w:spacing w:line="360" w:lineRule="auto"/>
        <w:rPr>
          <w:rFonts w:ascii="Arial" w:hAnsi="Arial" w:cs="Arial"/>
        </w:rPr>
      </w:pPr>
      <w:r w:rsidRPr="00C507EE">
        <w:rPr>
          <w:rFonts w:ascii="Arial" w:hAnsi="Arial" w:cs="Arial"/>
        </w:rPr>
        <w:t>The opportunities will mainly be in technology and economics. These include the use of social commerce like TikTok Shop, AI-driven production which cuts down costs for small content creators, as well as diversification into subscription and direct to fan payments that limit dependency on brand partnerships (Influencer Marketing Hub, 2025). On the other hand, regulation can also be considered an opportunity. This is because compliant creators will stand out as reliable partners to brands.</w:t>
      </w:r>
    </w:p>
    <w:p w14:paraId="5B55A815" w14:textId="77777777" w:rsidR="00C507EE" w:rsidRPr="00C507EE" w:rsidRDefault="00C507EE" w:rsidP="00C507EE">
      <w:pPr>
        <w:spacing w:line="360" w:lineRule="auto"/>
        <w:rPr>
          <w:rFonts w:ascii="Arial" w:hAnsi="Arial" w:cs="Arial"/>
        </w:rPr>
      </w:pPr>
      <w:r w:rsidRPr="00C507EE">
        <w:rPr>
          <w:rFonts w:ascii="Arial" w:hAnsi="Arial" w:cs="Arial"/>
        </w:rPr>
        <w:lastRenderedPageBreak/>
        <w:t>Similarly, the major risks coincide with the political, legal and technological challenges: platform bans or algorithm changes, increased regulation of advertising, market saturation and consequent price compression, and substitution with AI-created influencers providing brands with more affordable and controlled alternative options (Mouritzen, Penttinen and Pedersen, 2024). Helms and Nixon (2010) warn that a SWOT analysis is useful only if it helps develop strategies; the obvious strategy to draw from the SWOT analysis in this case is diversification and trust-building.</w:t>
      </w:r>
    </w:p>
    <w:p w14:paraId="001E23CC" w14:textId="77777777" w:rsidR="00C507EE" w:rsidRPr="002D6B10" w:rsidRDefault="00C507EE" w:rsidP="002D6B10">
      <w:pPr>
        <w:pStyle w:val="Heading1"/>
        <w:rPr>
          <w:rFonts w:ascii="Arial" w:hAnsi="Arial" w:cs="Arial"/>
          <w:sz w:val="44"/>
          <w:szCs w:val="44"/>
        </w:rPr>
      </w:pPr>
      <w:bookmarkStart w:id="10" w:name="_Toc234602657"/>
      <w:r w:rsidRPr="002D6B10">
        <w:rPr>
          <w:rFonts w:ascii="Arial" w:hAnsi="Arial" w:cs="Arial"/>
          <w:sz w:val="44"/>
          <w:szCs w:val="44"/>
        </w:rPr>
        <w:t>4. Future Lens</w:t>
      </w:r>
      <w:bookmarkEnd w:id="10"/>
    </w:p>
    <w:p w14:paraId="1F4FE762" w14:textId="602B8C64" w:rsidR="00C507EE" w:rsidRPr="00C507EE" w:rsidRDefault="00C507EE" w:rsidP="00C507EE">
      <w:pPr>
        <w:spacing w:line="360" w:lineRule="auto"/>
        <w:rPr>
          <w:rFonts w:ascii="Arial" w:hAnsi="Arial" w:cs="Arial"/>
        </w:rPr>
      </w:pPr>
      <w:r w:rsidRPr="00C507EE">
        <w:rPr>
          <w:rFonts w:ascii="Arial" w:hAnsi="Arial" w:cs="Arial"/>
        </w:rPr>
        <w:t>Moving into the future, three main trends will shape the space. Firstly, AI influencers will go beyond their novelty status and push humans to compete based on their unique personality, community and accountability, features that artificial individuals find hard to replicate convincingly (Mouritzen, Penttinen and Pedersen, 2024). Secondly, regulation will become stricter and more consistent across countries, as the disclosure rules, AI labelling, and child protection laws increase the cost of compliance and professionali</w:t>
      </w:r>
      <w:r w:rsidR="00661BBE">
        <w:rPr>
          <w:rFonts w:ascii="Arial" w:hAnsi="Arial" w:cs="Arial"/>
        </w:rPr>
        <w:t>s</w:t>
      </w:r>
      <w:r w:rsidRPr="00C507EE">
        <w:rPr>
          <w:rFonts w:ascii="Arial" w:hAnsi="Arial" w:cs="Arial"/>
        </w:rPr>
        <w:t>e the industry (European Commission, 2024; Ofcom, 2024). Lastly, the industry will experience saturation, because while the number of creators grows at a rate of 10-20% annually, attention stays limited (Goldman Sachs, 2023).</w:t>
      </w:r>
    </w:p>
    <w:p w14:paraId="576C5CC3" w14:textId="34E8119E" w:rsidR="00C507EE" w:rsidRPr="00C507EE" w:rsidRDefault="00C507EE" w:rsidP="00C507EE">
      <w:pPr>
        <w:spacing w:line="360" w:lineRule="auto"/>
        <w:rPr>
          <w:rFonts w:ascii="Arial" w:hAnsi="Arial" w:cs="Arial"/>
        </w:rPr>
      </w:pPr>
      <w:r w:rsidRPr="00C507EE">
        <w:rPr>
          <w:rFonts w:ascii="Arial" w:hAnsi="Arial" w:cs="Arial"/>
        </w:rPr>
        <w:t>The DPSIR model (Drivers, Pressures, State, Impacts, Responses) assists with this forward-looking analysis (Gari, Newton and Icely, 2015). Drivers include low-cost AI technologies, moneti</w:t>
      </w:r>
      <w:r w:rsidR="00661BBE">
        <w:rPr>
          <w:rFonts w:ascii="Arial" w:hAnsi="Arial" w:cs="Arial"/>
        </w:rPr>
        <w:t>s</w:t>
      </w:r>
      <w:r w:rsidRPr="00C507EE">
        <w:rPr>
          <w:rFonts w:ascii="Arial" w:hAnsi="Arial" w:cs="Arial"/>
        </w:rPr>
        <w:t>ation on platforms, and demand from consumers for genuine content. The pressures include an abundance of content, synthetic media, and decreasing norms of disclosure. The state includes a saturated and less trustworthy space for content. The impacts are low trust among audiences, reduced income for creators, and more regulations. Responses to these problems have already begun in the form of FTC and CMA investigations and sanctions, European Union regulations of AI technology, verification by platforms, and diversification of incomes for creators.</w:t>
      </w:r>
    </w:p>
    <w:p w14:paraId="0063B72D" w14:textId="77777777" w:rsidR="00666568" w:rsidRDefault="00666568" w:rsidP="00C507EE">
      <w:pPr>
        <w:spacing w:line="360" w:lineRule="auto"/>
        <w:rPr>
          <w:rFonts w:ascii="Arial" w:hAnsi="Arial" w:cs="Arial"/>
          <w:b/>
          <w:bCs/>
          <w:sz w:val="44"/>
          <w:szCs w:val="44"/>
        </w:rPr>
      </w:pPr>
    </w:p>
    <w:p w14:paraId="63BCD368" w14:textId="77777777" w:rsidR="002D6B10" w:rsidRDefault="002D6B10" w:rsidP="00C507EE">
      <w:pPr>
        <w:spacing w:line="360" w:lineRule="auto"/>
        <w:rPr>
          <w:rFonts w:ascii="Arial" w:hAnsi="Arial" w:cs="Arial"/>
          <w:b/>
          <w:bCs/>
          <w:sz w:val="44"/>
          <w:szCs w:val="44"/>
        </w:rPr>
      </w:pPr>
    </w:p>
    <w:p w14:paraId="732F9BF9" w14:textId="530AE33F" w:rsidR="00C507EE" w:rsidRPr="002D6B10" w:rsidRDefault="00C507EE" w:rsidP="002D6B10">
      <w:pPr>
        <w:pStyle w:val="Heading1"/>
        <w:rPr>
          <w:rFonts w:ascii="Arial" w:hAnsi="Arial" w:cs="Arial"/>
          <w:sz w:val="44"/>
          <w:szCs w:val="44"/>
        </w:rPr>
      </w:pPr>
      <w:bookmarkStart w:id="11" w:name="_Toc234602658"/>
      <w:r w:rsidRPr="002D6B10">
        <w:rPr>
          <w:rFonts w:ascii="Arial" w:hAnsi="Arial" w:cs="Arial"/>
          <w:sz w:val="44"/>
          <w:szCs w:val="44"/>
        </w:rPr>
        <w:lastRenderedPageBreak/>
        <w:t>5. Recommendations</w:t>
      </w:r>
      <w:bookmarkEnd w:id="11"/>
    </w:p>
    <w:p w14:paraId="047F9852" w14:textId="77777777" w:rsidR="00C507EE" w:rsidRPr="00C507EE" w:rsidRDefault="00C507EE" w:rsidP="00C507EE">
      <w:pPr>
        <w:spacing w:line="360" w:lineRule="auto"/>
        <w:rPr>
          <w:rFonts w:ascii="Arial" w:hAnsi="Arial" w:cs="Arial"/>
        </w:rPr>
      </w:pPr>
      <w:r w:rsidRPr="00C507EE">
        <w:rPr>
          <w:rFonts w:ascii="Arial" w:hAnsi="Arial" w:cs="Arial"/>
        </w:rPr>
        <w:t>For starters, individual creators would need to actively de-risk themselves from platform reliance through diversification such that no one platform or income source should be higher than about 40%, including brands and social commerce alongside own channels like email lists, membership, and digital products. These are solutions to the threats and risks identified earlier (dependency on algorithms, cyclicality of ads) and are backed by research showing that multiple income sources increase resilience for creators (Influencer Marketing Hub, 2025).</w:t>
      </w:r>
    </w:p>
    <w:p w14:paraId="2E0334D1" w14:textId="786F51C4" w:rsidR="00C507EE" w:rsidRPr="00C507EE" w:rsidRDefault="00C507EE" w:rsidP="00C507EE">
      <w:pPr>
        <w:spacing w:line="360" w:lineRule="auto"/>
        <w:rPr>
          <w:rFonts w:ascii="Arial" w:hAnsi="Arial" w:cs="Arial"/>
        </w:rPr>
      </w:pPr>
      <w:r w:rsidRPr="00C507EE">
        <w:rPr>
          <w:rFonts w:ascii="Arial" w:hAnsi="Arial" w:cs="Arial"/>
        </w:rPr>
        <w:t xml:space="preserve">Secondly, both influencer management companies and creator businesses need to allocate resources for establishing a compliance and transparency program – a proper system of disclosures that complies with the recommendations made by the CMA and the FTC, </w:t>
      </w:r>
      <w:r w:rsidRPr="00C507EE">
        <w:rPr>
          <w:rFonts w:ascii="Arial" w:hAnsi="Arial" w:cs="Arial"/>
        </w:rPr>
        <w:t>labelling</w:t>
      </w:r>
      <w:r w:rsidRPr="00C507EE">
        <w:rPr>
          <w:rFonts w:ascii="Arial" w:hAnsi="Arial" w:cs="Arial"/>
        </w:rPr>
        <w:t xml:space="preserve"> of AI-generated content prior to the coming enforcement of the EU AI Act, and the vetting of partnerships based on ethical criteria (CMA, 2023; FTC, 2023; European Commission, 2024). This would allow brands to look upon regulations not as an obstacle but as a competitive advantage because compliant creators can be viewed as low-risk partners.</w:t>
      </w:r>
    </w:p>
    <w:p w14:paraId="4C0E0427" w14:textId="77777777" w:rsidR="00C507EE" w:rsidRPr="002D6B10" w:rsidRDefault="00C507EE" w:rsidP="002D6B10">
      <w:pPr>
        <w:pStyle w:val="Heading1"/>
        <w:rPr>
          <w:rFonts w:ascii="Arial" w:hAnsi="Arial" w:cs="Arial"/>
          <w:sz w:val="44"/>
          <w:szCs w:val="44"/>
        </w:rPr>
      </w:pPr>
      <w:bookmarkStart w:id="12" w:name="_Toc234602659"/>
      <w:r w:rsidRPr="002D6B10">
        <w:rPr>
          <w:rFonts w:ascii="Arial" w:hAnsi="Arial" w:cs="Arial"/>
          <w:sz w:val="44"/>
          <w:szCs w:val="44"/>
        </w:rPr>
        <w:t>6. Conclusion</w:t>
      </w:r>
      <w:bookmarkEnd w:id="12"/>
    </w:p>
    <w:p w14:paraId="50C217EB" w14:textId="5914E5A6" w:rsidR="00C507EE" w:rsidRPr="00C507EE" w:rsidRDefault="00C507EE" w:rsidP="00C507EE">
      <w:pPr>
        <w:spacing w:line="360" w:lineRule="auto"/>
        <w:rPr>
          <w:rFonts w:ascii="Arial" w:hAnsi="Arial" w:cs="Arial"/>
        </w:rPr>
      </w:pPr>
      <w:r w:rsidRPr="00C507EE">
        <w:rPr>
          <w:rFonts w:ascii="Arial" w:hAnsi="Arial" w:cs="Arial"/>
        </w:rPr>
        <w:t>The creator economy is a vast and rapidly growing industry whose defining feature is its reliance on forces beyond its control. From the STEEPLE framework, there is clear interdependence between technology, law, and ethics in that AI both stimulates and saturates, and elicits regulations, with trust creating the connection between social legitimacy and business value. From the SWOT and DPSIR frameworks, there appears to be an industry progressing from the informal to the professional. Those who have diversified their income and institutionali</w:t>
      </w:r>
      <w:r w:rsidR="00661BBE">
        <w:rPr>
          <w:rFonts w:ascii="Arial" w:hAnsi="Arial" w:cs="Arial"/>
        </w:rPr>
        <w:t>s</w:t>
      </w:r>
      <w:r w:rsidRPr="00C507EE">
        <w:rPr>
          <w:rFonts w:ascii="Arial" w:hAnsi="Arial" w:cs="Arial"/>
        </w:rPr>
        <w:t>ed transparency are better positioned to create competitive advantage from the environment.</w:t>
      </w:r>
    </w:p>
    <w:p w14:paraId="411C84B6" w14:textId="77777777" w:rsidR="00C507EE" w:rsidRPr="00C507EE" w:rsidRDefault="00C507EE" w:rsidP="00C507EE">
      <w:pPr>
        <w:spacing w:line="360" w:lineRule="auto"/>
        <w:rPr>
          <w:rFonts w:ascii="Arial" w:hAnsi="Arial" w:cs="Arial"/>
        </w:rPr>
      </w:pPr>
    </w:p>
    <w:p w14:paraId="7E1C1AFF" w14:textId="77777777" w:rsidR="00C507EE" w:rsidRPr="00C507EE" w:rsidRDefault="00C507EE" w:rsidP="00C507EE">
      <w:pPr>
        <w:spacing w:line="360" w:lineRule="auto"/>
        <w:rPr>
          <w:rFonts w:ascii="Arial" w:hAnsi="Arial" w:cs="Arial"/>
        </w:rPr>
      </w:pPr>
    </w:p>
    <w:p w14:paraId="3D2B9420" w14:textId="1744A386" w:rsidR="00C507EE" w:rsidRDefault="00C507EE" w:rsidP="00C507EE">
      <w:pPr>
        <w:spacing w:line="360" w:lineRule="auto"/>
        <w:rPr>
          <w:rFonts w:ascii="Arial" w:hAnsi="Arial" w:cs="Arial"/>
        </w:rPr>
      </w:pPr>
      <w:r w:rsidRPr="00C507EE">
        <w:rPr>
          <w:rFonts w:ascii="Arial" w:hAnsi="Arial" w:cs="Arial"/>
        </w:rPr>
        <w:t> </w:t>
      </w:r>
    </w:p>
    <w:p w14:paraId="444C0FA9" w14:textId="77777777" w:rsidR="00666568" w:rsidRDefault="00666568" w:rsidP="00C507EE">
      <w:pPr>
        <w:spacing w:line="360" w:lineRule="auto"/>
        <w:rPr>
          <w:rFonts w:ascii="Arial" w:hAnsi="Arial" w:cs="Arial"/>
        </w:rPr>
      </w:pPr>
    </w:p>
    <w:bookmarkStart w:id="13" w:name="_Toc234485633" w:displacedByCustomXml="next"/>
    <w:bookmarkStart w:id="14" w:name="_Toc234602660" w:displacedByCustomXml="next"/>
    <w:sdt>
      <w:sdtPr>
        <w:rPr>
          <w:rFonts w:ascii="Arial" w:eastAsia="Times New Roman" w:hAnsi="Arial" w:cs="Arial"/>
          <w:kern w:val="0"/>
          <w:lang w:val="en-US"/>
          <w14:ligatures w14:val="none"/>
        </w:rPr>
        <w:id w:val="881531085"/>
        <w:docPartObj>
          <w:docPartGallery w:val="Bibliographies"/>
          <w:docPartUnique/>
        </w:docPartObj>
      </w:sdtPr>
      <w:sdtContent>
        <w:bookmarkEnd w:id="13" w:displacedByCustomXml="prev"/>
        <w:p w14:paraId="0E372C60" w14:textId="1F31D9EE" w:rsidR="0069034C" w:rsidRPr="00436C3E" w:rsidRDefault="0069034C" w:rsidP="0069034C">
          <w:pPr>
            <w:spacing w:after="0" w:line="240" w:lineRule="auto"/>
            <w:outlineLvl w:val="0"/>
            <w:rPr>
              <w:rStyle w:val="Heading1Char"/>
              <w:rFonts w:ascii="Arial" w:hAnsi="Arial" w:cs="Arial"/>
              <w:sz w:val="44"/>
              <w:szCs w:val="44"/>
              <w:lang w:val="en-US"/>
            </w:rPr>
          </w:pPr>
          <w:r w:rsidRPr="00436C3E">
            <w:rPr>
              <w:rStyle w:val="Heading1Char"/>
              <w:rFonts w:ascii="Arial" w:hAnsi="Arial" w:cs="Arial"/>
              <w:sz w:val="44"/>
              <w:szCs w:val="44"/>
              <w:lang w:val="en-US"/>
            </w:rPr>
            <w:t>References</w:t>
          </w:r>
          <w:bookmarkEnd w:id="14"/>
        </w:p>
        <w:sdt>
          <w:sdtPr>
            <w:rPr>
              <w:rFonts w:ascii="Arial" w:eastAsia="Times New Roman" w:hAnsi="Arial" w:cs="Arial"/>
              <w:kern w:val="0"/>
              <w:lang w:val="en-US"/>
              <w14:ligatures w14:val="none"/>
            </w:rPr>
            <w:id w:val="-573587230"/>
            <w:bibliography/>
          </w:sdtPr>
          <w:sdtContent>
            <w:p w14:paraId="75AE0BC1"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CIPD (2024) PESTLE analysis. Available at: https://www.cipd.org/uk/knowledge/factsheets/pestle-analysis-factsheet/ (Accessed: 9 July 2026).</w:t>
              </w:r>
            </w:p>
            <w:p w14:paraId="3105E3C0"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Competition and Markets Authority (2023) Social media endorsements: being transparent with your followers. Available at: https://www.gov.uk/government/publications/social-media-endorsements-guide-for-influencers (Accessed: 9 July 2026).</w:t>
              </w:r>
            </w:p>
            <w:p w14:paraId="49FF014F"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Cunningham, S. and Craig, D. (2019) Social media entertainment: the new intersection of Hollywood and Silicon Valley. New York: NYU Press. Available at: https://nyupress.org/9781479846894/social-media-entertainment/ (Accessed: 9 July 2026).</w:t>
              </w:r>
            </w:p>
            <w:p w14:paraId="56E21541"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Duffy, B.E. (2017) (Not) getting paid to do what you love: gender, social media, and aspirational work. New Haven: Yale University Press. Available at: https://yalebooks.yale.edu/book/9780300218176/not-getting-paid-to-do-what-you-love/ (Accessed: 9 July 2026).</w:t>
              </w:r>
            </w:p>
            <w:p w14:paraId="3A564B7C"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European Commission (2024) AI Act: regulatory framework for artificial intelligence. Available at: https://digital-strategy.ec.europa.eu/en/policies/regulatory-framework-ai (Accessed: 9 July 2026).</w:t>
              </w:r>
            </w:p>
            <w:p w14:paraId="1B9AAAF7"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Federal Trade Commission (2023) FTC's Endorsement Guides: what people are asking. Available at: https://www.ftc.gov/business-guidance/resources/ftcs-endorsement-guides-what-people-are-asking (Accessed: 9 July 2026).</w:t>
              </w:r>
            </w:p>
            <w:p w14:paraId="179D942F"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Gari, S.R., Newton, A. and Icely, J.D. (2015) 'A review of the application and evolution of the DPSIR framework with an emphasis on coastal social-ecological systems', Ocean &amp; Coastal Management, 103, pp. 63–77. Available at: https://doi.org/10.1016/j.ocecoaman.2014.11.013 (Accessed: 9 July 2026).</w:t>
              </w:r>
            </w:p>
            <w:p w14:paraId="134A895F"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Goldman Sachs (2023) The creator economy could approach half-a-trillion dollars by 2027. Available at: https://www.goldmansachs.com/insights/articles/the-creator-economy-could-approach-half-a-trillion-dollars-by-2027 (Accessed: 9 July 2026).</w:t>
              </w:r>
            </w:p>
            <w:p w14:paraId="2D84C121"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Goldman Sachs Global Investment Research (2025) Creator economy: framing market opportunity, drivers of growth and industry debates. Available at: https://www.americaninfluencercouncil.com/aic-member-memo/2025-creator-economy-research-from-goldman-sachs (Accessed: 9 July 2026).</w:t>
              </w:r>
            </w:p>
            <w:p w14:paraId="58F1CAA1"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lastRenderedPageBreak/>
                <w:t>Helms, M.M. and Nixon, J. (2010) 'Exploring SWOT analysis – where are we now? A review of academic research from the last decade', Journal of Strategy and Management, 3(3), pp. 215–251. Available at: https://doi.org/10.1108/17554251011064837 (Accessed: 9 July 2026).</w:t>
              </w:r>
            </w:p>
            <w:p w14:paraId="4EF772CE"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Hund, E. (2023) The influencer industry: the quest for authenticity on social media. Princeton: Princeton University Press. Available at: https://press.princeton.edu/books/hardcover/9780691231020/the-influencer-industry (Accessed: 9 July 2026).</w:t>
              </w:r>
            </w:p>
            <w:p w14:paraId="05FC2D65"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Influencer Marketing Hub (2025) The state of influencer marketing 2025: benchmark report. Available at: https://influencermarketinghub.com/influencer-marketing-benchmark-report/ (Accessed: 9 July 2026).</w:t>
              </w:r>
            </w:p>
            <w:p w14:paraId="36662607"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Kapitan, S., van Esch, P., Soma, V. and Kietzmann, J. (2022) 'Influencer marketing and authenticity in content creation', Australasian Marketing Journal, 30(4), pp. 342–351. Available at: https://doi.org/10.1016/j.ausmj.2021.09.002 (Accessed: 9 July 2026).</w:t>
              </w:r>
            </w:p>
            <w:p w14:paraId="07CDA613"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Leung, F.F., Gu, F.F. and Palmatier, R.W. (2022) 'Online influencer marketing', Journal of the Academy of Marketing Science, 50(2), pp. 226–251. Available at: https://doi.org/10.1007/s11747-021-00829-4 (Accessed: 9 July 2026).</w:t>
              </w:r>
            </w:p>
            <w:p w14:paraId="7768DDF9"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Mouritzen, S.L.T., Penttinen, V. and Pedersen, S. (2024) 'Virtual influencer marketing: the good, the bad and the unreal', European Journal of Marketing, 58(2), pp. 410–440. Available at: https://doi.org/10.1108/EJM-12-2022-0915 (Accessed: 9 July 2026).</w:t>
              </w:r>
            </w:p>
            <w:p w14:paraId="0D1886B5"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Ofcom (2024) What is the Online Safety Act? Available at: https://www.ofcom.org.uk/online-safety/illegal-and-harmful-content/what-is-the-online-safety-act (Accessed: 9 July 2026).</w:t>
              </w:r>
            </w:p>
            <w:p w14:paraId="00F47AF1" w14:textId="77777777" w:rsidR="0069034C" w:rsidRPr="0069034C" w:rsidRDefault="0069034C" w:rsidP="0069034C">
              <w:pPr>
                <w:spacing w:after="200" w:line="300" w:lineRule="auto"/>
                <w:ind w:left="720" w:hanging="720"/>
                <w:rPr>
                  <w:rFonts w:ascii="Arial" w:eastAsia="Times New Roman" w:hAnsi="Arial" w:cs="Arial"/>
                  <w:kern w:val="0"/>
                  <w:lang w:val="en-US"/>
                  <w14:ligatures w14:val="none"/>
                </w:rPr>
              </w:pPr>
              <w:r w:rsidRPr="0069034C">
                <w:rPr>
                  <w:rFonts w:ascii="Arial" w:eastAsia="Times New Roman" w:hAnsi="Arial" w:cs="Arial"/>
                  <w:kern w:val="0"/>
                  <w:lang w:val="en-US"/>
                  <w14:ligatures w14:val="none"/>
                </w:rPr>
                <w:t xml:space="preserve">Poell, T., </w:t>
              </w:r>
              <w:proofErr w:type="spellStart"/>
              <w:r w:rsidRPr="0069034C">
                <w:rPr>
                  <w:rFonts w:ascii="Arial" w:eastAsia="Times New Roman" w:hAnsi="Arial" w:cs="Arial"/>
                  <w:kern w:val="0"/>
                  <w:lang w:val="en-US"/>
                  <w14:ligatures w14:val="none"/>
                </w:rPr>
                <w:t>Nieborg</w:t>
              </w:r>
              <w:proofErr w:type="spellEnd"/>
              <w:r w:rsidRPr="0069034C">
                <w:rPr>
                  <w:rFonts w:ascii="Arial" w:eastAsia="Times New Roman" w:hAnsi="Arial" w:cs="Arial"/>
                  <w:kern w:val="0"/>
                  <w:lang w:val="en-US"/>
                  <w14:ligatures w14:val="none"/>
                </w:rPr>
                <w:t>, D.B. and Duffy, B.E. (2022) Platforms and cultural production. Cambridge: Polity Press. Available at: https://www.wiley.com/en-us/Platforms+and+Cultural+Production-p-9781509540501 (Accessed: 9 July 2026).</w:t>
              </w:r>
            </w:p>
            <w:p w14:paraId="3E1D10F8" w14:textId="77777777" w:rsidR="0069034C" w:rsidRPr="0069034C" w:rsidRDefault="0069034C" w:rsidP="0069034C">
              <w:pPr>
                <w:spacing w:after="0" w:line="240" w:lineRule="auto"/>
                <w:rPr>
                  <w:rFonts w:ascii="Arial" w:eastAsia="Times New Roman" w:hAnsi="Arial" w:cs="Arial"/>
                  <w:kern w:val="0"/>
                  <w:lang w:val="en-US"/>
                  <w14:ligatures w14:val="none"/>
                </w:rPr>
              </w:pPr>
            </w:p>
          </w:sdtContent>
        </w:sdt>
      </w:sdtContent>
    </w:sdt>
    <w:p w14:paraId="7C20D461" w14:textId="77777777" w:rsidR="0069034C" w:rsidRPr="0069034C" w:rsidRDefault="0069034C" w:rsidP="0069034C">
      <w:pPr>
        <w:spacing w:before="240" w:line="240" w:lineRule="auto"/>
        <w:outlineLvl w:val="0"/>
        <w:rPr>
          <w:rFonts w:ascii="Arial" w:eastAsia="Times New Roman" w:hAnsi="Arial" w:cs="Arial"/>
          <w:color w:val="2E74B5"/>
          <w:kern w:val="0"/>
          <w:lang w:val="en-US"/>
          <w14:ligatures w14:val="none"/>
        </w:rPr>
      </w:pPr>
    </w:p>
    <w:p w14:paraId="1A9AF008" w14:textId="77777777" w:rsidR="00681A2F" w:rsidRPr="0069034C" w:rsidRDefault="00681A2F" w:rsidP="00C507EE">
      <w:pPr>
        <w:spacing w:line="360" w:lineRule="auto"/>
        <w:rPr>
          <w:rFonts w:ascii="Arial" w:hAnsi="Arial" w:cs="Arial"/>
        </w:rPr>
      </w:pPr>
    </w:p>
    <w:sectPr w:rsidR="00681A2F" w:rsidRPr="00690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FF"/>
    <w:rsid w:val="00114858"/>
    <w:rsid w:val="002C02A2"/>
    <w:rsid w:val="002C141A"/>
    <w:rsid w:val="002D6B10"/>
    <w:rsid w:val="00436C3E"/>
    <w:rsid w:val="004954FF"/>
    <w:rsid w:val="00661BBE"/>
    <w:rsid w:val="00666568"/>
    <w:rsid w:val="00681A2F"/>
    <w:rsid w:val="0069034C"/>
    <w:rsid w:val="00883C58"/>
    <w:rsid w:val="00BF477F"/>
    <w:rsid w:val="00C507EE"/>
    <w:rsid w:val="00E172AE"/>
    <w:rsid w:val="00F35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684F0"/>
  <w15:chartTrackingRefBased/>
  <w15:docId w15:val="{97B86B01-ED1D-443D-A2D9-26A4EC39C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4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54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54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54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54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54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4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4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4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4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54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54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54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54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54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4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4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4FF"/>
    <w:rPr>
      <w:rFonts w:eastAsiaTheme="majorEastAsia" w:cstheme="majorBidi"/>
      <w:color w:val="272727" w:themeColor="text1" w:themeTint="D8"/>
    </w:rPr>
  </w:style>
  <w:style w:type="paragraph" w:styleId="Title">
    <w:name w:val="Title"/>
    <w:basedOn w:val="Normal"/>
    <w:next w:val="Normal"/>
    <w:link w:val="TitleChar"/>
    <w:uiPriority w:val="10"/>
    <w:qFormat/>
    <w:rsid w:val="004954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4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4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4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4FF"/>
    <w:pPr>
      <w:spacing w:before="160"/>
      <w:jc w:val="center"/>
    </w:pPr>
    <w:rPr>
      <w:i/>
      <w:iCs/>
      <w:color w:val="404040" w:themeColor="text1" w:themeTint="BF"/>
    </w:rPr>
  </w:style>
  <w:style w:type="character" w:customStyle="1" w:styleId="QuoteChar">
    <w:name w:val="Quote Char"/>
    <w:basedOn w:val="DefaultParagraphFont"/>
    <w:link w:val="Quote"/>
    <w:uiPriority w:val="29"/>
    <w:rsid w:val="004954FF"/>
    <w:rPr>
      <w:i/>
      <w:iCs/>
      <w:color w:val="404040" w:themeColor="text1" w:themeTint="BF"/>
    </w:rPr>
  </w:style>
  <w:style w:type="paragraph" w:styleId="ListParagraph">
    <w:name w:val="List Paragraph"/>
    <w:basedOn w:val="Normal"/>
    <w:uiPriority w:val="34"/>
    <w:qFormat/>
    <w:rsid w:val="004954FF"/>
    <w:pPr>
      <w:ind w:left="720"/>
      <w:contextualSpacing/>
    </w:pPr>
  </w:style>
  <w:style w:type="character" w:styleId="IntenseEmphasis">
    <w:name w:val="Intense Emphasis"/>
    <w:basedOn w:val="DefaultParagraphFont"/>
    <w:uiPriority w:val="21"/>
    <w:qFormat/>
    <w:rsid w:val="004954FF"/>
    <w:rPr>
      <w:i/>
      <w:iCs/>
      <w:color w:val="0F4761" w:themeColor="accent1" w:themeShade="BF"/>
    </w:rPr>
  </w:style>
  <w:style w:type="paragraph" w:styleId="IntenseQuote">
    <w:name w:val="Intense Quote"/>
    <w:basedOn w:val="Normal"/>
    <w:next w:val="Normal"/>
    <w:link w:val="IntenseQuoteChar"/>
    <w:uiPriority w:val="30"/>
    <w:qFormat/>
    <w:rsid w:val="004954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54FF"/>
    <w:rPr>
      <w:i/>
      <w:iCs/>
      <w:color w:val="0F4761" w:themeColor="accent1" w:themeShade="BF"/>
    </w:rPr>
  </w:style>
  <w:style w:type="character" w:styleId="IntenseReference">
    <w:name w:val="Intense Reference"/>
    <w:basedOn w:val="DefaultParagraphFont"/>
    <w:uiPriority w:val="32"/>
    <w:qFormat/>
    <w:rsid w:val="004954FF"/>
    <w:rPr>
      <w:b/>
      <w:bCs/>
      <w:smallCaps/>
      <w:color w:val="0F4761" w:themeColor="accent1" w:themeShade="BF"/>
      <w:spacing w:val="5"/>
    </w:rPr>
  </w:style>
  <w:style w:type="paragraph" w:styleId="TOCHeading">
    <w:name w:val="TOC Heading"/>
    <w:basedOn w:val="Heading1"/>
    <w:next w:val="Normal"/>
    <w:uiPriority w:val="39"/>
    <w:unhideWhenUsed/>
    <w:qFormat/>
    <w:rsid w:val="00BF477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F477F"/>
    <w:pPr>
      <w:spacing w:after="100"/>
    </w:pPr>
  </w:style>
  <w:style w:type="paragraph" w:styleId="TOC2">
    <w:name w:val="toc 2"/>
    <w:basedOn w:val="Normal"/>
    <w:next w:val="Normal"/>
    <w:autoRedefine/>
    <w:uiPriority w:val="39"/>
    <w:unhideWhenUsed/>
    <w:rsid w:val="00BF477F"/>
    <w:pPr>
      <w:spacing w:after="100"/>
      <w:ind w:left="240"/>
    </w:pPr>
  </w:style>
  <w:style w:type="character" w:styleId="Hyperlink">
    <w:name w:val="Hyperlink"/>
    <w:basedOn w:val="DefaultParagraphFont"/>
    <w:uiPriority w:val="99"/>
    <w:unhideWhenUsed/>
    <w:rsid w:val="00BF477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edbe505bf763f30c31c8ac95d593003b">
  <xsd:schema xmlns:xsd="http://www.w3.org/2001/XMLSchema" xmlns:xs="http://www.w3.org/2001/XMLSchema" xmlns:p="http://schemas.microsoft.com/office/2006/metadata/properties" xmlns:ns3="b4f9f7ee-5770-4a14-8925-17f3d16e50b7" targetNamespace="http://schemas.microsoft.com/office/2006/metadata/properties" ma:root="true" ma:fieldsID="38a69fec9876c4afa107577e5262f3c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4C86A8E2-23F8-47C4-9AEB-98BEB3D52CC5}">
  <ds:schemaRefs>
    <ds:schemaRef ds:uri="http://schemas.openxmlformats.org/officeDocument/2006/bibliography"/>
  </ds:schemaRefs>
</ds:datastoreItem>
</file>

<file path=customXml/itemProps2.xml><?xml version="1.0" encoding="utf-8"?>
<ds:datastoreItem xmlns:ds="http://schemas.openxmlformats.org/officeDocument/2006/customXml" ds:itemID="{F9E1D09E-61F4-4F1D-A3E9-022686806D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18DE95-44C2-4D8A-B8D6-6922A010B5E4}">
  <ds:schemaRefs>
    <ds:schemaRef ds:uri="http://schemas.microsoft.com/sharepoint/v3/contenttype/forms"/>
  </ds:schemaRefs>
</ds:datastoreItem>
</file>

<file path=customXml/itemProps4.xml><?xml version="1.0" encoding="utf-8"?>
<ds:datastoreItem xmlns:ds="http://schemas.openxmlformats.org/officeDocument/2006/customXml" ds:itemID="{08443DFC-0707-40AC-9A28-7AAD7B5C7E6B}">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10</Pages>
  <Words>2469</Words>
  <Characters>14077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Jaclina Sanca (2507894)</dc:creator>
  <cp:keywords/>
  <dc:description/>
  <cp:lastModifiedBy>Jaclina Sanca (2507894)</cp:lastModifiedBy>
  <cp:revision>2</cp:revision>
  <dcterms:created xsi:type="dcterms:W3CDTF">2026-07-10T15:54:00Z</dcterms:created>
  <dcterms:modified xsi:type="dcterms:W3CDTF">2026-07-10T18:04:00Z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