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TOC Heading"/>
        <w:jc w:val="center"/>
        <w:rPr>
          <w:b w:val="1"/>
          <w:bCs w:val="1"/>
        </w:rPr>
      </w:pPr>
      <w:r>
        <w:rPr>
          <w:b w:val="1"/>
          <w:bCs w:val="1"/>
          <w:rtl w:val="0"/>
          <w:lang w:val="es-ES_tradnl"/>
        </w:rPr>
        <w:t>Profesional Career Devolpement!</w:t>
      </w:r>
    </w:p>
    <w:p>
      <w:pPr>
        <w:pStyle w:val="Cuerpo"/>
        <w:jc w:val="center"/>
      </w:pPr>
    </w:p>
    <w:p>
      <w:pPr>
        <w:pStyle w:val="Cuerpo"/>
        <w:jc w:val="center"/>
      </w:pPr>
      <w:r>
        <w:rPr>
          <w:rtl w:val="0"/>
          <w:lang w:val="es-ES_tradnl"/>
        </w:rPr>
        <w:t>Student:Tsvetomila Vutova</w:t>
      </w:r>
    </w:p>
    <w:p>
      <w:pPr>
        <w:pStyle w:val="Cuerpo"/>
        <w:jc w:val="center"/>
      </w:pPr>
      <w:r>
        <w:rPr>
          <w:rtl w:val="0"/>
          <w:lang w:val="es-ES_tradnl"/>
        </w:rPr>
        <w:t>Student number:2027746</w:t>
      </w:r>
    </w:p>
    <w:p>
      <w:pPr>
        <w:pStyle w:val="Cuerpo"/>
        <w:jc w:val="center"/>
      </w:pPr>
      <w:r>
        <w:rPr>
          <w:rtl w:val="0"/>
          <w:lang w:val="es-ES_tradnl"/>
        </w:rPr>
        <w:t>University of Wales Trinity Saint David</w:t>
      </w:r>
    </w:p>
    <w:p>
      <w:pPr>
        <w:pStyle w:val="Cuerpo"/>
        <w:jc w:val="center"/>
      </w:pPr>
      <w:r>
        <w:rPr>
          <w:rtl w:val="0"/>
          <w:lang w:val="es-ES_tradnl"/>
        </w:rPr>
        <w:t>Lecturer:Husam Helmi</w:t>
      </w:r>
    </w:p>
    <w:p>
      <w:pPr>
        <w:pStyle w:val="Cuerpo"/>
        <w:jc w:val="center"/>
        <w:rPr>
          <w:rStyle w:val="Ninguno"/>
          <w:rFonts w:ascii="Calibri" w:cs="Calibri" w:hAnsi="Calibri" w:eastAsia="Calibri"/>
          <w:sz w:val="44"/>
          <w:szCs w:val="44"/>
        </w:rPr>
      </w:pPr>
      <w:r>
        <w:rPr>
          <w:rtl w:val="0"/>
          <w:lang w:val="en-US"/>
        </w:rPr>
        <w:t>Module:BMSW4005</w:t>
      </w:r>
    </w:p>
    <w:p>
      <w:pPr>
        <w:pStyle w:val="Cuerpo"/>
        <w:jc w:val="center"/>
        <w:rPr>
          <w:b w:val="1"/>
          <w:bCs w:val="1"/>
          <w:lang w:val="en-US"/>
        </w:rPr>
      </w:pPr>
    </w:p>
    <w:p>
      <w:pPr>
        <w:pStyle w:val="Cuerpo"/>
        <w:jc w:val="center"/>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Cuerpo"/>
        <w:rPr>
          <w:rStyle w:val="Ninguno"/>
          <w:lang w:val="en-US"/>
        </w:rPr>
      </w:pPr>
    </w:p>
    <w:p>
      <w:pPr>
        <w:pStyle w:val="TOC Heading"/>
      </w:pPr>
      <w:r>
        <w:rPr>
          <w:rStyle w:val="Ninguno"/>
          <w:rFonts w:cs="Arial Unicode MS" w:eastAsia="Arial Unicode MS"/>
          <w:rtl w:val="0"/>
          <w:lang w:val="en-US"/>
        </w:rPr>
        <w:t>Table of Contents</w:t>
      </w:r>
    </w:p>
    <w:p>
      <w:pPr>
        <w:pStyle w:val="Cuerpo"/>
      </w:pPr>
      <w:r>
        <w:rPr/>
        <w:fldChar w:fldCharType="begin" w:fldLock="0"/>
      </w:r>
      <w:r>
        <w:instrText xml:space="preserve"> TOC \t "Encabezamiento, 1"</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Role Play</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Reflection On the Role Play</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Gibbs Reflective Cycle</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Conclusion</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Action Plan</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Personal Development Plan</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Conclusion</w:t>
        <w:tab/>
      </w:r>
      <w:r>
        <w:rPr/>
        <w:fldChar w:fldCharType="begin" w:fldLock="0"/>
      </w:r>
      <w:r>
        <w:instrText xml:space="preserve"> PAGEREF _Toc7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_Toc8 \h </w:instrText>
      </w:r>
      <w:r>
        <w:rPr/>
        <w:fldChar w:fldCharType="separate" w:fldLock="0"/>
      </w:r>
      <w:r>
        <w:rPr>
          <w:rFonts w:cs="Arial Unicode MS" w:eastAsia="Arial Unicode MS"/>
          <w:rtl w:val="0"/>
        </w:rPr>
        <w:t>10</w:t>
      </w:r>
      <w:r>
        <w:rPr/>
        <w:fldChar w:fldCharType="end" w:fldLock="0"/>
      </w:r>
    </w:p>
    <w:p>
      <w:pPr>
        <w:pStyle w:val="Cuerpo"/>
        <w:rPr>
          <w:rStyle w:val="Ninguno"/>
          <w:b w:val="1"/>
          <w:bCs w:val="1"/>
        </w:rPr>
      </w:pPr>
      <w:r>
        <w:rPr/>
        <w:fldChar w:fldCharType="end" w:fldLock="0"/>
      </w: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Cuerpo"/>
      </w:pPr>
    </w:p>
    <w:p>
      <w:pPr>
        <w:pStyle w:val="Encabezamiento"/>
        <w:spacing w:line="360" w:lineRule="auto"/>
        <w:rPr>
          <w:rStyle w:val="Ninguno"/>
          <w:rFonts w:ascii="Calibri" w:cs="Calibri" w:hAnsi="Calibri" w:eastAsia="Calibri"/>
          <w:b w:val="1"/>
          <w:bCs w:val="1"/>
          <w:sz w:val="28"/>
          <w:szCs w:val="28"/>
        </w:rPr>
      </w:pPr>
      <w:bookmarkStart w:name="_Toc" w:id="0"/>
      <w:r>
        <w:rPr>
          <w:rStyle w:val="Ninguno"/>
          <w:rFonts w:ascii="Calibri" w:hAnsi="Calibri"/>
          <w:b w:val="1"/>
          <w:bCs w:val="1"/>
          <w:outline w:val="0"/>
          <w:color w:val="4f81bd"/>
          <w:sz w:val="28"/>
          <w:szCs w:val="28"/>
          <w:u w:color="4f81bd"/>
          <w:rtl w:val="0"/>
          <w:lang w:val="fr-FR"/>
          <w14:textFill>
            <w14:solidFill>
              <w14:srgbClr w14:val="4F81BD"/>
            </w14:solidFill>
          </w14:textFill>
        </w:rPr>
        <w:t>Introduction</w:t>
      </w:r>
      <w:bookmarkEnd w:id="0"/>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 xml:space="preserve">With the help of good personal development skills, a person can easily get the knowledge about himself, seems to be that I accept too lightly and forgive too fast. Throughout this </w:t>
      </w:r>
      <w:bookmarkStart w:name="PaperIGainTheKnowledgeAboutTheImportance" w:id="1"/>
      <w:r>
        <w:rPr>
          <w:rStyle w:val="Ninguno"/>
          <w:rFonts w:ascii="Calibri" w:hAnsi="Calibri"/>
          <w:sz w:val="24"/>
          <w:szCs w:val="24"/>
          <w:rtl w:val="0"/>
          <w:lang w:val="en-US"/>
        </w:rPr>
        <w:t xml:space="preserve">paper, I gain the knowledge about the importance of personal development skills for the future growth in the personal career. To fulfil all my aims, it is very crucial for me to develop my skills and expertise. Furthermore, I must say that perhaps the role - playing that was conducted in classroom and reviewed here has allowed me to recognize my basic strengths and shortcomings, and I'm already informed of many of my opportunities (Soundiraraj and Babu, 2022). </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My entire job history began in Italy, in the year 2018, where I worked as an assistant at kitchen; however, my true career path began when I register</w:t>
      </w:r>
      <w:bookmarkEnd w:id="1"/>
      <w:r>
        <w:rPr>
          <w:rStyle w:val="Ninguno"/>
          <w:rFonts w:ascii="Calibri" w:hAnsi="Calibri"/>
          <w:sz w:val="24"/>
          <w:szCs w:val="24"/>
          <w:rtl w:val="0"/>
          <w:lang w:val="en-US"/>
        </w:rPr>
        <w:t>ed in to study the degree of the higher learning: workplace abilities. Since beginning this program, I must improve my professional awareness and knowledge, and my personal talents and expertise (Soundiraraj and Babu, 2022).</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 xml:space="preserve">The play, which has been separated into two different sections and needs me and my companion to perform different types of roles of researcher and the participant, will become the major focus of discussion and analysis in this entire report. This play lasted twenty minutes for every group and took place between weeks nine and ten. Furthermore, I must say that perhaps the role - playing that was conducted in classroom and reviewed here has allowed me to recognize my basic strengths and shortcomings, and I'm already informed of many of my opportunities. </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My spouse had to question me for one position as a sales associate at a designer store, and even Though I also had to question him for a position as a server in a prestigious restaurant in central London.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Additionally, an identity assessment of the group activity will be conducted, as well as a career advancement plan based on an entire process of SWOT analysis. Furthermore, the JOHARI WINDOW SMART goals and structure will be explored and discussed. In addition, diverse sources from the in activities and other relevant and reputable sources will also be offered in this study, since they will have been mentioned at the end of this essay (Soundiraraj and Babu, 2022).</w:t>
      </w:r>
    </w:p>
    <w:p>
      <w:pPr>
        <w:pStyle w:val="Encabezamiento"/>
        <w:spacing w:line="360" w:lineRule="auto"/>
        <w:rPr>
          <w:rStyle w:val="Ninguno"/>
          <w:rFonts w:ascii="Calibri" w:cs="Calibri" w:hAnsi="Calibri" w:eastAsia="Calibri"/>
          <w:b w:val="1"/>
          <w:bCs w:val="1"/>
          <w:outline w:val="0"/>
          <w:color w:val="4f81bd"/>
          <w:sz w:val="28"/>
          <w:szCs w:val="28"/>
          <w:u w:color="4f81bd"/>
          <w14:textFill>
            <w14:solidFill>
              <w14:srgbClr w14:val="4F81BD"/>
            </w14:solidFill>
          </w14:textFill>
        </w:rPr>
      </w:pPr>
      <w:bookmarkStart w:name="_Toc1" w:id="2"/>
      <w:r>
        <w:rPr>
          <w:rStyle w:val="Ninguno"/>
          <w:rFonts w:ascii="Calibri" w:hAnsi="Calibri"/>
          <w:b w:val="1"/>
          <w:bCs w:val="1"/>
          <w:outline w:val="0"/>
          <w:color w:val="4f81bd"/>
          <w:sz w:val="28"/>
          <w:szCs w:val="28"/>
          <w:u w:color="4f81bd"/>
          <w:rtl w:val="0"/>
          <w:lang w:val="en-US"/>
          <w14:textFill>
            <w14:solidFill>
              <w14:srgbClr w14:val="4F81BD"/>
            </w14:solidFill>
          </w14:textFill>
        </w:rPr>
        <w:t>Role Play</w:t>
      </w:r>
      <w:bookmarkEnd w:id="2"/>
    </w:p>
    <w:p>
      <w:pPr>
        <w:pStyle w:val="Cuerpo"/>
        <w:spacing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 xml:space="preserve">I served as both an interviewee and an interviewer for several posts in the process of role play, but I will also focus on the situation in which I was also the applicant, and my friend conducted the examination for the post of store assistant at the boutique known as Redlux fashion. By practising my skills at different small companies, I can gain a very good experience and can also improve and polish my skills, that is considered as one of the best opportunities for me to improve my overall skills and expertise. I perform well under pressure, and as a result, I am also a good learner and an excellent team player. Second, she requested if Only I could speak about my client service abilities, which I indicated were mostly acquired and enhanced from my past work experiences (Soundiraraj and Babu, 2022). </w:t>
      </w:r>
    </w:p>
    <w:p>
      <w:pPr>
        <w:pStyle w:val="Cuerpo"/>
        <w:spacing w:line="360" w:lineRule="auto"/>
        <w:jc w:val="both"/>
        <w:rPr>
          <w:rStyle w:val="Ninguno"/>
          <w:rFonts w:ascii="Calibri" w:cs="Calibri" w:hAnsi="Calibri" w:eastAsia="Calibri"/>
          <w:b w:val="1"/>
          <w:bCs w:val="1"/>
          <w:sz w:val="24"/>
          <w:szCs w:val="24"/>
        </w:rPr>
      </w:pPr>
      <w:r>
        <w:rPr>
          <w:rStyle w:val="Ninguno"/>
          <w:rFonts w:ascii="Calibri" w:hAnsi="Calibri"/>
          <w:sz w:val="24"/>
          <w:szCs w:val="24"/>
          <w:rtl w:val="0"/>
          <w:lang w:val="en-US"/>
        </w:rPr>
        <w:t xml:space="preserve">Furthermore, this includes effective communication as well as convincing speaking abilities. For example, if a client is undecided about whether to buy different types of products, I persuade her by listing many of the factors whether she should mainly buy it. Perhaps the first topic given was to describe why I feel I am eligible for the post of shop assistant at the complete boutique. I answered by expressing that I believed myself being a skilled, genuine, and thorough people. I perform well under pressure and a quick learner and a wonderful team member. </w:t>
      </w:r>
    </w:p>
    <w:p>
      <w:pPr>
        <w:pStyle w:val="Cuerpo"/>
        <w:spacing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Secondly, she requested if only I could speak about my client service abilities, which I indicated were mostly acquired and enhanced from my past work experiences. Furthermore, this includes effective communication as well as convincing speaking abilities.  It is really a circumstance in which she indicated that the firm is going to have a busy day, although there is a client who is displeased with a product and wishes to recover it, and therefore a substitution that is simply not now available. She then inquired as to what I will do in such situation. I explained that replacing the material would be subject to the boutique's refund regulations, and that if the outfit she wants is not offered, I would regret for the delay and provide her alternative alternatives. Finally, she inquired about my business planning; I replied that my proposals were tied to my dream profession and education. I stated that after learning and training in an entire fashion sector, I would launch my own shop after completing my courses in the fashion management process.</w:t>
      </w:r>
    </w:p>
    <w:p>
      <w:pPr>
        <w:pStyle w:val="Encabezamiento"/>
        <w:spacing w:line="360" w:lineRule="auto"/>
        <w:rPr>
          <w:rStyle w:val="Ninguno"/>
          <w:rFonts w:ascii="Calibri" w:cs="Calibri" w:hAnsi="Calibri" w:eastAsia="Calibri"/>
          <w:b w:val="1"/>
          <w:bCs w:val="1"/>
          <w:outline w:val="0"/>
          <w:color w:val="4f81bd"/>
          <w:sz w:val="28"/>
          <w:szCs w:val="28"/>
          <w:u w:color="4f81bd"/>
          <w14:textFill>
            <w14:solidFill>
              <w14:srgbClr w14:val="4F81BD"/>
            </w14:solidFill>
          </w14:textFill>
        </w:rPr>
      </w:pPr>
      <w:bookmarkStart w:name="_Toc2" w:id="3"/>
      <w:r>
        <w:rPr>
          <w:rStyle w:val="Ninguno"/>
          <w:rFonts w:ascii="Calibri" w:hAnsi="Calibri"/>
          <w:b w:val="1"/>
          <w:bCs w:val="1"/>
          <w:outline w:val="0"/>
          <w:color w:val="4f81bd"/>
          <w:sz w:val="28"/>
          <w:szCs w:val="28"/>
          <w:u w:color="4f81bd"/>
          <w:rtl w:val="0"/>
          <w:lang w:val="en-US"/>
          <w14:textFill>
            <w14:solidFill>
              <w14:srgbClr w14:val="4F81BD"/>
            </w14:solidFill>
          </w14:textFill>
        </w:rPr>
        <w:t>Reflection On the Role Play</w:t>
      </w:r>
      <w:bookmarkEnd w:id="3"/>
    </w:p>
    <w:p>
      <w:pPr>
        <w:pStyle w:val="Cuerpo"/>
        <w:spacing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Reflective practice is a main process of know that what are you thinking with your words. Through using the cycle of Gibbs reflective, I analyse my basic thoughts based on the practise of role play in the different types of sections (Soundiraraj and Babu, 2022).</w:t>
      </w:r>
    </w:p>
    <w:p>
      <w:pPr>
        <w:pStyle w:val="Encabezamiento"/>
        <w:spacing w:line="360" w:lineRule="auto"/>
        <w:rPr>
          <w:rStyle w:val="Ninguno"/>
          <w:rFonts w:ascii="Calibri" w:cs="Calibri" w:hAnsi="Calibri" w:eastAsia="Calibri"/>
          <w:b w:val="1"/>
          <w:bCs w:val="1"/>
          <w:sz w:val="28"/>
          <w:szCs w:val="28"/>
        </w:rPr>
      </w:pPr>
      <w:bookmarkStart w:name="_Toc3" w:id="4"/>
      <w:r>
        <w:rPr>
          <w:rStyle w:val="Ninguno"/>
          <w:rFonts w:ascii="Calibri" w:hAnsi="Calibri"/>
          <w:b w:val="1"/>
          <w:bCs w:val="1"/>
          <w:outline w:val="0"/>
          <w:color w:val="4f81bd"/>
          <w:sz w:val="28"/>
          <w:szCs w:val="28"/>
          <w:u w:color="4f81bd"/>
          <w:rtl w:val="0"/>
          <w:lang w:val="en-US"/>
          <w14:textFill>
            <w14:solidFill>
              <w14:srgbClr w14:val="4F81BD"/>
            </w14:solidFill>
          </w14:textFill>
        </w:rPr>
        <w:t>Gibbs Reflective Cycle</w:t>
      </w:r>
      <w:bookmarkEnd w:id="4"/>
    </w:p>
    <w:p>
      <w:pPr>
        <w:pStyle w:val="Cuerpo"/>
        <w:spacing w:line="360" w:lineRule="auto"/>
        <w:ind w:left="120" w:firstLine="0"/>
        <w:jc w:val="center"/>
        <w:rPr>
          <w:rStyle w:val="Ninguno"/>
          <w:rFonts w:ascii="Calibri" w:cs="Calibri" w:hAnsi="Calibri" w:eastAsia="Calibri"/>
          <w:sz w:val="24"/>
          <w:szCs w:val="24"/>
        </w:rPr>
      </w:pPr>
      <w:r>
        <w:rPr>
          <w:rStyle w:val="Ninguno"/>
          <w:rFonts w:ascii="Calibri" w:cs="Calibri" w:hAnsi="Calibri" w:eastAsia="Calibri"/>
          <w:sz w:val="24"/>
          <w:szCs w:val="24"/>
        </w:rPr>
        <w:drawing xmlns:a="http://schemas.openxmlformats.org/drawingml/2006/main">
          <wp:inline distT="0" distB="0" distL="0" distR="0">
            <wp:extent cx="3362325" cy="3200400"/>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3362325" cy="3200400"/>
                    </a:xfrm>
                    <a:prstGeom prst="rect">
                      <a:avLst/>
                    </a:prstGeom>
                    <a:ln w="12700" cap="flat">
                      <a:noFill/>
                      <a:miter lim="400000"/>
                    </a:ln>
                    <a:effectLst/>
                  </pic:spPr>
                </pic:pic>
              </a:graphicData>
            </a:graphic>
          </wp:inline>
        </w:drawing>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That reflective model provides an entire framework for analysing different events, and this rhythmic form lends itself particularly well to approaches too public (Penfold and Thomas, 2022).</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The above process is consisted of six main stages, which are given below:</w:t>
      </w:r>
    </w:p>
    <w:p>
      <w:pPr>
        <w:pStyle w:val="Cuerpo"/>
        <w:spacing w:before="240" w:line="360" w:lineRule="auto"/>
        <w:jc w:val="both"/>
        <w:rPr>
          <w:rStyle w:val="Ninguno"/>
          <w:rFonts w:ascii="Calibri" w:cs="Calibri" w:hAnsi="Calibri" w:eastAsia="Calibri"/>
          <w:b w:val="1"/>
          <w:bCs w:val="1"/>
          <w:sz w:val="24"/>
          <w:szCs w:val="24"/>
        </w:rPr>
      </w:pPr>
      <w:r>
        <w:rPr>
          <w:rStyle w:val="Ninguno"/>
          <w:rFonts w:ascii="Calibri" w:hAnsi="Calibri"/>
          <w:b w:val="1"/>
          <w:bCs w:val="1"/>
          <w:sz w:val="24"/>
          <w:szCs w:val="24"/>
          <w:rtl w:val="0"/>
          <w:lang w:val="en-US"/>
        </w:rPr>
        <w:t>Description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I did the interview again for position of server in a high-end restaurant known as a La Rouge this time (. Furthermore, I felt very confident throughout my questions during the short conversation, and even Q&amp;A, Moreover, I would believe that I mainly maintained a composed demeanour, that I would say same about my companion.</w:t>
      </w:r>
    </w:p>
    <w:p>
      <w:pPr>
        <w:pStyle w:val="Cuerpo"/>
        <w:spacing w:before="240" w:line="360" w:lineRule="auto"/>
        <w:jc w:val="both"/>
        <w:rPr>
          <w:rStyle w:val="Ninguno"/>
          <w:rFonts w:ascii="Calibri" w:cs="Calibri" w:hAnsi="Calibri" w:eastAsia="Calibri"/>
          <w:b w:val="1"/>
          <w:bCs w:val="1"/>
          <w:sz w:val="24"/>
          <w:szCs w:val="24"/>
        </w:rPr>
      </w:pPr>
      <w:r>
        <w:rPr>
          <w:rStyle w:val="Ninguno"/>
          <w:rFonts w:ascii="Calibri" w:hAnsi="Calibri"/>
          <w:b w:val="1"/>
          <w:bCs w:val="1"/>
          <w:sz w:val="24"/>
          <w:szCs w:val="24"/>
          <w:rtl w:val="0"/>
          <w:lang w:val="nl-NL"/>
        </w:rPr>
        <w:t>Feelings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Despite the fact because I'm the investigator, I do not really believe there were many obstacles throughout the session. My accomplishment had made me quite happy.  I believe, is because inquiry - based learning is simpler than responding them. I recall the horrifying sensation I had since I would be the one who responded, even though we would have practised several times, I remained apprehensive and jittery, whereas I detected tranquilly and contentment in my colleague's voice.</w:t>
      </w:r>
    </w:p>
    <w:p>
      <w:pPr>
        <w:pStyle w:val="Cuerpo"/>
        <w:spacing w:before="240" w:line="360" w:lineRule="auto"/>
        <w:jc w:val="both"/>
        <w:rPr>
          <w:rStyle w:val="Ninguno"/>
          <w:rFonts w:ascii="Calibri" w:cs="Calibri" w:hAnsi="Calibri" w:eastAsia="Calibri"/>
          <w:b w:val="1"/>
          <w:bCs w:val="1"/>
          <w:sz w:val="24"/>
          <w:szCs w:val="24"/>
        </w:rPr>
      </w:pPr>
      <w:r>
        <w:rPr>
          <w:rStyle w:val="Ninguno"/>
          <w:rFonts w:ascii="Calibri" w:hAnsi="Calibri"/>
          <w:b w:val="1"/>
          <w:bCs w:val="1"/>
          <w:sz w:val="24"/>
          <w:szCs w:val="24"/>
          <w:rtl w:val="0"/>
          <w:lang w:val="en-US"/>
        </w:rPr>
        <w:t>Evaluation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There have been various great qualities in this practise of role play that I mainly noticed. I found my partner's calmness to be both comforting and encouraging. Furthermore, I loathed the disruptions caused by many contemporary pieces of technology.</w:t>
      </w:r>
    </w:p>
    <w:p>
      <w:pPr>
        <w:pStyle w:val="Cuerpo"/>
        <w:spacing w:before="240" w:line="360" w:lineRule="auto"/>
        <w:jc w:val="both"/>
        <w:rPr>
          <w:rStyle w:val="Ninguno"/>
          <w:rFonts w:ascii="Calibri" w:cs="Calibri" w:hAnsi="Calibri" w:eastAsia="Calibri"/>
          <w:b w:val="1"/>
          <w:bCs w:val="1"/>
          <w:sz w:val="24"/>
          <w:szCs w:val="24"/>
        </w:rPr>
      </w:pPr>
      <w:r>
        <w:rPr>
          <w:rStyle w:val="Ninguno"/>
          <w:rFonts w:ascii="Calibri" w:hAnsi="Calibri"/>
          <w:b w:val="1"/>
          <w:bCs w:val="1"/>
          <w:sz w:val="24"/>
          <w:szCs w:val="24"/>
          <w:rtl w:val="0"/>
        </w:rPr>
        <w:t>Analysis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This circumstance made me realise that there was a much more that might have been accomplished to better the role-playing experience (Gibbs and Park, 2022). Furthermore, I feel because both my partner and I were quite persuaded, and we strictly adhered to the time frame established by the instructor, permitting us to complete our play earlier than scheduled.</w:t>
      </w:r>
    </w:p>
    <w:p>
      <w:pPr>
        <w:pStyle w:val="Encabezamiento"/>
        <w:spacing w:line="360" w:lineRule="auto"/>
        <w:rPr>
          <w:rStyle w:val="Ninguno"/>
          <w:rFonts w:ascii="Calibri" w:cs="Calibri" w:hAnsi="Calibri" w:eastAsia="Calibri"/>
          <w:b w:val="1"/>
          <w:bCs w:val="1"/>
          <w:sz w:val="28"/>
          <w:szCs w:val="28"/>
        </w:rPr>
      </w:pPr>
      <w:bookmarkStart w:name="_Toc4" w:id="5"/>
      <w:r>
        <w:rPr>
          <w:rStyle w:val="Ninguno"/>
          <w:rFonts w:ascii="Calibri" w:hAnsi="Calibri"/>
          <w:b w:val="1"/>
          <w:bCs w:val="1"/>
          <w:outline w:val="0"/>
          <w:color w:val="4f81bd"/>
          <w:sz w:val="28"/>
          <w:szCs w:val="28"/>
          <w:u w:color="4f81bd"/>
          <w:rtl w:val="0"/>
          <w:lang w:val="it-IT"/>
          <w14:textFill>
            <w14:solidFill>
              <w14:srgbClr w14:val="4F81BD"/>
            </w14:solidFill>
          </w14:textFill>
        </w:rPr>
        <w:t>Conclusion</w:t>
      </w:r>
      <w:bookmarkEnd w:id="5"/>
    </w:p>
    <w:p>
      <w:pPr>
        <w:pStyle w:val="Cuerpo"/>
        <w:spacing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I also want to end by saying that it's clear that while Angie and I have space for development in several areas.</w:t>
      </w:r>
    </w:p>
    <w:p>
      <w:pPr>
        <w:pStyle w:val="Encabezamiento"/>
        <w:spacing w:line="360" w:lineRule="auto"/>
        <w:rPr>
          <w:rStyle w:val="Ninguno"/>
          <w:rFonts w:ascii="Calibri" w:cs="Calibri" w:hAnsi="Calibri" w:eastAsia="Calibri"/>
          <w:b w:val="1"/>
          <w:bCs w:val="1"/>
          <w:outline w:val="0"/>
          <w:color w:val="4f81bd"/>
          <w:sz w:val="28"/>
          <w:szCs w:val="28"/>
          <w:u w:color="4f81bd"/>
          <w14:textFill>
            <w14:solidFill>
              <w14:srgbClr w14:val="4F81BD"/>
            </w14:solidFill>
          </w14:textFill>
        </w:rPr>
      </w:pPr>
      <w:bookmarkStart w:name="_Toc5" w:id="6"/>
      <w:r>
        <w:rPr>
          <w:rStyle w:val="Ninguno"/>
          <w:rFonts w:ascii="Calibri" w:hAnsi="Calibri"/>
          <w:b w:val="1"/>
          <w:bCs w:val="1"/>
          <w:outline w:val="0"/>
          <w:color w:val="4f81bd"/>
          <w:sz w:val="28"/>
          <w:szCs w:val="28"/>
          <w:u w:color="4f81bd"/>
          <w:rtl w:val="0"/>
          <w:lang w:val="fr-FR"/>
          <w14:textFill>
            <w14:solidFill>
              <w14:srgbClr w14:val="4F81BD"/>
            </w14:solidFill>
          </w14:textFill>
        </w:rPr>
        <w:t>Action Plan</w:t>
      </w:r>
      <w:bookmarkEnd w:id="6"/>
    </w:p>
    <w:p>
      <w:pPr>
        <w:pStyle w:val="Cuerpo"/>
        <w:spacing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Within a week of working with the help of this role pay practice review, I believe we have such a better awareness of our weaknesses, and then we will fix those issues if the situation comes again.</w:t>
      </w:r>
    </w:p>
    <w:p>
      <w:pPr>
        <w:pStyle w:val="Encabezamiento"/>
        <w:spacing w:line="360" w:lineRule="auto"/>
        <w:rPr>
          <w:rStyle w:val="Ninguno"/>
          <w:rFonts w:ascii="Calibri" w:cs="Calibri" w:hAnsi="Calibri" w:eastAsia="Calibri"/>
          <w:b w:val="1"/>
          <w:bCs w:val="1"/>
          <w:outline w:val="0"/>
          <w:color w:val="4f81bd"/>
          <w:sz w:val="28"/>
          <w:szCs w:val="28"/>
          <w:u w:color="4f81bd"/>
          <w14:textFill>
            <w14:solidFill>
              <w14:srgbClr w14:val="4F81BD"/>
            </w14:solidFill>
          </w14:textFill>
        </w:rPr>
      </w:pPr>
      <w:bookmarkStart w:name="_Toc6" w:id="7"/>
      <w:r>
        <w:rPr>
          <w:rStyle w:val="Ninguno"/>
          <w:rFonts w:ascii="Calibri" w:hAnsi="Calibri"/>
          <w:b w:val="1"/>
          <w:bCs w:val="1"/>
          <w:outline w:val="0"/>
          <w:color w:val="4f81bd"/>
          <w:sz w:val="28"/>
          <w:szCs w:val="28"/>
          <w:u w:color="4f81bd"/>
          <w:rtl w:val="0"/>
          <w:lang w:val="en-US"/>
          <w14:textFill>
            <w14:solidFill>
              <w14:srgbClr w14:val="4F81BD"/>
            </w14:solidFill>
          </w14:textFill>
        </w:rPr>
        <w:t>Personal Development Plan</w:t>
      </w:r>
      <w:bookmarkEnd w:id="7"/>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en-US"/>
        </w:rPr>
        <w:t>SWOT ANALYSIS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The process of SWOT Analysis considered as a tool which is used in businesses for strategic management and planning. The entire process of swot analysis also be based on following post at the Boutique known as Redlux Fashion.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en-US"/>
        </w:rPr>
        <w:t>Strengths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 xml:space="preserve">As originally said, I believe I have a tiny set of talents that I consider to be my whole set of capabilities. In everything I do, we think I am getting more sincere, assertive, determined, and cautious. I believe I have good communication skills, which I can use to persuade any consumer to enjoy our products. I work well under pressure and have strong problem-solving skills. With the help of highly developed skills, I can easily complete the given tasks in the organization which was given to me by the higher management. </w:t>
      </w:r>
    </w:p>
    <w:p>
      <w:pPr>
        <w:pStyle w:val="Cuerpo"/>
        <w:spacing w:before="240" w:line="360" w:lineRule="auto"/>
        <w:jc w:val="both"/>
        <w:rPr>
          <w:rStyle w:val="Ninguno"/>
          <w:rFonts w:ascii="Calibri" w:cs="Calibri" w:hAnsi="Calibri" w:eastAsia="Calibri"/>
          <w:b w:val="1"/>
          <w:bCs w:val="1"/>
          <w:sz w:val="24"/>
          <w:szCs w:val="24"/>
        </w:rPr>
      </w:pPr>
      <w:r>
        <w:rPr>
          <w:rStyle w:val="Ninguno"/>
          <w:rFonts w:ascii="Calibri" w:hAnsi="Calibri"/>
          <w:b w:val="1"/>
          <w:bCs w:val="1"/>
          <w:sz w:val="24"/>
          <w:szCs w:val="24"/>
          <w:rtl w:val="0"/>
          <w:lang w:val="da-DK"/>
        </w:rPr>
        <w:t>Weaknesses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My personality may not have many defects. When I'm angry, I experience a loss of my overall body expression, which I consider a fault because I mainly need to improve on. In addition, I suppose I am irritable when it gets hard to certain consumers in a crowded store. With the help of developed skills and expertise I can easily get a job at any good company at a good wage (Barashkov, 2022). On the other hand, if my skills and expertise are not up to the mark so no good and international firm will hire me in their framework, because by hiring a non-experience candidate no firm in the world will risk their businesses.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en-US"/>
        </w:rPr>
        <w:t>Opportunities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Greater skill set growth would allow me to function more efficiently and make more contacts throughout the whole fashion industry (Guindi, 2022). Furthermore, finishing my degrees might allow us to better understand better job opportunities. By improving the skills, a person can gain different types of development and growth opportunities by various firms across the globe.</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en-US"/>
        </w:rPr>
        <w:t>Threats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Covid is one of the main reason due to which the different types of business across the globe must faced different types of problems. On the other hand, some of those companies also gain huge profits in the situation of outbreak with new and developed ideas.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rPr>
        <w:t>SMART OBJECTIVES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"In management, The SMART method is widely recognised as the reference standard for establishing successful priorities and goals." In addition, I will present a strategic aim approach that will aid my future employment.</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rPr>
        <w:t>Specific</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My long-term objective is to mainly create my personal business when I can complete my education.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en-US"/>
        </w:rPr>
        <w:t>Measurable</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All my goals can be easily measured.</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en-US"/>
        </w:rPr>
        <w:t>Achievable</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Furthermore, it is feasible to accomplish. My strategy is extremely detailed. My family and Myself have been saving money again for early stages of developing a complete company, but I will seek a line of credit. I have started taking a range of options to help me increase my experience and competencies of a whole sector. In additionally, because of something like this, I may make more networking opportunities.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fr-FR"/>
        </w:rPr>
        <w:t>Relevant</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Pareto 80 to 20 Rule is used to prioritise the most crucial functions that must be accomplished in a particular day. Moreover, it will help me prioritise the key goal by finishing the necessities and attaining an amazing result.</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rPr>
        <w:t>Timely</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It is my goals to achieved and concluded my goal in time of 3 years.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de-DE"/>
        </w:rPr>
        <w:t>JOHARI WINDOW:</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My aim will be completed and attained within a three-year time span.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rPr>
        <w:t>Open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A concept of Johari Window is an approach for developing individuality and making it easier for someone else to understand one's feelings and opinions.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rPr>
        <w:t>Blind</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I think that the abilities or beings that I and everybody else know against me are abilities or beings.</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nl-NL"/>
        </w:rPr>
        <w:t>Hidden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 xml:space="preserve">I am determined in all I do, as well as dependable and hardworking. </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b w:val="1"/>
          <w:bCs w:val="1"/>
          <w:sz w:val="24"/>
          <w:szCs w:val="24"/>
          <w:rtl w:val="0"/>
          <w:lang w:val="en-US"/>
        </w:rPr>
        <w:t>Unknown</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What I really should not understand about myself, and what everyone else do not even know about myself, would be that I forget too soon and trust very easily.</w:t>
      </w:r>
    </w:p>
    <w:p>
      <w:pPr>
        <w:pStyle w:val="Encabezamiento"/>
        <w:spacing w:line="360" w:lineRule="auto"/>
        <w:rPr>
          <w:rStyle w:val="Ninguno"/>
          <w:rFonts w:ascii="Calibri" w:cs="Calibri" w:hAnsi="Calibri" w:eastAsia="Calibri"/>
          <w:b w:val="1"/>
          <w:bCs w:val="1"/>
          <w:sz w:val="28"/>
          <w:szCs w:val="28"/>
        </w:rPr>
      </w:pPr>
      <w:bookmarkStart w:name="_Toc7" w:id="8"/>
      <w:r>
        <w:rPr>
          <w:rStyle w:val="Ninguno"/>
          <w:rFonts w:ascii="Calibri" w:hAnsi="Calibri"/>
          <w:b w:val="1"/>
          <w:bCs w:val="1"/>
          <w:outline w:val="0"/>
          <w:color w:val="4f81bd"/>
          <w:sz w:val="28"/>
          <w:szCs w:val="28"/>
          <w:u w:color="4f81bd"/>
          <w:rtl w:val="0"/>
          <w:lang w:val="it-IT"/>
          <w14:textFill>
            <w14:solidFill>
              <w14:srgbClr w14:val="4F81BD"/>
            </w14:solidFill>
          </w14:textFill>
        </w:rPr>
        <w:t>Conclusion</w:t>
      </w:r>
      <w:bookmarkEnd w:id="8"/>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Throughout this paper, I arrived at the opinion that understanding oneself is essential. To achieve all my goals, I must enhance my abilities and character. Furthermore, I believe that the practice role play, we did in class but that we discussed here has makes me understand all my strong and weak points and limitations, as well as my full potential.</w:t>
      </w:r>
    </w:p>
    <w:p>
      <w:pPr>
        <w:pStyle w:val="Cuerpo"/>
        <w:spacing w:before="240" w:line="360" w:lineRule="auto"/>
        <w:jc w:val="both"/>
        <w:rPr>
          <w:rStyle w:val="Ninguno"/>
          <w:rFonts w:ascii="Calibri" w:cs="Calibri" w:hAnsi="Calibri" w:eastAsia="Calibri"/>
          <w:sz w:val="24"/>
          <w:szCs w:val="24"/>
        </w:rPr>
      </w:pPr>
      <w:r>
        <w:rPr>
          <w:rStyle w:val="Ninguno"/>
          <w:rFonts w:ascii="Calibri" w:hAnsi="Calibri"/>
          <w:sz w:val="24"/>
          <w:szCs w:val="24"/>
          <w:rtl w:val="0"/>
          <w:lang w:val="en-US"/>
        </w:rPr>
        <w:t>This report helps me to understand the importance of personal and professional development in this modern world, because without that nowadays a person cannot be hired on a high level, and it will be impossible for him or her to gain huge amount of money or make a good name in any business company.</w:t>
      </w: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Cuerpo"/>
        <w:spacing w:before="240" w:line="360" w:lineRule="auto"/>
        <w:jc w:val="both"/>
        <w:rPr>
          <w:rStyle w:val="Ninguno"/>
          <w:rFonts w:ascii="Calibri" w:cs="Calibri" w:hAnsi="Calibri" w:eastAsia="Calibri"/>
          <w:sz w:val="24"/>
          <w:szCs w:val="24"/>
        </w:rPr>
      </w:pPr>
    </w:p>
    <w:p>
      <w:pPr>
        <w:pStyle w:val="Encabezamiento"/>
        <w:spacing w:line="360" w:lineRule="auto"/>
        <w:rPr>
          <w:rStyle w:val="Ninguno"/>
          <w:rFonts w:ascii="Calibri" w:cs="Calibri" w:hAnsi="Calibri" w:eastAsia="Calibri"/>
          <w:b w:val="1"/>
          <w:bCs w:val="1"/>
          <w:outline w:val="0"/>
          <w:color w:val="4f81bd"/>
          <w:sz w:val="28"/>
          <w:szCs w:val="28"/>
          <w:u w:color="4f81bd"/>
          <w14:textFill>
            <w14:solidFill>
              <w14:srgbClr w14:val="4F81BD"/>
            </w14:solidFill>
          </w14:textFill>
        </w:rPr>
      </w:pPr>
      <w:bookmarkStart w:name="_Toc8" w:id="9"/>
      <w:r>
        <w:rPr>
          <w:rStyle w:val="Ninguno"/>
          <w:rFonts w:ascii="Calibri" w:hAnsi="Calibri"/>
          <w:b w:val="1"/>
          <w:bCs w:val="1"/>
          <w:outline w:val="0"/>
          <w:color w:val="4f81bd"/>
          <w:sz w:val="28"/>
          <w:szCs w:val="28"/>
          <w:u w:color="4f81bd"/>
          <w:rtl w:val="0"/>
          <w:lang w:val="fr-FR"/>
          <w14:textFill>
            <w14:solidFill>
              <w14:srgbClr w14:val="4F81BD"/>
            </w14:solidFill>
          </w14:textFill>
        </w:rPr>
        <w:t>Reference List</w:t>
      </w:r>
      <w:bookmarkEnd w:id="9"/>
    </w:p>
    <w:p>
      <w:pPr>
        <w:pStyle w:val="Cuerpo"/>
        <w:spacing w:before="240" w:after="240" w:line="360" w:lineRule="auto"/>
        <w:jc w:val="both"/>
        <w:rPr>
          <w:rStyle w:val="Ninguno"/>
          <w:rFonts w:ascii="Calibri" w:cs="Calibri" w:hAnsi="Calibri" w:eastAsia="Calibri"/>
          <w:outline w:val="0"/>
          <w:color w:val="222222"/>
          <w:sz w:val="24"/>
          <w:szCs w:val="24"/>
          <w:u w:color="222222"/>
          <w:shd w:val="clear" w:color="auto" w:fill="ffffff"/>
          <w14:textFill>
            <w14:solidFill>
              <w14:srgbClr w14:val="222222"/>
            </w14:solidFill>
          </w14:textFill>
        </w:rPr>
      </w:pPr>
      <w:r>
        <w:rPr>
          <w:rStyle w:val="Ninguno"/>
          <w:rFonts w:ascii="Calibri" w:hAnsi="Calibri"/>
          <w:outline w:val="0"/>
          <w:color w:val="222222"/>
          <w:sz w:val="24"/>
          <w:szCs w:val="24"/>
          <w:u w:color="222222"/>
          <w:shd w:val="clear" w:color="auto" w:fill="ffffff"/>
          <w:rtl w:val="0"/>
          <w14:textFill>
            <w14:solidFill>
              <w14:srgbClr w14:val="222222"/>
            </w14:solidFill>
          </w14:textFill>
        </w:rPr>
        <w:t>Barashkov, N., 2022.</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 </w:t>
      </w:r>
      <w:r>
        <w:rPr>
          <w:rStyle w:val="Ninguno"/>
          <w:rFonts w:ascii="Calibri" w:hAnsi="Calibri"/>
          <w:i w:val="1"/>
          <w:iCs w:val="1"/>
          <w:outline w:val="0"/>
          <w:color w:val="222222"/>
          <w:sz w:val="24"/>
          <w:szCs w:val="24"/>
          <w:u w:color="222222"/>
          <w:shd w:val="clear" w:color="auto" w:fill="ffffff"/>
          <w:rtl w:val="0"/>
          <w:lang w:val="en-US"/>
          <w14:textFill>
            <w14:solidFill>
              <w14:srgbClr w14:val="222222"/>
            </w14:solidFill>
          </w14:textFill>
        </w:rPr>
        <w:t>A variational approach to Gibbs measures on function spaces</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 </w:t>
      </w:r>
      <w:r>
        <w:rPr>
          <w:rStyle w:val="Ninguno"/>
          <w:rFonts w:ascii="Calibri" w:hAnsi="Calibri"/>
          <w:outline w:val="0"/>
          <w:color w:val="222222"/>
          <w:sz w:val="24"/>
          <w:szCs w:val="24"/>
          <w:u w:color="222222"/>
          <w:shd w:val="clear" w:color="auto" w:fill="ffffff"/>
          <w:rtl w:val="0"/>
          <w:lang w:val="fr-FR"/>
          <w14:textFill>
            <w14:solidFill>
              <w14:srgbClr w14:val="222222"/>
            </w14:solidFill>
          </w14:textFill>
        </w:rPr>
        <w:t>(Doctoral dissertation, Universit</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ä</w:t>
      </w:r>
      <w:r>
        <w:rPr>
          <w:rStyle w:val="Ninguno"/>
          <w:rFonts w:ascii="Calibri" w:hAnsi="Calibri"/>
          <w:outline w:val="0"/>
          <w:color w:val="222222"/>
          <w:sz w:val="24"/>
          <w:szCs w:val="24"/>
          <w:u w:color="222222"/>
          <w:shd w:val="clear" w:color="auto" w:fill="ffffff"/>
          <w:rtl w:val="0"/>
          <w:lang w:val="en-US"/>
          <w14:textFill>
            <w14:solidFill>
              <w14:srgbClr w14:val="222222"/>
            </w14:solidFill>
          </w14:textFill>
        </w:rPr>
        <w:t>ts-und Landesbibliothek Bonn).</w:t>
      </w:r>
    </w:p>
    <w:p>
      <w:pPr>
        <w:pStyle w:val="Cuerpo"/>
        <w:spacing w:before="240" w:after="240" w:line="360" w:lineRule="auto"/>
        <w:jc w:val="both"/>
        <w:rPr>
          <w:rStyle w:val="Ninguno"/>
          <w:rFonts w:ascii="Calibri" w:cs="Calibri" w:hAnsi="Calibri" w:eastAsia="Calibri"/>
          <w:outline w:val="0"/>
          <w:color w:val="222222"/>
          <w:sz w:val="24"/>
          <w:szCs w:val="24"/>
          <w:u w:color="222222"/>
          <w:shd w:val="clear" w:color="auto" w:fill="ffffff"/>
          <w14:textFill>
            <w14:solidFill>
              <w14:srgbClr w14:val="222222"/>
            </w14:solidFill>
          </w14:textFill>
        </w:rPr>
      </w:pPr>
      <w:r>
        <w:rPr>
          <w:rStyle w:val="Ninguno"/>
          <w:rFonts w:ascii="Calibri" w:hAnsi="Calibri"/>
          <w:outline w:val="0"/>
          <w:color w:val="222222"/>
          <w:sz w:val="24"/>
          <w:szCs w:val="24"/>
          <w:u w:color="222222"/>
          <w:shd w:val="clear" w:color="auto" w:fill="ffffff"/>
          <w:rtl w:val="0"/>
          <w:lang w:val="en-US"/>
          <w14:textFill>
            <w14:solidFill>
              <w14:srgbClr w14:val="222222"/>
            </w14:solidFill>
          </w14:textFill>
        </w:rPr>
        <w:t>Gibbs, A.M. and Park, J.Y., 2022. Unboxing mathematics: creating a culture of modeling as critic.</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 </w:t>
      </w:r>
      <w:r>
        <w:rPr>
          <w:rStyle w:val="Ninguno"/>
          <w:rFonts w:ascii="Calibri" w:hAnsi="Calibri"/>
          <w:i w:val="1"/>
          <w:iCs w:val="1"/>
          <w:outline w:val="0"/>
          <w:color w:val="222222"/>
          <w:sz w:val="24"/>
          <w:szCs w:val="24"/>
          <w:u w:color="222222"/>
          <w:shd w:val="clear" w:color="auto" w:fill="ffffff"/>
          <w:rtl w:val="0"/>
          <w:lang w:val="en-US"/>
          <w14:textFill>
            <w14:solidFill>
              <w14:srgbClr w14:val="222222"/>
            </w14:solidFill>
          </w14:textFill>
        </w:rPr>
        <w:t>Educational Studies in Mathematics</w:t>
      </w:r>
      <w:r>
        <w:rPr>
          <w:rStyle w:val="Ninguno"/>
          <w:rFonts w:ascii="Calibri" w:hAnsi="Calibri"/>
          <w:outline w:val="0"/>
          <w:color w:val="222222"/>
          <w:sz w:val="24"/>
          <w:szCs w:val="24"/>
          <w:u w:color="222222"/>
          <w:shd w:val="clear" w:color="auto" w:fill="ffffff"/>
          <w:rtl w:val="0"/>
          <w14:textFill>
            <w14:solidFill>
              <w14:srgbClr w14:val="222222"/>
            </w14:solidFill>
          </w14:textFill>
        </w:rPr>
        <w:t>, pp.1-26.</w:t>
      </w:r>
    </w:p>
    <w:p>
      <w:pPr>
        <w:pStyle w:val="Cuerpo"/>
        <w:spacing w:before="240" w:after="240" w:line="360" w:lineRule="auto"/>
        <w:jc w:val="both"/>
        <w:rPr>
          <w:rStyle w:val="Ninguno"/>
          <w:rFonts w:ascii="Calibri" w:cs="Calibri" w:hAnsi="Calibri" w:eastAsia="Calibri"/>
          <w:sz w:val="24"/>
          <w:szCs w:val="24"/>
        </w:rPr>
      </w:pPr>
      <w:r>
        <w:rPr>
          <w:rStyle w:val="Ninguno"/>
          <w:rFonts w:ascii="Calibri" w:hAnsi="Calibri"/>
          <w:outline w:val="0"/>
          <w:color w:val="222222"/>
          <w:sz w:val="24"/>
          <w:szCs w:val="24"/>
          <w:u w:color="222222"/>
          <w:shd w:val="clear" w:color="auto" w:fill="ffffff"/>
          <w:rtl w:val="0"/>
          <w:lang w:val="it-IT"/>
          <w14:textFill>
            <w14:solidFill>
              <w14:srgbClr w14:val="222222"/>
            </w14:solidFill>
          </w14:textFill>
        </w:rPr>
        <w:t>Guindi, A., 2022. The haunting.</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 </w:t>
      </w:r>
      <w:r>
        <w:rPr>
          <w:rStyle w:val="Ninguno"/>
          <w:rFonts w:ascii="Calibri" w:hAnsi="Calibri"/>
          <w:i w:val="1"/>
          <w:iCs w:val="1"/>
          <w:outline w:val="0"/>
          <w:color w:val="222222"/>
          <w:sz w:val="24"/>
          <w:szCs w:val="24"/>
          <w:u w:color="222222"/>
          <w:shd w:val="clear" w:color="auto" w:fill="ffffff"/>
          <w:rtl w:val="0"/>
          <w:lang w:val="en-US"/>
          <w14:textFill>
            <w14:solidFill>
              <w14:srgbClr w14:val="222222"/>
            </w14:solidFill>
          </w14:textFill>
        </w:rPr>
        <w:t xml:space="preserve">Ann Guindi examines how vicarious trauma can affect health workers and what steps can be taken to help these </w:t>
      </w:r>
      <w:r>
        <w:rPr>
          <w:rStyle w:val="Ninguno"/>
          <w:rFonts w:ascii="Calibri" w:hAnsi="Calibri" w:hint="default"/>
          <w:i w:val="1"/>
          <w:iCs w:val="1"/>
          <w:outline w:val="0"/>
          <w:color w:val="222222"/>
          <w:sz w:val="24"/>
          <w:szCs w:val="24"/>
          <w:u w:color="222222"/>
          <w:shd w:val="clear" w:color="auto" w:fill="ffffff"/>
          <w:rtl w:val="1"/>
          <w14:textFill>
            <w14:solidFill>
              <w14:srgbClr w14:val="222222"/>
            </w14:solidFill>
          </w14:textFill>
        </w:rPr>
        <w:t>‘</w:t>
      </w:r>
      <w:r>
        <w:rPr>
          <w:rStyle w:val="Ninguno"/>
          <w:rFonts w:ascii="Calibri" w:hAnsi="Calibri"/>
          <w:i w:val="1"/>
          <w:iCs w:val="1"/>
          <w:outline w:val="0"/>
          <w:color w:val="222222"/>
          <w:sz w:val="24"/>
          <w:szCs w:val="24"/>
          <w:u w:color="222222"/>
          <w:shd w:val="clear" w:color="auto" w:fill="ffffff"/>
          <w:rtl w:val="0"/>
          <w:lang w:val="en-US"/>
          <w14:textFill>
            <w14:solidFill>
              <w14:srgbClr w14:val="222222"/>
            </w14:solidFill>
          </w14:textFill>
        </w:rPr>
        <w:t>wounded healers</w:t>
      </w:r>
      <w:r>
        <w:rPr>
          <w:rStyle w:val="Ninguno"/>
          <w:rFonts w:ascii="Calibri" w:hAnsi="Calibri"/>
          <w:outline w:val="0"/>
          <w:color w:val="222222"/>
          <w:sz w:val="24"/>
          <w:szCs w:val="24"/>
          <w:u w:color="222222"/>
          <w:shd w:val="clear" w:color="auto" w:fill="ffffff"/>
          <w:rtl w:val="0"/>
          <w14:textFill>
            <w14:solidFill>
              <w14:srgbClr w14:val="222222"/>
            </w14:solidFill>
          </w14:textFill>
        </w:rPr>
        <w:t>.</w:t>
      </w:r>
    </w:p>
    <w:p>
      <w:pPr>
        <w:pStyle w:val="Cuerpo"/>
        <w:spacing w:before="240" w:after="240" w:line="360" w:lineRule="auto"/>
        <w:jc w:val="both"/>
        <w:rPr>
          <w:rStyle w:val="Ninguno"/>
          <w:rFonts w:ascii="Calibri" w:cs="Calibri" w:hAnsi="Calibri" w:eastAsia="Calibri"/>
          <w:outline w:val="0"/>
          <w:color w:val="222222"/>
          <w:sz w:val="24"/>
          <w:szCs w:val="24"/>
          <w:u w:color="222222"/>
          <w:shd w:val="clear" w:color="auto" w:fill="ffffff"/>
          <w14:textFill>
            <w14:solidFill>
              <w14:srgbClr w14:val="222222"/>
            </w14:solidFill>
          </w14:textFill>
        </w:rPr>
      </w:pPr>
      <w:r>
        <w:rPr>
          <w:rStyle w:val="Ninguno"/>
          <w:rFonts w:ascii="Calibri" w:hAnsi="Calibri"/>
          <w:outline w:val="0"/>
          <w:color w:val="222222"/>
          <w:sz w:val="24"/>
          <w:szCs w:val="24"/>
          <w:u w:color="222222"/>
          <w:shd w:val="clear" w:color="auto" w:fill="ffffff"/>
          <w:rtl w:val="0"/>
          <w:lang w:val="en-US"/>
          <w14:textFill>
            <w14:solidFill>
              <w14:srgbClr w14:val="222222"/>
            </w14:solidFill>
          </w14:textFill>
        </w:rPr>
        <w:t>Penfold, J. and Thomas, R.K., 2022. Neutron reflection and the thermodynamics of the air</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w:t>
      </w:r>
      <w:r>
        <w:rPr>
          <w:rStyle w:val="Ninguno"/>
          <w:rFonts w:ascii="Calibri" w:hAnsi="Calibri"/>
          <w:outline w:val="0"/>
          <w:color w:val="222222"/>
          <w:sz w:val="24"/>
          <w:szCs w:val="24"/>
          <w:u w:color="222222"/>
          <w:shd w:val="clear" w:color="auto" w:fill="ffffff"/>
          <w:rtl w:val="0"/>
          <w:lang w:val="en-US"/>
          <w14:textFill>
            <w14:solidFill>
              <w14:srgbClr w14:val="222222"/>
            </w14:solidFill>
          </w14:textFill>
        </w:rPr>
        <w:t>water interface.</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 </w:t>
      </w:r>
      <w:r>
        <w:rPr>
          <w:rStyle w:val="Ninguno"/>
          <w:rFonts w:ascii="Calibri" w:hAnsi="Calibri"/>
          <w:i w:val="1"/>
          <w:iCs w:val="1"/>
          <w:outline w:val="0"/>
          <w:color w:val="222222"/>
          <w:sz w:val="24"/>
          <w:szCs w:val="24"/>
          <w:u w:color="222222"/>
          <w:shd w:val="clear" w:color="auto" w:fill="ffffff"/>
          <w:rtl w:val="0"/>
          <w:lang w:val="en-US"/>
          <w14:textFill>
            <w14:solidFill>
              <w14:srgbClr w14:val="222222"/>
            </w14:solidFill>
          </w14:textFill>
        </w:rPr>
        <w:t>Physical Chemistry Chemical Physics</w:t>
      </w:r>
      <w:r>
        <w:rPr>
          <w:rStyle w:val="Ninguno"/>
          <w:rFonts w:ascii="Calibri" w:hAnsi="Calibri"/>
          <w:outline w:val="0"/>
          <w:color w:val="222222"/>
          <w:sz w:val="24"/>
          <w:szCs w:val="24"/>
          <w:u w:color="222222"/>
          <w:shd w:val="clear" w:color="auto" w:fill="ffffff"/>
          <w:rtl w:val="0"/>
          <w14:textFill>
            <w14:solidFill>
              <w14:srgbClr w14:val="222222"/>
            </w14:solidFill>
          </w14:textFill>
        </w:rPr>
        <w:t>,</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 </w:t>
      </w:r>
      <w:r>
        <w:rPr>
          <w:rStyle w:val="Ninguno"/>
          <w:rFonts w:ascii="Calibri" w:hAnsi="Calibri"/>
          <w:i w:val="1"/>
          <w:iCs w:val="1"/>
          <w:outline w:val="0"/>
          <w:color w:val="222222"/>
          <w:sz w:val="24"/>
          <w:szCs w:val="24"/>
          <w:u w:color="222222"/>
          <w:shd w:val="clear" w:color="auto" w:fill="ffffff"/>
          <w:rtl w:val="0"/>
          <w14:textFill>
            <w14:solidFill>
              <w14:srgbClr w14:val="222222"/>
            </w14:solidFill>
          </w14:textFill>
        </w:rPr>
        <w:t>24</w:t>
      </w:r>
      <w:r>
        <w:rPr>
          <w:rStyle w:val="Ninguno"/>
          <w:rFonts w:ascii="Calibri" w:hAnsi="Calibri"/>
          <w:outline w:val="0"/>
          <w:color w:val="222222"/>
          <w:sz w:val="24"/>
          <w:szCs w:val="24"/>
          <w:u w:color="222222"/>
          <w:shd w:val="clear" w:color="auto" w:fill="ffffff"/>
          <w:rtl w:val="0"/>
          <w14:textFill>
            <w14:solidFill>
              <w14:srgbClr w14:val="222222"/>
            </w14:solidFill>
          </w14:textFill>
        </w:rPr>
        <w:t>(15), pp.8553-8577.</w:t>
      </w:r>
    </w:p>
    <w:p>
      <w:pPr>
        <w:pStyle w:val="Cuerpo"/>
        <w:spacing w:before="240" w:after="240" w:line="360" w:lineRule="auto"/>
        <w:jc w:val="both"/>
      </w:pPr>
      <w:r>
        <w:rPr>
          <w:rStyle w:val="Ninguno"/>
          <w:rFonts w:ascii="Calibri" w:hAnsi="Calibri"/>
          <w:outline w:val="0"/>
          <w:color w:val="222222"/>
          <w:sz w:val="24"/>
          <w:szCs w:val="24"/>
          <w:u w:color="222222"/>
          <w:shd w:val="clear" w:color="auto" w:fill="ffffff"/>
          <w:rtl w:val="0"/>
          <w:lang w:val="en-US"/>
          <w14:textFill>
            <w14:solidFill>
              <w14:srgbClr w14:val="222222"/>
            </w14:solidFill>
          </w14:textFill>
        </w:rPr>
        <w:t>Soundiraraj, S. and Babu, B.A., 2022. Reflective Practice for Teachers in the Post-Method Era.</w:t>
      </w:r>
      <w:r>
        <w:rPr>
          <w:rStyle w:val="Ninguno"/>
          <w:rFonts w:ascii="Calibri" w:hAnsi="Calibri" w:hint="default"/>
          <w:outline w:val="0"/>
          <w:color w:val="222222"/>
          <w:sz w:val="24"/>
          <w:szCs w:val="24"/>
          <w:u w:color="222222"/>
          <w:shd w:val="clear" w:color="auto" w:fill="ffffff"/>
          <w:rtl w:val="0"/>
          <w14:textFill>
            <w14:solidFill>
              <w14:srgbClr w14:val="222222"/>
            </w14:solidFill>
          </w14:textFill>
        </w:rPr>
        <w:t> </w:t>
      </w:r>
      <w:r>
        <w:rPr>
          <w:rStyle w:val="Ninguno"/>
          <w:rFonts w:ascii="Calibri" w:hAnsi="Calibri"/>
          <w:i w:val="1"/>
          <w:iCs w:val="1"/>
          <w:outline w:val="0"/>
          <w:color w:val="222222"/>
          <w:sz w:val="24"/>
          <w:szCs w:val="24"/>
          <w:u w:color="222222"/>
          <w:shd w:val="clear" w:color="auto" w:fill="ffffff"/>
          <w:rtl w:val="0"/>
          <w:lang w:val="en-US"/>
          <w14:textFill>
            <w14:solidFill>
              <w14:srgbClr w14:val="222222"/>
            </w14:solidFill>
          </w14:textFill>
        </w:rPr>
        <w:t>Contemporary ELT Strategies in Engineering Pedagogy: Theory and Practice</w:t>
      </w:r>
      <w:r>
        <w:rPr>
          <w:rStyle w:val="Ninguno"/>
          <w:rFonts w:ascii="Calibri" w:hAnsi="Calibri"/>
          <w:outline w:val="0"/>
          <w:color w:val="222222"/>
          <w:sz w:val="24"/>
          <w:szCs w:val="24"/>
          <w:u w:color="222222"/>
          <w:shd w:val="clear" w:color="auto" w:fill="ffffff"/>
          <w:rtl w:val="0"/>
          <w14:textFill>
            <w14:solidFill>
              <w14:srgbClr w14:val="222222"/>
            </w14:solidFill>
          </w14:textFill>
        </w:rPr>
        <w:t>.</w:t>
      </w:r>
    </w:p>
    <w:sectPr>
      <w:headerReference w:type="default" r:id="rId5"/>
      <w:footerReference w:type="default" r:id="rId6"/>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center"/>
    </w:pPr>
    <w:r>
      <w:rPr>
        <w:rStyle w:val="Ninguno"/>
        <w:rtl w:val="0"/>
        <w:lang w:val="en-US"/>
      </w:rPr>
      <w:t xml:space="preserve">Page </w:t>
    </w:r>
    <w:r>
      <w:rPr>
        <w:rStyle w:val="Ninguno"/>
        <w:b w:val="1"/>
        <w:bCs w:val="1"/>
        <w:rtl w:val="0"/>
      </w:rPr>
      <w:fldChar w:fldCharType="begin" w:fldLock="0"/>
    </w:r>
    <w:r>
      <w:rPr>
        <w:rStyle w:val="Ninguno"/>
        <w:b w:val="1"/>
        <w:bCs w:val="1"/>
        <w:rtl w:val="0"/>
      </w:rPr>
      <w:instrText xml:space="preserve"> PAGE </w:instrText>
    </w:r>
    <w:r>
      <w:rPr>
        <w:rStyle w:val="Ninguno"/>
        <w:b w:val="1"/>
        <w:bCs w:val="1"/>
        <w:rtl w:val="0"/>
      </w:rPr>
      <w:fldChar w:fldCharType="separate" w:fldLock="0"/>
    </w:r>
    <w:r>
      <w:rPr>
        <w:rStyle w:val="Ninguno"/>
        <w:b w:val="1"/>
        <w:bCs w:val="1"/>
        <w:rtl w:val="0"/>
      </w:rPr>
    </w:r>
    <w:r>
      <w:rPr>
        <w:rStyle w:val="Ninguno"/>
        <w:b w:val="1"/>
        <w:bCs w:val="1"/>
        <w:rtl w:val="0"/>
      </w:rPr>
      <w:fldChar w:fldCharType="end" w:fldLock="0"/>
    </w:r>
    <w:r>
      <w:rPr>
        <w:rStyle w:val="Ninguno"/>
        <w:rtl w:val="0"/>
        <w:lang w:val="en-US"/>
      </w:rPr>
      <w:t xml:space="preserve"> of </w:t>
    </w:r>
    <w:r>
      <w:rPr>
        <w:rStyle w:val="Ninguno"/>
        <w:b w:val="1"/>
        <w:bCs w:val="1"/>
        <w:rtl w:val="0"/>
      </w:rPr>
      <w:fldChar w:fldCharType="begin" w:fldLock="0"/>
    </w:r>
    <w:r>
      <w:rPr>
        <w:rStyle w:val="Ninguno"/>
        <w:b w:val="1"/>
        <w:bCs w:val="1"/>
        <w:rtl w:val="0"/>
      </w:rPr>
      <w:instrText xml:space="preserve"> NUMPAGES </w:instrText>
    </w:r>
    <w:r>
      <w:rPr>
        <w:rStyle w:val="Ninguno"/>
        <w:b w:val="1"/>
        <w:bCs w:val="1"/>
        <w:rtl w:val="0"/>
      </w:rPr>
      <w:fldChar w:fldCharType="separate" w:fldLock="0"/>
    </w:r>
    <w:r>
      <w:rPr>
        <w:rStyle w:val="Ninguno"/>
        <w:b w:val="1"/>
        <w:bCs w:val="1"/>
        <w:rtl w:val="0"/>
      </w:rPr>
    </w:r>
    <w:r>
      <w:rPr>
        <w:rStyle w:val="Ninguno"/>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Ninguno">
    <w:name w:val="Ninguno"/>
    <w:rPr>
      <w:lang w:val="en-US"/>
    </w:rPr>
  </w:style>
  <w:style w:type="paragraph" w:styleId="TOC Heading">
    <w:name w:val="TOC Heading"/>
    <w:next w:val="Cuerpo"/>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Encabezamiento">
    <w:name w:val="Encabezamiento"/>
    <w:next w:val="Cuerpo"/>
    <w:pPr>
      <w:keepNext w:val="1"/>
      <w:keepLines w:val="1"/>
      <w:pageBreakBefore w:val="0"/>
      <w:widowControl w:val="1"/>
      <w:shd w:val="clear" w:color="auto" w:fill="auto"/>
      <w:suppressAutoHyphens w:val="0"/>
      <w:bidi w:val="0"/>
      <w:spacing w:before="400" w:after="120" w:line="276" w:lineRule="auto"/>
      <w:ind w:left="0" w:right="0" w:firstLine="0"/>
      <w:jc w:val="left"/>
      <w:outlineLvl w:val="0"/>
    </w:pPr>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