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873BFE" w14:textId="77777777" w:rsidR="00E13193" w:rsidRPr="00E13193" w:rsidRDefault="00E13193" w:rsidP="00E13193">
      <w:pPr>
        <w:rPr>
          <w:rFonts w:ascii="Times New Roman" w:hAnsi="Times New Roman" w:cs="Times New Roman"/>
          <w:sz w:val="24"/>
          <w:szCs w:val="24"/>
        </w:rPr>
      </w:pPr>
      <w:r w:rsidRPr="00E13193">
        <w:rPr>
          <w:rFonts w:ascii="Times New Roman" w:hAnsi="Times New Roman" w:cs="Times New Roman"/>
          <w:sz w:val="24"/>
          <w:szCs w:val="24"/>
        </w:rPr>
        <w:t xml:space="preserve">Palsgaard et al. (2022) articulate that a valued part of the healthcare profession is to care for the psychosocial, mental and physical well-being of every patient they treat, and explain that they are all interlinked together, especially as the human population ages.  Perez, Perez and Chumbiaucia (2022) consider how the three are interlinked together and may play a major part in an older person’s overall state of health and recommend health boards rethink how medical conditions in older people are treated in the medical industry, including clinical settings, local community care, social services, as well as third sector organisations who can aid those in need to avoid ageism, medical discrimination, or any form of abuse. </w:t>
      </w:r>
    </w:p>
    <w:p w14:paraId="031582ED" w14:textId="77777777" w:rsidR="00E13193" w:rsidRPr="00E13193" w:rsidRDefault="00E13193" w:rsidP="00E13193">
      <w:pPr>
        <w:rPr>
          <w:rFonts w:ascii="Times New Roman" w:hAnsi="Times New Roman" w:cs="Times New Roman"/>
          <w:sz w:val="24"/>
          <w:szCs w:val="24"/>
        </w:rPr>
      </w:pPr>
      <w:r w:rsidRPr="00E13193">
        <w:rPr>
          <w:rFonts w:ascii="Times New Roman" w:hAnsi="Times New Roman" w:cs="Times New Roman"/>
          <w:sz w:val="24"/>
          <w:szCs w:val="24"/>
        </w:rPr>
        <w:t xml:space="preserve">The population of the United Kingdom (UK) is getting older, and this trend is expected to only grow, specifically in Wales it is estimated that 31% of the population will be over the age of 60 by 2031, (Older People’s Commissioners for Wales, (2022).  The Government Office for Science (2024) acknowledges that while living longer is a remarkable achievement, they also recognise the potential challenges that an ageing population can create for the National Health Service (NHS), not only financially, but with increasing demands for medical interventions for chronic illness, cognitive diseases and disabilities. </w:t>
      </w:r>
    </w:p>
    <w:p w14:paraId="6B4C771E" w14:textId="77777777" w:rsidR="00E13193" w:rsidRPr="00E13193" w:rsidRDefault="00E13193" w:rsidP="00E13193">
      <w:pPr>
        <w:rPr>
          <w:rFonts w:ascii="Times New Roman" w:hAnsi="Times New Roman" w:cs="Times New Roman"/>
          <w:sz w:val="24"/>
          <w:szCs w:val="24"/>
        </w:rPr>
      </w:pPr>
      <w:r w:rsidRPr="00E13193">
        <w:rPr>
          <w:rFonts w:ascii="Times New Roman" w:hAnsi="Times New Roman" w:cs="Times New Roman"/>
          <w:sz w:val="24"/>
          <w:szCs w:val="24"/>
        </w:rPr>
        <w:t xml:space="preserve">According to current statistics, three million people over the age of 65 are treated in hospitals annually for injuries associated with or directly caused by falls.  Of those 800,000 of those are hospitalised due to fractured hips and 95% of hip fractures in older people are caused by falls, (Centres for Disease Control and Prevention, 2024). </w:t>
      </w:r>
    </w:p>
    <w:p w14:paraId="6F829C81" w14:textId="77777777" w:rsidR="00E13193" w:rsidRPr="00E13193" w:rsidRDefault="00E13193" w:rsidP="00E13193">
      <w:pPr>
        <w:rPr>
          <w:rFonts w:ascii="Times New Roman" w:hAnsi="Times New Roman" w:cs="Times New Roman"/>
          <w:sz w:val="24"/>
          <w:szCs w:val="24"/>
        </w:rPr>
      </w:pPr>
      <w:r w:rsidRPr="00E13193">
        <w:rPr>
          <w:rFonts w:ascii="Times New Roman" w:hAnsi="Times New Roman" w:cs="Times New Roman"/>
          <w:sz w:val="24"/>
          <w:szCs w:val="24"/>
        </w:rPr>
        <w:t xml:space="preserve">Falls in older people can have a significant impact on their social and mental well-being as their injuries from falls may become more socially isolated and withdrawn from their family, friends and community leading them to experience depression, anxiety and loneliness, (Public Health England, 2024).  Additionally, the fear of falling may cause older people to become physically inactive, which can further exacerbate their social isolation as well as lead to a decline in physical function and mobility which ironically makes them more susceptible to falling over and injuring themselves, (Nyqvist, et al. 2023; Beam and Kim, 2020).  Being physically active can help older adults maintain their strength, balance, and flexibility, reducing their risk of falls, reduce the risk of mental health issues, joint pain, and risk of developing cancers and cardiovascular diseases, (Action for Elders, 2024). </w:t>
      </w:r>
    </w:p>
    <w:p w14:paraId="00BAF348" w14:textId="77777777" w:rsidR="00E13193" w:rsidRPr="00E13193" w:rsidRDefault="00E13193" w:rsidP="00E13193">
      <w:pPr>
        <w:rPr>
          <w:rFonts w:ascii="Times New Roman" w:hAnsi="Times New Roman" w:cs="Times New Roman"/>
          <w:sz w:val="24"/>
          <w:szCs w:val="24"/>
        </w:rPr>
      </w:pPr>
      <w:r w:rsidRPr="00E13193">
        <w:rPr>
          <w:rFonts w:ascii="Times New Roman" w:hAnsi="Times New Roman" w:cs="Times New Roman"/>
          <w:sz w:val="24"/>
          <w:szCs w:val="24"/>
        </w:rPr>
        <w:t xml:space="preserve">When older people fall, their physical health can be significantly impacted. Falls can result in injuries such as fractures, head traumas, and even death. In addition, falls can lead to a loss of mobility and independence, as well as an increased risk of future falls.  The recovery process can also be longer and more difficult for older adults who experience falls, (Centres for Disease Control and Prevention, 2024). </w:t>
      </w:r>
    </w:p>
    <w:p w14:paraId="1F13D2B9" w14:textId="77777777" w:rsidR="00E13193" w:rsidRPr="00E13193" w:rsidRDefault="00E13193" w:rsidP="00E13193">
      <w:pPr>
        <w:rPr>
          <w:rFonts w:ascii="Times New Roman" w:hAnsi="Times New Roman" w:cs="Times New Roman"/>
          <w:sz w:val="24"/>
          <w:szCs w:val="24"/>
        </w:rPr>
      </w:pPr>
      <w:r w:rsidRPr="00E13193">
        <w:rPr>
          <w:rFonts w:ascii="Times New Roman" w:hAnsi="Times New Roman" w:cs="Times New Roman"/>
          <w:sz w:val="24"/>
          <w:szCs w:val="24"/>
        </w:rPr>
        <w:t xml:space="preserve">As people age, their physical health deteriorates and is significantly impacted, therefore NHS (2024) has recommended several fall prevention techniques to minimise the probability of falls in older adults. Firstly, maintaining a regular routine of exercise and keeping a healthy nutritious diet, as maintaining a healthy weight and regular exercise enables older adults to conserve the same quality of life for longer than they normally would.  Secondly, once an older adult reaches a certain ages, they become at a higher risk of developing worrisome health conditions that can affect their quality of life, and therefore they should prioritise regular medical examinations with their GP, to keep track of all health problems and to quickly address any issues that may arise, (NHS, 2024; National Institute on Ageing, 2024: Wilson, Kuh, and Stafford, 2019) ). Thirdly, if older adults struggle with mobility around </w:t>
      </w:r>
      <w:r w:rsidRPr="00E13193">
        <w:rPr>
          <w:rFonts w:ascii="Times New Roman" w:hAnsi="Times New Roman" w:cs="Times New Roman"/>
          <w:sz w:val="24"/>
          <w:szCs w:val="24"/>
        </w:rPr>
        <w:lastRenderedPageBreak/>
        <w:t>their home, simple modifications such as installing handlebars in bathrooms, or handrails on stairs, and removing hazards can enable older adults to live independently and safely in an environment they are comfortable in, (Fotteler et al., (2022: Carnemolla and Bridge, 2019).  And lastly, since older adults are more fragile and more easily injured, there are services provided by local councils that offer risk assessment that identify any hazards within the home that pose a potential safety hazard and eliminate them to reduce the risk of falls and injury (Strini, Schiavolin, and Prendin, 2021).</w:t>
      </w:r>
    </w:p>
    <w:p w14:paraId="6377C35E" w14:textId="5687B436" w:rsidR="00E13193" w:rsidRDefault="00E13193" w:rsidP="00E13193">
      <w:pPr>
        <w:rPr>
          <w:rFonts w:ascii="Times New Roman" w:hAnsi="Times New Roman" w:cs="Times New Roman"/>
          <w:sz w:val="24"/>
          <w:szCs w:val="24"/>
        </w:rPr>
      </w:pPr>
      <w:r w:rsidRPr="00E13193">
        <w:rPr>
          <w:rFonts w:ascii="Times New Roman" w:hAnsi="Times New Roman" w:cs="Times New Roman"/>
          <w:sz w:val="24"/>
          <w:szCs w:val="24"/>
        </w:rPr>
        <w:t>Enabling older people to retain their independence, freedom, and choice is crucial for their well-being. When older adults are allowed to make decisions about their lives, it can help them maintain a sense of control and dignity, consequently having a positive impact on their mental health and social well-being, (Motamed-Jahromi and Kaveh, 2020).</w:t>
      </w:r>
    </w:p>
    <w:p w14:paraId="7A78C511" w14:textId="77777777" w:rsidR="00E13193" w:rsidRDefault="00E13193" w:rsidP="00E13193">
      <w:pPr>
        <w:rPr>
          <w:rFonts w:ascii="Times New Roman" w:hAnsi="Times New Roman" w:cs="Times New Roman"/>
          <w:sz w:val="24"/>
          <w:szCs w:val="24"/>
        </w:rPr>
      </w:pPr>
    </w:p>
    <w:p w14:paraId="0BAA658A" w14:textId="71006BE0" w:rsidR="00E13193" w:rsidRPr="00E13193" w:rsidRDefault="00E13193" w:rsidP="00E13193">
      <w:pPr>
        <w:rPr>
          <w:rFonts w:ascii="Times New Roman" w:hAnsi="Times New Roman" w:cs="Times New Roman"/>
          <w:b/>
          <w:bCs/>
          <w:sz w:val="24"/>
          <w:szCs w:val="24"/>
        </w:rPr>
      </w:pPr>
      <w:r w:rsidRPr="00E13193">
        <w:rPr>
          <w:rFonts w:ascii="Times New Roman" w:hAnsi="Times New Roman" w:cs="Times New Roman"/>
          <w:b/>
          <w:bCs/>
          <w:sz w:val="24"/>
          <w:szCs w:val="24"/>
        </w:rPr>
        <w:t>References</w:t>
      </w:r>
    </w:p>
    <w:p w14:paraId="3995BE7B" w14:textId="048EE0FE" w:rsidR="00E13193" w:rsidRDefault="00E13193" w:rsidP="006F6D37">
      <w:pPr>
        <w:rPr>
          <w:rFonts w:ascii="Times New Roman" w:hAnsi="Times New Roman" w:cs="Times New Roman"/>
          <w:sz w:val="24"/>
          <w:szCs w:val="24"/>
        </w:rPr>
      </w:pPr>
      <w:r>
        <w:rPr>
          <w:rFonts w:ascii="Times New Roman" w:hAnsi="Times New Roman" w:cs="Times New Roman"/>
          <w:sz w:val="24"/>
          <w:szCs w:val="24"/>
        </w:rPr>
        <w:t>Action for Elders (2024</w:t>
      </w:r>
      <w:r w:rsidRPr="00495C8E">
        <w:rPr>
          <w:rFonts w:ascii="Times New Roman" w:hAnsi="Times New Roman" w:cs="Times New Roman"/>
          <w:i/>
          <w:iCs/>
          <w:sz w:val="24"/>
          <w:szCs w:val="24"/>
        </w:rPr>
        <w:t xml:space="preserve">) The Benefits of </w:t>
      </w:r>
      <w:r>
        <w:rPr>
          <w:rFonts w:ascii="Times New Roman" w:hAnsi="Times New Roman" w:cs="Times New Roman"/>
          <w:i/>
          <w:iCs/>
          <w:sz w:val="24"/>
          <w:szCs w:val="24"/>
        </w:rPr>
        <w:t>Physical Activity</w:t>
      </w:r>
      <w:r w:rsidRPr="00495C8E">
        <w:rPr>
          <w:rFonts w:ascii="Times New Roman" w:hAnsi="Times New Roman" w:cs="Times New Roman"/>
          <w:i/>
          <w:iCs/>
          <w:sz w:val="24"/>
          <w:szCs w:val="24"/>
        </w:rPr>
        <w:t xml:space="preserve"> of any </w:t>
      </w:r>
      <w:r>
        <w:rPr>
          <w:rFonts w:ascii="Times New Roman" w:hAnsi="Times New Roman" w:cs="Times New Roman"/>
          <w:i/>
          <w:iCs/>
          <w:sz w:val="24"/>
          <w:szCs w:val="24"/>
        </w:rPr>
        <w:t>Age</w:t>
      </w:r>
      <w:r w:rsidRPr="00495C8E">
        <w:rPr>
          <w:rFonts w:ascii="Times New Roman" w:hAnsi="Times New Roman" w:cs="Times New Roman"/>
          <w:i/>
          <w:iCs/>
          <w:sz w:val="24"/>
          <w:szCs w:val="24"/>
        </w:rPr>
        <w:t>: Physical activity is good for you</w:t>
      </w:r>
      <w:r>
        <w:rPr>
          <w:rFonts w:ascii="Times New Roman" w:hAnsi="Times New Roman" w:cs="Times New Roman"/>
          <w:sz w:val="24"/>
          <w:szCs w:val="24"/>
        </w:rPr>
        <w:t xml:space="preserve">. Available at: </w:t>
      </w:r>
      <w:hyperlink r:id="rId6" w:history="1">
        <w:r w:rsidRPr="00B07949">
          <w:rPr>
            <w:rStyle w:val="Hyperlink"/>
            <w:rFonts w:ascii="Times New Roman" w:hAnsi="Times New Roman" w:cs="Times New Roman"/>
            <w:sz w:val="24"/>
            <w:szCs w:val="24"/>
          </w:rPr>
          <w:t>https://www.actionforelders.org.uk/the-benefits-of-physical-activity/?gad_source=1&amp;gclid=EAIaIQobChMInsyc09rchAMVWpNQBh20vwWhEAAYASAAEgJhIfD_BwE</w:t>
        </w:r>
      </w:hyperlink>
      <w:r>
        <w:rPr>
          <w:rFonts w:ascii="Times New Roman" w:hAnsi="Times New Roman" w:cs="Times New Roman"/>
          <w:sz w:val="24"/>
          <w:szCs w:val="24"/>
        </w:rPr>
        <w:t xml:space="preserve"> (Accessed: 1</w:t>
      </w:r>
      <w:r w:rsidRPr="00495C8E">
        <w:rPr>
          <w:rFonts w:ascii="Times New Roman" w:hAnsi="Times New Roman" w:cs="Times New Roman"/>
          <w:sz w:val="24"/>
          <w:szCs w:val="24"/>
          <w:vertAlign w:val="superscript"/>
        </w:rPr>
        <w:t>st</w:t>
      </w:r>
      <w:r>
        <w:rPr>
          <w:rFonts w:ascii="Times New Roman" w:hAnsi="Times New Roman" w:cs="Times New Roman"/>
          <w:sz w:val="24"/>
          <w:szCs w:val="24"/>
        </w:rPr>
        <w:t xml:space="preserve"> March 2024). </w:t>
      </w:r>
    </w:p>
    <w:p w14:paraId="40B93832" w14:textId="77777777" w:rsidR="00E13193" w:rsidRPr="00495C8E" w:rsidRDefault="00E13193" w:rsidP="006F6D37">
      <w:pPr>
        <w:rPr>
          <w:rFonts w:ascii="Times New Roman" w:hAnsi="Times New Roman" w:cs="Times New Roman"/>
          <w:sz w:val="24"/>
          <w:szCs w:val="24"/>
        </w:rPr>
      </w:pPr>
      <w:r w:rsidRPr="00495C8E">
        <w:rPr>
          <w:rFonts w:ascii="Times New Roman" w:hAnsi="Times New Roman" w:cs="Times New Roman"/>
          <w:sz w:val="24"/>
          <w:szCs w:val="24"/>
        </w:rPr>
        <w:t xml:space="preserve">Beam, C.R. and Kim, A.J. (2020) “Psychological Sequelae of Social Isolation and Loneliness Might Be a Larger Problem in Young Adults Than Older Adults,” Psychological trauma, 12(S1), pp. S58–S60. Available at: </w:t>
      </w:r>
      <w:hyperlink r:id="rId7" w:history="1">
        <w:r w:rsidRPr="00495C8E">
          <w:rPr>
            <w:rStyle w:val="Hyperlink"/>
            <w:rFonts w:ascii="Times New Roman" w:hAnsi="Times New Roman" w:cs="Times New Roman"/>
            <w:sz w:val="24"/>
            <w:szCs w:val="24"/>
          </w:rPr>
          <w:t>https://doi.org/10.1037/tra0000774</w:t>
        </w:r>
      </w:hyperlink>
      <w:r w:rsidRPr="00495C8E">
        <w:rPr>
          <w:rFonts w:ascii="Times New Roman" w:hAnsi="Times New Roman" w:cs="Times New Roman"/>
          <w:sz w:val="24"/>
          <w:szCs w:val="24"/>
        </w:rPr>
        <w:t xml:space="preserve">. </w:t>
      </w:r>
    </w:p>
    <w:p w14:paraId="1CADA2E5" w14:textId="77777777" w:rsidR="00E13193" w:rsidRDefault="00E13193" w:rsidP="006F6D37">
      <w:pPr>
        <w:rPr>
          <w:rFonts w:ascii="Times New Roman" w:hAnsi="Times New Roman" w:cs="Times New Roman"/>
          <w:sz w:val="24"/>
          <w:szCs w:val="24"/>
        </w:rPr>
      </w:pPr>
      <w:r w:rsidRPr="00495C8E">
        <w:rPr>
          <w:rFonts w:ascii="Times New Roman" w:hAnsi="Times New Roman" w:cs="Times New Roman"/>
          <w:sz w:val="24"/>
          <w:szCs w:val="24"/>
        </w:rPr>
        <w:t xml:space="preserve">Centres for Disease Control and Prevention (2024) </w:t>
      </w:r>
      <w:r w:rsidRPr="00EC614F">
        <w:rPr>
          <w:rFonts w:ascii="Times New Roman" w:hAnsi="Times New Roman" w:cs="Times New Roman"/>
          <w:i/>
          <w:iCs/>
          <w:sz w:val="24"/>
          <w:szCs w:val="24"/>
        </w:rPr>
        <w:t>Older Adult Fall Prevention</w:t>
      </w:r>
      <w:r w:rsidRPr="00495C8E">
        <w:rPr>
          <w:rFonts w:ascii="Times New Roman" w:hAnsi="Times New Roman" w:cs="Times New Roman"/>
          <w:sz w:val="24"/>
          <w:szCs w:val="24"/>
        </w:rPr>
        <w:t xml:space="preserve">. Available at: </w:t>
      </w:r>
      <w:hyperlink r:id="rId8" w:history="1">
        <w:r w:rsidRPr="00495C8E">
          <w:rPr>
            <w:rStyle w:val="Hyperlink"/>
            <w:rFonts w:ascii="Times New Roman" w:hAnsi="Times New Roman" w:cs="Times New Roman"/>
            <w:sz w:val="24"/>
            <w:szCs w:val="24"/>
          </w:rPr>
          <w:t>https://www.cdc.gov/falls/facts.html</w:t>
        </w:r>
      </w:hyperlink>
      <w:r w:rsidRPr="00495C8E">
        <w:rPr>
          <w:rFonts w:ascii="Times New Roman" w:hAnsi="Times New Roman" w:cs="Times New Roman"/>
          <w:sz w:val="24"/>
          <w:szCs w:val="24"/>
        </w:rPr>
        <w:t xml:space="preserve"> (Accessed: 28</w:t>
      </w:r>
      <w:r w:rsidRPr="00495C8E">
        <w:rPr>
          <w:rFonts w:ascii="Times New Roman" w:hAnsi="Times New Roman" w:cs="Times New Roman"/>
          <w:sz w:val="24"/>
          <w:szCs w:val="24"/>
          <w:vertAlign w:val="superscript"/>
        </w:rPr>
        <w:t>th</w:t>
      </w:r>
      <w:r w:rsidRPr="00495C8E">
        <w:rPr>
          <w:rFonts w:ascii="Times New Roman" w:hAnsi="Times New Roman" w:cs="Times New Roman"/>
          <w:sz w:val="24"/>
          <w:szCs w:val="24"/>
        </w:rPr>
        <w:t xml:space="preserve"> February 2024). </w:t>
      </w:r>
    </w:p>
    <w:p w14:paraId="4C4EDEAB" w14:textId="77777777" w:rsidR="00E13193" w:rsidRDefault="00E13193" w:rsidP="006F6D37">
      <w:pPr>
        <w:rPr>
          <w:rFonts w:ascii="Times New Roman" w:hAnsi="Times New Roman" w:cs="Times New Roman"/>
          <w:sz w:val="24"/>
          <w:szCs w:val="24"/>
        </w:rPr>
      </w:pPr>
      <w:r w:rsidRPr="009F1305">
        <w:rPr>
          <w:rFonts w:ascii="Times New Roman" w:hAnsi="Times New Roman" w:cs="Times New Roman"/>
          <w:sz w:val="24"/>
          <w:szCs w:val="24"/>
        </w:rPr>
        <w:t>Fotteler, M.L</w:t>
      </w:r>
      <w:r>
        <w:rPr>
          <w:rFonts w:ascii="Times New Roman" w:hAnsi="Times New Roman" w:cs="Times New Roman"/>
          <w:sz w:val="24"/>
          <w:szCs w:val="24"/>
        </w:rPr>
        <w:t>., Muhlbauer, V., Brefka, S., Mayer, S., Kohn, B., Holl, F., Swoboda, W., Gaugisch, P., Risch, B., Denkinger, M., and Dellmeier, D.</w:t>
      </w:r>
      <w:r w:rsidRPr="009F1305">
        <w:rPr>
          <w:rFonts w:ascii="Times New Roman" w:hAnsi="Times New Roman" w:cs="Times New Roman"/>
          <w:sz w:val="24"/>
          <w:szCs w:val="24"/>
        </w:rPr>
        <w:t xml:space="preserve"> (2022) “The Effectiveness of Assistive Technologies for Older Adults and the Influence of Frailty: Systematic Literature Review of Randomized Controlled Trials,” </w:t>
      </w:r>
      <w:r w:rsidRPr="009F1305">
        <w:rPr>
          <w:rFonts w:ascii="Times New Roman" w:hAnsi="Times New Roman" w:cs="Times New Roman"/>
          <w:i/>
          <w:iCs/>
          <w:sz w:val="24"/>
          <w:szCs w:val="24"/>
        </w:rPr>
        <w:t>JMIR ageing</w:t>
      </w:r>
      <w:r w:rsidRPr="009F1305">
        <w:rPr>
          <w:rFonts w:ascii="Times New Roman" w:hAnsi="Times New Roman" w:cs="Times New Roman"/>
          <w:sz w:val="24"/>
          <w:szCs w:val="24"/>
        </w:rPr>
        <w:t xml:space="preserve">, 5(2), pp. e31916–e31916. Available at: </w:t>
      </w:r>
      <w:hyperlink r:id="rId9" w:history="1">
        <w:r w:rsidRPr="00AE123B">
          <w:rPr>
            <w:rStyle w:val="Hyperlink"/>
            <w:rFonts w:ascii="Times New Roman" w:hAnsi="Times New Roman" w:cs="Times New Roman"/>
            <w:sz w:val="24"/>
            <w:szCs w:val="24"/>
          </w:rPr>
          <w:t>https://doi.org/10.2196/31916</w:t>
        </w:r>
      </w:hyperlink>
      <w:r w:rsidRPr="009F1305">
        <w:rPr>
          <w:rFonts w:ascii="Times New Roman" w:hAnsi="Times New Roman" w:cs="Times New Roman"/>
          <w:sz w:val="24"/>
          <w:szCs w:val="24"/>
        </w:rPr>
        <w:t>.</w:t>
      </w:r>
      <w:r>
        <w:rPr>
          <w:rFonts w:ascii="Times New Roman" w:hAnsi="Times New Roman" w:cs="Times New Roman"/>
          <w:sz w:val="24"/>
          <w:szCs w:val="24"/>
        </w:rPr>
        <w:t xml:space="preserve"> </w:t>
      </w:r>
    </w:p>
    <w:p w14:paraId="08C117CC" w14:textId="77777777" w:rsidR="00E13193" w:rsidRDefault="00E13193" w:rsidP="006F6D37">
      <w:pPr>
        <w:rPr>
          <w:rFonts w:ascii="Times New Roman" w:hAnsi="Times New Roman" w:cs="Times New Roman"/>
          <w:sz w:val="24"/>
          <w:szCs w:val="24"/>
        </w:rPr>
      </w:pPr>
      <w:r w:rsidRPr="00624B66">
        <w:rPr>
          <w:rFonts w:ascii="Times New Roman" w:hAnsi="Times New Roman" w:cs="Times New Roman"/>
          <w:sz w:val="24"/>
          <w:szCs w:val="24"/>
        </w:rPr>
        <w:t xml:space="preserve">Mohadeseh Motamed-Jahromi and Mohammad Hossein Kaveh (2021) “Effective Interventions on Improving Elderly’s Independence in Activity of Daily Living: A Systematic Review and Logic Model,” </w:t>
      </w:r>
      <w:r w:rsidRPr="00624B66">
        <w:rPr>
          <w:rFonts w:ascii="Times New Roman" w:hAnsi="Times New Roman" w:cs="Times New Roman"/>
          <w:i/>
          <w:iCs/>
          <w:sz w:val="24"/>
          <w:szCs w:val="24"/>
        </w:rPr>
        <w:t>Frontiers in Public Health</w:t>
      </w:r>
      <w:r w:rsidRPr="00624B66">
        <w:rPr>
          <w:rFonts w:ascii="Times New Roman" w:hAnsi="Times New Roman" w:cs="Times New Roman"/>
          <w:sz w:val="24"/>
          <w:szCs w:val="24"/>
        </w:rPr>
        <w:t xml:space="preserve">, 8. Available at: </w:t>
      </w:r>
      <w:hyperlink r:id="rId10" w:history="1">
        <w:r w:rsidRPr="00B07949">
          <w:rPr>
            <w:rStyle w:val="Hyperlink"/>
            <w:rFonts w:ascii="Times New Roman" w:hAnsi="Times New Roman" w:cs="Times New Roman"/>
            <w:sz w:val="24"/>
            <w:szCs w:val="24"/>
          </w:rPr>
          <w:t>https://doi.org/10.3389/fpubh.2020.516151</w:t>
        </w:r>
      </w:hyperlink>
      <w:r w:rsidRPr="00624B66">
        <w:rPr>
          <w:rFonts w:ascii="Times New Roman" w:hAnsi="Times New Roman" w:cs="Times New Roman"/>
          <w:sz w:val="24"/>
          <w:szCs w:val="24"/>
        </w:rPr>
        <w:t>.</w:t>
      </w:r>
      <w:r>
        <w:rPr>
          <w:rFonts w:ascii="Times New Roman" w:hAnsi="Times New Roman" w:cs="Times New Roman"/>
          <w:sz w:val="24"/>
          <w:szCs w:val="24"/>
        </w:rPr>
        <w:t xml:space="preserve"> </w:t>
      </w:r>
    </w:p>
    <w:p w14:paraId="72BAA022" w14:textId="77777777" w:rsidR="00E13193" w:rsidRPr="00495C8E" w:rsidRDefault="00E13193" w:rsidP="006F6D37">
      <w:pPr>
        <w:rPr>
          <w:rFonts w:ascii="Times New Roman" w:hAnsi="Times New Roman" w:cs="Times New Roman"/>
          <w:sz w:val="24"/>
          <w:szCs w:val="24"/>
        </w:rPr>
      </w:pPr>
      <w:r>
        <w:rPr>
          <w:rFonts w:ascii="Times New Roman" w:hAnsi="Times New Roman" w:cs="Times New Roman"/>
          <w:sz w:val="24"/>
          <w:szCs w:val="24"/>
        </w:rPr>
        <w:t xml:space="preserve">National Institute on Ageing (2024) </w:t>
      </w:r>
      <w:r w:rsidRPr="00EC614F">
        <w:rPr>
          <w:rFonts w:ascii="Times New Roman" w:hAnsi="Times New Roman" w:cs="Times New Roman"/>
          <w:i/>
          <w:iCs/>
          <w:sz w:val="24"/>
          <w:szCs w:val="24"/>
        </w:rPr>
        <w:t>Maintaining a Healthy Weight</w:t>
      </w:r>
      <w:r>
        <w:rPr>
          <w:rFonts w:ascii="Times New Roman" w:hAnsi="Times New Roman" w:cs="Times New Roman"/>
          <w:sz w:val="24"/>
          <w:szCs w:val="24"/>
        </w:rPr>
        <w:t xml:space="preserve">. Available at: </w:t>
      </w:r>
      <w:hyperlink r:id="rId11" w:history="1">
        <w:r w:rsidRPr="00B07949">
          <w:rPr>
            <w:rStyle w:val="Hyperlink"/>
            <w:rFonts w:ascii="Times New Roman" w:hAnsi="Times New Roman" w:cs="Times New Roman"/>
            <w:sz w:val="24"/>
            <w:szCs w:val="24"/>
          </w:rPr>
          <w:t>https://www.nia.nih.gov/health/healthy-eating-nutrition-and-diet/maintaining-healthy-weight</w:t>
        </w:r>
      </w:hyperlink>
      <w:r>
        <w:rPr>
          <w:rFonts w:ascii="Times New Roman" w:hAnsi="Times New Roman" w:cs="Times New Roman"/>
          <w:sz w:val="24"/>
          <w:szCs w:val="24"/>
        </w:rPr>
        <w:t xml:space="preserve"> (Accessed: 1</w:t>
      </w:r>
      <w:r w:rsidRPr="00EC614F">
        <w:rPr>
          <w:rFonts w:ascii="Times New Roman" w:hAnsi="Times New Roman" w:cs="Times New Roman"/>
          <w:sz w:val="24"/>
          <w:szCs w:val="24"/>
          <w:vertAlign w:val="superscript"/>
        </w:rPr>
        <w:t>st</w:t>
      </w:r>
      <w:r>
        <w:rPr>
          <w:rFonts w:ascii="Times New Roman" w:hAnsi="Times New Roman" w:cs="Times New Roman"/>
          <w:sz w:val="24"/>
          <w:szCs w:val="24"/>
        </w:rPr>
        <w:t xml:space="preserve"> March 2024). </w:t>
      </w:r>
    </w:p>
    <w:p w14:paraId="7C9E2CF0" w14:textId="77777777" w:rsidR="00E13193" w:rsidRPr="00495C8E" w:rsidRDefault="00E13193" w:rsidP="006F6D37">
      <w:pPr>
        <w:rPr>
          <w:rFonts w:ascii="Times New Roman" w:hAnsi="Times New Roman" w:cs="Times New Roman"/>
          <w:sz w:val="24"/>
          <w:szCs w:val="24"/>
        </w:rPr>
      </w:pPr>
      <w:r w:rsidRPr="00495C8E">
        <w:rPr>
          <w:rFonts w:ascii="Times New Roman" w:hAnsi="Times New Roman" w:cs="Times New Roman"/>
          <w:sz w:val="24"/>
          <w:szCs w:val="24"/>
        </w:rPr>
        <w:t xml:space="preserve">Nyqvist, F., Nasman, M., Hemberg, J., and Nygard, M. (2023) “Risk factors for loneliness among older people in a Nordic regional context – a longitudinal study,” </w:t>
      </w:r>
      <w:r w:rsidRPr="00495C8E">
        <w:rPr>
          <w:rFonts w:ascii="Times New Roman" w:hAnsi="Times New Roman" w:cs="Times New Roman"/>
          <w:i/>
          <w:iCs/>
          <w:sz w:val="24"/>
          <w:szCs w:val="24"/>
        </w:rPr>
        <w:t>Ageing and Society</w:t>
      </w:r>
      <w:r w:rsidRPr="00495C8E">
        <w:rPr>
          <w:rFonts w:ascii="Times New Roman" w:hAnsi="Times New Roman" w:cs="Times New Roman"/>
          <w:sz w:val="24"/>
          <w:szCs w:val="24"/>
        </w:rPr>
        <w:t xml:space="preserve">, 43(10), pp. 2372–2393. Available at: </w:t>
      </w:r>
      <w:hyperlink r:id="rId12" w:history="1">
        <w:r w:rsidRPr="00495C8E">
          <w:rPr>
            <w:rStyle w:val="Hyperlink"/>
            <w:rFonts w:ascii="Times New Roman" w:hAnsi="Times New Roman" w:cs="Times New Roman"/>
            <w:sz w:val="24"/>
            <w:szCs w:val="24"/>
          </w:rPr>
          <w:t>https://doi.org/10.1017/S0144686X21001707</w:t>
        </w:r>
      </w:hyperlink>
      <w:r w:rsidRPr="00495C8E">
        <w:rPr>
          <w:rFonts w:ascii="Times New Roman" w:hAnsi="Times New Roman" w:cs="Times New Roman"/>
          <w:sz w:val="24"/>
          <w:szCs w:val="24"/>
        </w:rPr>
        <w:t xml:space="preserve">. </w:t>
      </w:r>
    </w:p>
    <w:p w14:paraId="5B2EE54D" w14:textId="77777777" w:rsidR="00E13193" w:rsidRPr="00495C8E" w:rsidRDefault="00E13193" w:rsidP="006F6D37">
      <w:pPr>
        <w:rPr>
          <w:rFonts w:ascii="Times New Roman" w:hAnsi="Times New Roman" w:cs="Times New Roman"/>
          <w:sz w:val="24"/>
          <w:szCs w:val="24"/>
        </w:rPr>
      </w:pPr>
      <w:r w:rsidRPr="00495C8E">
        <w:rPr>
          <w:rFonts w:ascii="Times New Roman" w:hAnsi="Times New Roman" w:cs="Times New Roman"/>
          <w:sz w:val="24"/>
          <w:szCs w:val="24"/>
        </w:rPr>
        <w:t xml:space="preserve">Older People’s Commissioners for Wales (2022) Understand Wales’s ageing population: key statistics. Available at: </w:t>
      </w:r>
      <w:hyperlink r:id="rId13" w:history="1">
        <w:r w:rsidRPr="00495C8E">
          <w:rPr>
            <w:rStyle w:val="Hyperlink"/>
            <w:rFonts w:ascii="Times New Roman" w:hAnsi="Times New Roman" w:cs="Times New Roman"/>
            <w:sz w:val="24"/>
            <w:szCs w:val="24"/>
          </w:rPr>
          <w:t>https://olderpeople.wales/wp-content/uploads/2023/01/221222-Understanding-Wales-ageing-population-24-November.pdf</w:t>
        </w:r>
      </w:hyperlink>
      <w:r w:rsidRPr="00495C8E">
        <w:rPr>
          <w:rFonts w:ascii="Times New Roman" w:hAnsi="Times New Roman" w:cs="Times New Roman"/>
          <w:sz w:val="24"/>
          <w:szCs w:val="24"/>
        </w:rPr>
        <w:t xml:space="preserve"> (Accessed: 28</w:t>
      </w:r>
      <w:r w:rsidRPr="00495C8E">
        <w:rPr>
          <w:rFonts w:ascii="Times New Roman" w:hAnsi="Times New Roman" w:cs="Times New Roman"/>
          <w:sz w:val="24"/>
          <w:szCs w:val="24"/>
          <w:vertAlign w:val="superscript"/>
        </w:rPr>
        <w:t>th</w:t>
      </w:r>
      <w:r w:rsidRPr="00495C8E">
        <w:rPr>
          <w:rFonts w:ascii="Times New Roman" w:hAnsi="Times New Roman" w:cs="Times New Roman"/>
          <w:sz w:val="24"/>
          <w:szCs w:val="24"/>
        </w:rPr>
        <w:t xml:space="preserve"> February 2024). </w:t>
      </w:r>
    </w:p>
    <w:p w14:paraId="311FAD64" w14:textId="77777777" w:rsidR="00E13193" w:rsidRPr="00495C8E" w:rsidRDefault="00E13193" w:rsidP="006F6D37">
      <w:pPr>
        <w:rPr>
          <w:rFonts w:ascii="Times New Roman" w:hAnsi="Times New Roman" w:cs="Times New Roman"/>
          <w:sz w:val="24"/>
          <w:szCs w:val="24"/>
        </w:rPr>
      </w:pPr>
      <w:r w:rsidRPr="00495C8E">
        <w:rPr>
          <w:rFonts w:ascii="Times New Roman" w:hAnsi="Times New Roman" w:cs="Times New Roman"/>
          <w:sz w:val="24"/>
          <w:szCs w:val="24"/>
        </w:rPr>
        <w:t xml:space="preserve">Palsgaard, P., Maino-Vieytes, C.A., Peterson, N., Francis, S.L., Monroe-Lord, L., Sahyoun, N.R., Ventura-Marra, M., Weidauer, L., Xu, F., and Arthur, A.E. (2022) “Healthcare Professionals’ Views and Perspectives towards Aging,” </w:t>
      </w:r>
      <w:r w:rsidRPr="00495C8E">
        <w:rPr>
          <w:rFonts w:ascii="Times New Roman" w:hAnsi="Times New Roman" w:cs="Times New Roman"/>
          <w:i/>
          <w:iCs/>
          <w:sz w:val="24"/>
          <w:szCs w:val="24"/>
        </w:rPr>
        <w:t>International Journal of Environmental Research and Public Health</w:t>
      </w:r>
      <w:r w:rsidRPr="00495C8E">
        <w:rPr>
          <w:rFonts w:ascii="Times New Roman" w:hAnsi="Times New Roman" w:cs="Times New Roman"/>
          <w:sz w:val="24"/>
          <w:szCs w:val="24"/>
        </w:rPr>
        <w:t xml:space="preserve">, 19(23), pp. 15870-. Available at: </w:t>
      </w:r>
      <w:hyperlink r:id="rId14" w:history="1">
        <w:r w:rsidRPr="00495C8E">
          <w:rPr>
            <w:rStyle w:val="Hyperlink"/>
            <w:rFonts w:ascii="Times New Roman" w:hAnsi="Times New Roman" w:cs="Times New Roman"/>
            <w:sz w:val="24"/>
            <w:szCs w:val="24"/>
          </w:rPr>
          <w:t>https://doi.org/10.3390/ijerph192315870</w:t>
        </w:r>
      </w:hyperlink>
      <w:r w:rsidRPr="00495C8E">
        <w:rPr>
          <w:rFonts w:ascii="Times New Roman" w:hAnsi="Times New Roman" w:cs="Times New Roman"/>
          <w:sz w:val="24"/>
          <w:szCs w:val="24"/>
        </w:rPr>
        <w:t xml:space="preserve">. </w:t>
      </w:r>
    </w:p>
    <w:p w14:paraId="274B96D1" w14:textId="77777777" w:rsidR="00E13193" w:rsidRPr="00495C8E" w:rsidRDefault="00E13193" w:rsidP="006F6D37">
      <w:pPr>
        <w:rPr>
          <w:rFonts w:ascii="Times New Roman" w:hAnsi="Times New Roman" w:cs="Times New Roman"/>
          <w:sz w:val="24"/>
          <w:szCs w:val="24"/>
        </w:rPr>
      </w:pPr>
      <w:r w:rsidRPr="00495C8E">
        <w:rPr>
          <w:rFonts w:ascii="Times New Roman" w:hAnsi="Times New Roman" w:cs="Times New Roman"/>
          <w:sz w:val="24"/>
          <w:szCs w:val="24"/>
        </w:rPr>
        <w:t xml:space="preserve">Perez, F.P., Perez, C.A., and Chumbiauca, M.N. (2022) ‘Insights into the Social Determinants of Health in Older Adults’, </w:t>
      </w:r>
      <w:r w:rsidRPr="00495C8E">
        <w:rPr>
          <w:rFonts w:ascii="Times New Roman" w:hAnsi="Times New Roman" w:cs="Times New Roman"/>
          <w:i/>
          <w:iCs/>
          <w:sz w:val="24"/>
          <w:szCs w:val="24"/>
        </w:rPr>
        <w:t>Journal of Biomedical Science and Engineering</w:t>
      </w:r>
      <w:r w:rsidRPr="00495C8E">
        <w:rPr>
          <w:rFonts w:ascii="Times New Roman" w:hAnsi="Times New Roman" w:cs="Times New Roman"/>
          <w:sz w:val="24"/>
          <w:szCs w:val="24"/>
        </w:rPr>
        <w:t xml:space="preserve">. Vol. 15. No. 11. Pp 261-268. Doi:  </w:t>
      </w:r>
      <w:hyperlink r:id="rId15" w:history="1">
        <w:r w:rsidRPr="00495C8E">
          <w:rPr>
            <w:rStyle w:val="Hyperlink"/>
            <w:rFonts w:ascii="Times New Roman" w:hAnsi="Times New Roman" w:cs="Times New Roman"/>
            <w:sz w:val="24"/>
            <w:szCs w:val="24"/>
          </w:rPr>
          <w:t>https://doi.org/10.4236%2Fjbise.2022.1511023</w:t>
        </w:r>
      </w:hyperlink>
      <w:r w:rsidRPr="00495C8E">
        <w:rPr>
          <w:rFonts w:ascii="Times New Roman" w:hAnsi="Times New Roman" w:cs="Times New Roman"/>
          <w:sz w:val="24"/>
          <w:szCs w:val="24"/>
        </w:rPr>
        <w:t xml:space="preserve">. </w:t>
      </w:r>
    </w:p>
    <w:p w14:paraId="19E5A054" w14:textId="77777777" w:rsidR="00E13193" w:rsidRDefault="00E13193" w:rsidP="006F6D37">
      <w:pPr>
        <w:rPr>
          <w:rFonts w:ascii="Times New Roman" w:hAnsi="Times New Roman" w:cs="Times New Roman"/>
          <w:sz w:val="24"/>
          <w:szCs w:val="24"/>
        </w:rPr>
      </w:pPr>
      <w:r w:rsidRPr="00495C8E">
        <w:rPr>
          <w:rFonts w:ascii="Times New Roman" w:hAnsi="Times New Roman" w:cs="Times New Roman"/>
          <w:sz w:val="24"/>
          <w:szCs w:val="24"/>
        </w:rPr>
        <w:t xml:space="preserve">Public Health England (2024) </w:t>
      </w:r>
      <w:r w:rsidRPr="00495C8E">
        <w:rPr>
          <w:rFonts w:ascii="Times New Roman" w:hAnsi="Times New Roman" w:cs="Times New Roman"/>
          <w:i/>
          <w:iCs/>
          <w:sz w:val="24"/>
          <w:szCs w:val="24"/>
        </w:rPr>
        <w:t>Caring as a social determinant of health: Finds from a rapid review of reviews and analysis of the GP Patient Survey</w:t>
      </w:r>
      <w:r w:rsidRPr="00495C8E">
        <w:rPr>
          <w:rFonts w:ascii="Times New Roman" w:hAnsi="Times New Roman" w:cs="Times New Roman"/>
          <w:sz w:val="24"/>
          <w:szCs w:val="24"/>
        </w:rPr>
        <w:t xml:space="preserve">. Available at: </w:t>
      </w:r>
      <w:hyperlink r:id="rId16" w:history="1">
        <w:r w:rsidRPr="00495C8E">
          <w:rPr>
            <w:rStyle w:val="Hyperlink"/>
            <w:rFonts w:ascii="Times New Roman" w:hAnsi="Times New Roman" w:cs="Times New Roman"/>
            <w:sz w:val="24"/>
            <w:szCs w:val="24"/>
          </w:rPr>
          <w:t>https://assets.publishing.service.gov.uk/media/60547266d3bf7f2f14694965/Caring_as_a_social_determinant_report.pdf</w:t>
        </w:r>
      </w:hyperlink>
      <w:r w:rsidRPr="00495C8E">
        <w:rPr>
          <w:rFonts w:ascii="Times New Roman" w:hAnsi="Times New Roman" w:cs="Times New Roman"/>
          <w:sz w:val="24"/>
          <w:szCs w:val="24"/>
        </w:rPr>
        <w:t xml:space="preserve"> (Accessed: 5</w:t>
      </w:r>
      <w:r w:rsidRPr="00495C8E">
        <w:rPr>
          <w:rFonts w:ascii="Times New Roman" w:hAnsi="Times New Roman" w:cs="Times New Roman"/>
          <w:sz w:val="24"/>
          <w:szCs w:val="24"/>
          <w:vertAlign w:val="superscript"/>
        </w:rPr>
        <w:t>th</w:t>
      </w:r>
      <w:r w:rsidRPr="00495C8E">
        <w:rPr>
          <w:rFonts w:ascii="Times New Roman" w:hAnsi="Times New Roman" w:cs="Times New Roman"/>
          <w:sz w:val="24"/>
          <w:szCs w:val="24"/>
        </w:rPr>
        <w:t xml:space="preserve"> March 2024). </w:t>
      </w:r>
    </w:p>
    <w:p w14:paraId="1944662C" w14:textId="77777777" w:rsidR="00E13193" w:rsidRPr="00495C8E" w:rsidRDefault="00E13193" w:rsidP="006F6D37">
      <w:pPr>
        <w:rPr>
          <w:rFonts w:ascii="Times New Roman" w:hAnsi="Times New Roman" w:cs="Times New Roman"/>
          <w:sz w:val="24"/>
          <w:szCs w:val="24"/>
        </w:rPr>
      </w:pPr>
      <w:bookmarkStart w:id="0" w:name="_Hlk160611555"/>
      <w:r w:rsidRPr="006F6D37">
        <w:rPr>
          <w:rFonts w:ascii="Times New Roman" w:hAnsi="Times New Roman" w:cs="Times New Roman"/>
          <w:sz w:val="24"/>
          <w:szCs w:val="24"/>
        </w:rPr>
        <w:t>Strini,</w:t>
      </w:r>
      <w:r>
        <w:rPr>
          <w:rFonts w:ascii="Times New Roman" w:hAnsi="Times New Roman" w:cs="Times New Roman"/>
          <w:sz w:val="24"/>
          <w:szCs w:val="24"/>
        </w:rPr>
        <w:t xml:space="preserve"> V.,</w:t>
      </w:r>
      <w:r w:rsidRPr="006F6D37">
        <w:rPr>
          <w:rFonts w:ascii="Times New Roman" w:hAnsi="Times New Roman" w:cs="Times New Roman"/>
          <w:sz w:val="24"/>
          <w:szCs w:val="24"/>
        </w:rPr>
        <w:t xml:space="preserve"> Schiavolin</w:t>
      </w:r>
      <w:r>
        <w:rPr>
          <w:rFonts w:ascii="Times New Roman" w:hAnsi="Times New Roman" w:cs="Times New Roman"/>
          <w:sz w:val="24"/>
          <w:szCs w:val="24"/>
        </w:rPr>
        <w:t xml:space="preserve">, R., </w:t>
      </w:r>
      <w:r w:rsidRPr="006F6D37">
        <w:rPr>
          <w:rFonts w:ascii="Times New Roman" w:hAnsi="Times New Roman" w:cs="Times New Roman"/>
          <w:sz w:val="24"/>
          <w:szCs w:val="24"/>
        </w:rPr>
        <w:t>and Angela Prendin (2021)</w:t>
      </w:r>
      <w:bookmarkEnd w:id="0"/>
      <w:r w:rsidRPr="006F6D37">
        <w:rPr>
          <w:rFonts w:ascii="Times New Roman" w:hAnsi="Times New Roman" w:cs="Times New Roman"/>
          <w:sz w:val="24"/>
          <w:szCs w:val="24"/>
        </w:rPr>
        <w:t xml:space="preserve"> “Fall Risk Assessment Scales: A Systematic Literature Review,” </w:t>
      </w:r>
      <w:r w:rsidRPr="006F6D37">
        <w:rPr>
          <w:rFonts w:ascii="Times New Roman" w:hAnsi="Times New Roman" w:cs="Times New Roman"/>
          <w:i/>
          <w:iCs/>
          <w:sz w:val="24"/>
          <w:szCs w:val="24"/>
        </w:rPr>
        <w:t>Nursing reports</w:t>
      </w:r>
      <w:r w:rsidRPr="006F6D37">
        <w:rPr>
          <w:rFonts w:ascii="Times New Roman" w:hAnsi="Times New Roman" w:cs="Times New Roman"/>
          <w:sz w:val="24"/>
          <w:szCs w:val="24"/>
        </w:rPr>
        <w:t xml:space="preserve"> (Pavia, Italy), 11(2), pp. 430–443. Available at: </w:t>
      </w:r>
      <w:hyperlink r:id="rId17" w:history="1">
        <w:r w:rsidRPr="00AE123B">
          <w:rPr>
            <w:rStyle w:val="Hyperlink"/>
            <w:rFonts w:ascii="Times New Roman" w:hAnsi="Times New Roman" w:cs="Times New Roman"/>
            <w:sz w:val="24"/>
            <w:szCs w:val="24"/>
          </w:rPr>
          <w:t>https://doi.org/10.3390/nursrep11020041</w:t>
        </w:r>
      </w:hyperlink>
      <w:r w:rsidRPr="006F6D37">
        <w:rPr>
          <w:rFonts w:ascii="Times New Roman" w:hAnsi="Times New Roman" w:cs="Times New Roman"/>
          <w:sz w:val="24"/>
          <w:szCs w:val="24"/>
        </w:rPr>
        <w:t>.</w:t>
      </w:r>
      <w:r>
        <w:rPr>
          <w:rFonts w:ascii="Times New Roman" w:hAnsi="Times New Roman" w:cs="Times New Roman"/>
          <w:sz w:val="24"/>
          <w:szCs w:val="24"/>
        </w:rPr>
        <w:t xml:space="preserve"> </w:t>
      </w:r>
    </w:p>
    <w:p w14:paraId="70106D8A" w14:textId="77777777" w:rsidR="00E13193" w:rsidRPr="00495C8E" w:rsidRDefault="00E13193" w:rsidP="00980997">
      <w:pPr>
        <w:rPr>
          <w:rFonts w:ascii="Times New Roman" w:hAnsi="Times New Roman" w:cs="Times New Roman"/>
          <w:sz w:val="24"/>
          <w:szCs w:val="24"/>
        </w:rPr>
      </w:pPr>
      <w:bookmarkStart w:id="1" w:name="_Hlk160610888"/>
      <w:r w:rsidRPr="006F6D37">
        <w:rPr>
          <w:rFonts w:ascii="Times New Roman" w:hAnsi="Times New Roman" w:cs="Times New Roman"/>
          <w:sz w:val="24"/>
          <w:szCs w:val="24"/>
        </w:rPr>
        <w:t xml:space="preserve">Wilson, R., Kuh, D. and Stafford, M. (2019) </w:t>
      </w:r>
      <w:bookmarkEnd w:id="1"/>
      <w:r w:rsidRPr="006F6D37">
        <w:rPr>
          <w:rFonts w:ascii="Times New Roman" w:hAnsi="Times New Roman" w:cs="Times New Roman"/>
          <w:sz w:val="24"/>
          <w:szCs w:val="24"/>
        </w:rPr>
        <w:t xml:space="preserve">“Variations of health check attendance in later life: results from a British birth cohort study,” </w:t>
      </w:r>
      <w:r w:rsidRPr="006F6D37">
        <w:rPr>
          <w:rFonts w:ascii="Times New Roman" w:hAnsi="Times New Roman" w:cs="Times New Roman"/>
          <w:i/>
          <w:iCs/>
          <w:sz w:val="24"/>
          <w:szCs w:val="24"/>
        </w:rPr>
        <w:t>BMC Public Health</w:t>
      </w:r>
      <w:r w:rsidRPr="006F6D37">
        <w:rPr>
          <w:rFonts w:ascii="Times New Roman" w:hAnsi="Times New Roman" w:cs="Times New Roman"/>
          <w:sz w:val="24"/>
          <w:szCs w:val="24"/>
        </w:rPr>
        <w:t xml:space="preserve">, 19(1), pp. 1518–1518. Available at: </w:t>
      </w:r>
      <w:hyperlink r:id="rId18" w:history="1">
        <w:r w:rsidRPr="00AE123B">
          <w:rPr>
            <w:rStyle w:val="Hyperlink"/>
            <w:rFonts w:ascii="Times New Roman" w:hAnsi="Times New Roman" w:cs="Times New Roman"/>
            <w:sz w:val="24"/>
            <w:szCs w:val="24"/>
          </w:rPr>
          <w:t>https://doi.org/10.1186/s12889-019-7875-x</w:t>
        </w:r>
      </w:hyperlink>
      <w:r w:rsidRPr="006F6D37">
        <w:rPr>
          <w:rFonts w:ascii="Times New Roman" w:hAnsi="Times New Roman" w:cs="Times New Roman"/>
          <w:sz w:val="24"/>
          <w:szCs w:val="24"/>
        </w:rPr>
        <w:t>.</w:t>
      </w:r>
      <w:r>
        <w:rPr>
          <w:rFonts w:ascii="Times New Roman" w:hAnsi="Times New Roman" w:cs="Times New Roman"/>
          <w:sz w:val="24"/>
          <w:szCs w:val="24"/>
        </w:rPr>
        <w:t xml:space="preserve"> </w:t>
      </w:r>
      <w:bookmarkStart w:id="2" w:name="_Hlk160541333"/>
      <w:r>
        <w:rPr>
          <w:rFonts w:ascii="Times New Roman" w:hAnsi="Times New Roman" w:cs="Times New Roman"/>
          <w:sz w:val="24"/>
          <w:szCs w:val="24"/>
        </w:rPr>
        <w:t xml:space="preserve"> </w:t>
      </w:r>
      <w:bookmarkEnd w:id="2"/>
    </w:p>
    <w:sectPr w:rsidR="00E13193" w:rsidRPr="00495C8E">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7484C6" w14:textId="77777777" w:rsidR="00C41DE3" w:rsidRDefault="00C41DE3" w:rsidP="009A7E00">
      <w:pPr>
        <w:spacing w:after="0" w:line="240" w:lineRule="auto"/>
      </w:pPr>
      <w:r>
        <w:separator/>
      </w:r>
    </w:p>
  </w:endnote>
  <w:endnote w:type="continuationSeparator" w:id="0">
    <w:p w14:paraId="2BC5BB2B" w14:textId="77777777" w:rsidR="00C41DE3" w:rsidRDefault="00C41DE3" w:rsidP="009A7E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9FEA68" w14:textId="77777777" w:rsidR="00C41DE3" w:rsidRDefault="00C41DE3" w:rsidP="009A7E00">
      <w:pPr>
        <w:spacing w:after="0" w:line="240" w:lineRule="auto"/>
      </w:pPr>
      <w:r>
        <w:separator/>
      </w:r>
    </w:p>
  </w:footnote>
  <w:footnote w:type="continuationSeparator" w:id="0">
    <w:p w14:paraId="311BCB44" w14:textId="77777777" w:rsidR="00C41DE3" w:rsidRDefault="00C41DE3" w:rsidP="009A7E0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0620B9" w14:textId="49D29D27" w:rsidR="009A7E00" w:rsidRDefault="009A7E00">
    <w:pPr>
      <w:pStyle w:val="Header"/>
    </w:pPr>
    <w:r>
      <w:t>Courtney-Leigh Partridge</w:t>
    </w:r>
    <w:r>
      <w:br/>
      <w:t>2210044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1A91"/>
    <w:rsid w:val="00046F65"/>
    <w:rsid w:val="00076768"/>
    <w:rsid w:val="000E09E6"/>
    <w:rsid w:val="000E32C7"/>
    <w:rsid w:val="00127DB2"/>
    <w:rsid w:val="00182DCF"/>
    <w:rsid w:val="001D5992"/>
    <w:rsid w:val="00237CBB"/>
    <w:rsid w:val="00253E03"/>
    <w:rsid w:val="002B7B16"/>
    <w:rsid w:val="003261AB"/>
    <w:rsid w:val="003649BF"/>
    <w:rsid w:val="003C63D3"/>
    <w:rsid w:val="00495C8E"/>
    <w:rsid w:val="004A43F0"/>
    <w:rsid w:val="004F0545"/>
    <w:rsid w:val="005A3E7B"/>
    <w:rsid w:val="00624B66"/>
    <w:rsid w:val="00673A0A"/>
    <w:rsid w:val="00695BAA"/>
    <w:rsid w:val="006B660D"/>
    <w:rsid w:val="006C6806"/>
    <w:rsid w:val="006F6D37"/>
    <w:rsid w:val="008117E1"/>
    <w:rsid w:val="00895A3D"/>
    <w:rsid w:val="009672F9"/>
    <w:rsid w:val="00980997"/>
    <w:rsid w:val="009A7E00"/>
    <w:rsid w:val="009F1305"/>
    <w:rsid w:val="00A67CA1"/>
    <w:rsid w:val="00AD1A91"/>
    <w:rsid w:val="00B94A43"/>
    <w:rsid w:val="00BD1718"/>
    <w:rsid w:val="00C032E8"/>
    <w:rsid w:val="00C07C46"/>
    <w:rsid w:val="00C41DE3"/>
    <w:rsid w:val="00C84338"/>
    <w:rsid w:val="00CB4EE0"/>
    <w:rsid w:val="00D41A15"/>
    <w:rsid w:val="00DA6670"/>
    <w:rsid w:val="00E13193"/>
    <w:rsid w:val="00E2148F"/>
    <w:rsid w:val="00EC614F"/>
    <w:rsid w:val="00EE076F"/>
    <w:rsid w:val="00EF79AA"/>
    <w:rsid w:val="00FF6C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A4A995A"/>
  <w15:chartTrackingRefBased/>
  <w15:docId w15:val="{BFCCB8A6-295A-4284-9178-99F0409594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1A9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D1A9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D1A9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D1A9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D1A9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D1A9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D1A9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D1A9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D1A9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1A9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D1A9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D1A9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D1A9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D1A9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D1A9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D1A9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D1A9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D1A91"/>
    <w:rPr>
      <w:rFonts w:eastAsiaTheme="majorEastAsia" w:cstheme="majorBidi"/>
      <w:color w:val="272727" w:themeColor="text1" w:themeTint="D8"/>
    </w:rPr>
  </w:style>
  <w:style w:type="paragraph" w:styleId="Title">
    <w:name w:val="Title"/>
    <w:basedOn w:val="Normal"/>
    <w:next w:val="Normal"/>
    <w:link w:val="TitleChar"/>
    <w:uiPriority w:val="10"/>
    <w:qFormat/>
    <w:rsid w:val="00AD1A9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1A9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D1A9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D1A9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D1A91"/>
    <w:pPr>
      <w:spacing w:before="160"/>
      <w:jc w:val="center"/>
    </w:pPr>
    <w:rPr>
      <w:i/>
      <w:iCs/>
      <w:color w:val="404040" w:themeColor="text1" w:themeTint="BF"/>
    </w:rPr>
  </w:style>
  <w:style w:type="character" w:customStyle="1" w:styleId="QuoteChar">
    <w:name w:val="Quote Char"/>
    <w:basedOn w:val="DefaultParagraphFont"/>
    <w:link w:val="Quote"/>
    <w:uiPriority w:val="29"/>
    <w:rsid w:val="00AD1A91"/>
    <w:rPr>
      <w:i/>
      <w:iCs/>
      <w:color w:val="404040" w:themeColor="text1" w:themeTint="BF"/>
    </w:rPr>
  </w:style>
  <w:style w:type="paragraph" w:styleId="ListParagraph">
    <w:name w:val="List Paragraph"/>
    <w:basedOn w:val="Normal"/>
    <w:uiPriority w:val="34"/>
    <w:qFormat/>
    <w:rsid w:val="00AD1A91"/>
    <w:pPr>
      <w:ind w:left="720"/>
      <w:contextualSpacing/>
    </w:pPr>
  </w:style>
  <w:style w:type="character" w:styleId="IntenseEmphasis">
    <w:name w:val="Intense Emphasis"/>
    <w:basedOn w:val="DefaultParagraphFont"/>
    <w:uiPriority w:val="21"/>
    <w:qFormat/>
    <w:rsid w:val="00AD1A91"/>
    <w:rPr>
      <w:i/>
      <w:iCs/>
      <w:color w:val="0F4761" w:themeColor="accent1" w:themeShade="BF"/>
    </w:rPr>
  </w:style>
  <w:style w:type="paragraph" w:styleId="IntenseQuote">
    <w:name w:val="Intense Quote"/>
    <w:basedOn w:val="Normal"/>
    <w:next w:val="Normal"/>
    <w:link w:val="IntenseQuoteChar"/>
    <w:uiPriority w:val="30"/>
    <w:qFormat/>
    <w:rsid w:val="00AD1A9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D1A91"/>
    <w:rPr>
      <w:i/>
      <w:iCs/>
      <w:color w:val="0F4761" w:themeColor="accent1" w:themeShade="BF"/>
    </w:rPr>
  </w:style>
  <w:style w:type="character" w:styleId="IntenseReference">
    <w:name w:val="Intense Reference"/>
    <w:basedOn w:val="DefaultParagraphFont"/>
    <w:uiPriority w:val="32"/>
    <w:qFormat/>
    <w:rsid w:val="00AD1A91"/>
    <w:rPr>
      <w:b/>
      <w:bCs/>
      <w:smallCaps/>
      <w:color w:val="0F4761" w:themeColor="accent1" w:themeShade="BF"/>
      <w:spacing w:val="5"/>
    </w:rPr>
  </w:style>
  <w:style w:type="character" w:styleId="Hyperlink">
    <w:name w:val="Hyperlink"/>
    <w:basedOn w:val="DefaultParagraphFont"/>
    <w:uiPriority w:val="99"/>
    <w:unhideWhenUsed/>
    <w:rsid w:val="00BD1718"/>
    <w:rPr>
      <w:color w:val="467886" w:themeColor="hyperlink"/>
      <w:u w:val="single"/>
    </w:rPr>
  </w:style>
  <w:style w:type="character" w:styleId="UnresolvedMention">
    <w:name w:val="Unresolved Mention"/>
    <w:basedOn w:val="DefaultParagraphFont"/>
    <w:uiPriority w:val="99"/>
    <w:semiHidden/>
    <w:unhideWhenUsed/>
    <w:rsid w:val="00BD1718"/>
    <w:rPr>
      <w:color w:val="605E5C"/>
      <w:shd w:val="clear" w:color="auto" w:fill="E1DFDD"/>
    </w:rPr>
  </w:style>
  <w:style w:type="paragraph" w:styleId="Header">
    <w:name w:val="header"/>
    <w:basedOn w:val="Normal"/>
    <w:link w:val="HeaderChar"/>
    <w:uiPriority w:val="99"/>
    <w:unhideWhenUsed/>
    <w:rsid w:val="009A7E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7E00"/>
  </w:style>
  <w:style w:type="paragraph" w:styleId="Footer">
    <w:name w:val="footer"/>
    <w:basedOn w:val="Normal"/>
    <w:link w:val="FooterChar"/>
    <w:uiPriority w:val="99"/>
    <w:unhideWhenUsed/>
    <w:rsid w:val="009A7E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7E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dc.gov/falls/facts.html" TargetMode="External"/><Relationship Id="rId13" Type="http://schemas.openxmlformats.org/officeDocument/2006/relationships/hyperlink" Target="https://olderpeople.wales/wp-content/uploads/2023/01/221222-Understanding-Wales-ageing-population-24-November.pdf" TargetMode="External"/><Relationship Id="rId18" Type="http://schemas.openxmlformats.org/officeDocument/2006/relationships/hyperlink" Target="https://doi.org/10.1186/s12889-019-7875-x"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doi.org/10.1037/tra0000774" TargetMode="External"/><Relationship Id="rId12" Type="http://schemas.openxmlformats.org/officeDocument/2006/relationships/hyperlink" Target="https://doi.org/10.1017/S0144686X21001707" TargetMode="External"/><Relationship Id="rId17" Type="http://schemas.openxmlformats.org/officeDocument/2006/relationships/hyperlink" Target="https://doi.org/10.3390/nursrep11020041" TargetMode="External"/><Relationship Id="rId2" Type="http://schemas.openxmlformats.org/officeDocument/2006/relationships/settings" Target="settings.xml"/><Relationship Id="rId16" Type="http://schemas.openxmlformats.org/officeDocument/2006/relationships/hyperlink" Target="https://assets.publishing.service.gov.uk/media/60547266d3bf7f2f14694965/Caring_as_a_social_determinant_report.pdf"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actionforelders.org.uk/the-benefits-of-physical-activity/?gad_source=1&amp;gclid=EAIaIQobChMInsyc09rchAMVWpNQBh20vwWhEAAYASAAEgJhIfD_BwE" TargetMode="External"/><Relationship Id="rId11" Type="http://schemas.openxmlformats.org/officeDocument/2006/relationships/hyperlink" Target="https://www.nia.nih.gov/health/healthy-eating-nutrition-and-diet/maintaining-healthy-weight" TargetMode="External"/><Relationship Id="rId5" Type="http://schemas.openxmlformats.org/officeDocument/2006/relationships/endnotes" Target="endnotes.xml"/><Relationship Id="rId15" Type="http://schemas.openxmlformats.org/officeDocument/2006/relationships/hyperlink" Target="https://doi.org/10.4236%2Fjbise.2022.1511023" TargetMode="External"/><Relationship Id="rId10" Type="http://schemas.openxmlformats.org/officeDocument/2006/relationships/hyperlink" Target="https://doi.org/10.3389/fpubh.2020.516151" TargetMode="External"/><Relationship Id="rId19"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doi.org/10.2196/31916" TargetMode="External"/><Relationship Id="rId14" Type="http://schemas.openxmlformats.org/officeDocument/2006/relationships/hyperlink" Target="https://doi.org/10.3390/ijerph19231587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2102</TotalTime>
  <Pages>3</Pages>
  <Words>1298</Words>
  <Characters>8101</Characters>
  <Application>Microsoft Office Word</Application>
  <DocSecurity>0</DocSecurity>
  <Lines>117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Courtney Partridge</dc:creator>
  <cp:keywords/>
  <dc:description/>
  <cp:lastModifiedBy>Courtney Partridge</cp:lastModifiedBy>
  <cp:revision>15</cp:revision>
  <dcterms:created xsi:type="dcterms:W3CDTF">2024-02-28T12:46:00Z</dcterms:created>
  <dcterms:modified xsi:type="dcterms:W3CDTF">2024-03-06T10:01:00Z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18ead43d-fe64-4564-a9aa-ca63476e15e0</vt:lpwstr>
  </property>
</Properties>
</file>