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42B20" w:rsidRDefault="00672708" w:rsidP="00F42863">
      <w:pPr>
        <w:spacing w:line="360" w:lineRule="auto"/>
        <w:rPr>
          <w:rFonts w:ascii="Arial" w:hAnsi="Arial" w:cs="Arial"/>
          <w:b/>
          <w:sz w:val="32"/>
        </w:rPr>
      </w:pPr>
      <w:r>
        <w:rPr>
          <w:rFonts w:ascii="Arial" w:hAnsi="Arial" w:cs="Arial"/>
          <w:b/>
          <w:sz w:val="32"/>
        </w:rPr>
        <w:t xml:space="preserve">                            </w:t>
      </w:r>
      <w:r w:rsidR="001130CC">
        <w:rPr>
          <w:rFonts w:ascii="Arial" w:hAnsi="Arial" w:cs="Arial"/>
          <w:b/>
          <w:sz w:val="32"/>
        </w:rPr>
        <w:t xml:space="preserve">Student </w:t>
      </w:r>
      <w:r w:rsidR="00322A10">
        <w:rPr>
          <w:rFonts w:ascii="Arial" w:hAnsi="Arial" w:cs="Arial"/>
          <w:b/>
          <w:sz w:val="32"/>
        </w:rPr>
        <w:t xml:space="preserve">Name : </w:t>
      </w:r>
      <w:proofErr w:type="spellStart"/>
      <w:r w:rsidR="00322A10">
        <w:rPr>
          <w:rFonts w:ascii="Arial" w:hAnsi="Arial" w:cs="Arial"/>
          <w:b/>
          <w:sz w:val="32"/>
        </w:rPr>
        <w:t>Vimi</w:t>
      </w:r>
      <w:proofErr w:type="spellEnd"/>
      <w:r w:rsidR="00322A10">
        <w:rPr>
          <w:rFonts w:ascii="Arial" w:hAnsi="Arial" w:cs="Arial"/>
          <w:b/>
          <w:sz w:val="32"/>
        </w:rPr>
        <w:t xml:space="preserve"> </w:t>
      </w:r>
      <w:proofErr w:type="spellStart"/>
      <w:r w:rsidR="00322A10">
        <w:rPr>
          <w:rFonts w:ascii="Arial" w:hAnsi="Arial" w:cs="Arial"/>
          <w:b/>
          <w:sz w:val="32"/>
        </w:rPr>
        <w:t>Naiko</w:t>
      </w:r>
      <w:proofErr w:type="spellEnd"/>
    </w:p>
    <w:p w:rsidR="001130CC" w:rsidRDefault="001130CC" w:rsidP="00402D1E">
      <w:pPr>
        <w:spacing w:line="360" w:lineRule="auto"/>
        <w:jc w:val="center"/>
        <w:rPr>
          <w:rFonts w:ascii="Arial" w:hAnsi="Arial" w:cs="Arial"/>
          <w:b/>
          <w:sz w:val="32"/>
        </w:rPr>
      </w:pPr>
      <w:r>
        <w:rPr>
          <w:rFonts w:ascii="Arial" w:hAnsi="Arial" w:cs="Arial"/>
          <w:b/>
          <w:sz w:val="32"/>
        </w:rPr>
        <w:t xml:space="preserve">Student ID: </w:t>
      </w:r>
      <w:r w:rsidR="00322A10">
        <w:rPr>
          <w:rFonts w:ascii="Arial" w:hAnsi="Arial" w:cs="Arial"/>
          <w:b/>
          <w:sz w:val="32"/>
        </w:rPr>
        <w:t>2120212</w:t>
      </w:r>
    </w:p>
    <w:p w:rsidR="00322A10" w:rsidRDefault="00BF33C2" w:rsidP="00402D1E">
      <w:pPr>
        <w:spacing w:line="360" w:lineRule="auto"/>
        <w:jc w:val="center"/>
        <w:rPr>
          <w:rFonts w:ascii="Arial" w:hAnsi="Arial" w:cs="Arial"/>
          <w:bCs/>
          <w:sz w:val="32"/>
        </w:rPr>
      </w:pPr>
      <w:r>
        <w:rPr>
          <w:rFonts w:ascii="Arial" w:hAnsi="Arial" w:cs="Arial"/>
          <w:b/>
          <w:sz w:val="32"/>
        </w:rPr>
        <w:t xml:space="preserve">Lecturer name: Rebecca </w:t>
      </w:r>
      <w:r w:rsidR="009C59A8">
        <w:rPr>
          <w:rFonts w:ascii="Arial" w:hAnsi="Arial" w:cs="Arial"/>
          <w:b/>
          <w:sz w:val="32"/>
        </w:rPr>
        <w:t xml:space="preserve">Stewart </w:t>
      </w:r>
    </w:p>
    <w:p w:rsidR="00C82DD9" w:rsidRPr="00AE2302" w:rsidRDefault="00C82DD9" w:rsidP="00402D1E">
      <w:pPr>
        <w:spacing w:line="360" w:lineRule="auto"/>
        <w:jc w:val="center"/>
        <w:rPr>
          <w:rFonts w:ascii="Arial" w:hAnsi="Arial" w:cs="Arial"/>
          <w:bCs/>
          <w:sz w:val="32"/>
        </w:rPr>
      </w:pPr>
      <w:r>
        <w:rPr>
          <w:rFonts w:ascii="Arial" w:hAnsi="Arial" w:cs="Arial"/>
          <w:bCs/>
          <w:sz w:val="32"/>
        </w:rPr>
        <w:t>Module</w:t>
      </w:r>
      <w:r w:rsidR="000D7FB4">
        <w:rPr>
          <w:rFonts w:ascii="Arial" w:hAnsi="Arial" w:cs="Arial"/>
          <w:bCs/>
          <w:sz w:val="32"/>
        </w:rPr>
        <w:t xml:space="preserve"> code: BMHP6009</w:t>
      </w:r>
    </w:p>
    <w:p w:rsidR="00C42B20" w:rsidRDefault="00C42B20" w:rsidP="00402D1E">
      <w:pPr>
        <w:spacing w:line="360" w:lineRule="auto"/>
        <w:jc w:val="center"/>
        <w:rPr>
          <w:rFonts w:ascii="Arial" w:hAnsi="Arial" w:cs="Arial"/>
          <w:b/>
          <w:sz w:val="32"/>
        </w:rPr>
      </w:pPr>
    </w:p>
    <w:p w:rsidR="00402D1E" w:rsidRDefault="000418C1" w:rsidP="00D93799">
      <w:pPr>
        <w:spacing w:line="360" w:lineRule="auto"/>
        <w:rPr>
          <w:rFonts w:ascii="Arial" w:hAnsi="Arial" w:cs="Arial"/>
          <w:b/>
          <w:sz w:val="32"/>
        </w:rPr>
      </w:pPr>
      <w:r>
        <w:rPr>
          <w:rFonts w:ascii="Arial" w:hAnsi="Arial" w:cs="Arial"/>
          <w:b/>
          <w:sz w:val="32"/>
        </w:rPr>
        <w:t xml:space="preserve">               </w:t>
      </w:r>
      <w:r w:rsidR="00402D1E" w:rsidRPr="00680010">
        <w:rPr>
          <w:rFonts w:ascii="Arial" w:hAnsi="Arial" w:cs="Arial"/>
          <w:b/>
          <w:sz w:val="32"/>
        </w:rPr>
        <w:t>LIVING WITH CARE: THE OLDER PERSON</w:t>
      </w:r>
    </w:p>
    <w:p w:rsidR="00402D1E" w:rsidRDefault="00402D1E" w:rsidP="00402D1E">
      <w:pPr>
        <w:spacing w:line="360" w:lineRule="auto"/>
        <w:jc w:val="center"/>
        <w:rPr>
          <w:rFonts w:ascii="Arial" w:hAnsi="Arial" w:cs="Arial"/>
          <w:b/>
          <w:sz w:val="32"/>
        </w:rPr>
      </w:pPr>
      <w:r>
        <w:rPr>
          <w:rFonts w:ascii="Arial" w:hAnsi="Arial" w:cs="Arial"/>
          <w:b/>
          <w:sz w:val="32"/>
        </w:rPr>
        <w:t>CASE REPORT</w:t>
      </w:r>
    </w:p>
    <w:sdt>
      <w:sdtPr>
        <w:rPr>
          <w:rFonts w:asciiTheme="minorHAnsi" w:eastAsiaTheme="minorHAnsi" w:hAnsiTheme="minorHAnsi" w:cstheme="minorBidi"/>
          <w:color w:val="auto"/>
          <w:sz w:val="22"/>
          <w:szCs w:val="22"/>
        </w:rPr>
        <w:id w:val="-1518082825"/>
        <w:docPartObj>
          <w:docPartGallery w:val="Table of Contents"/>
          <w:docPartUnique/>
        </w:docPartObj>
      </w:sdtPr>
      <w:sdtEndPr>
        <w:rPr>
          <w:rFonts w:ascii="Arial" w:hAnsi="Arial" w:cs="Arial"/>
          <w:b/>
          <w:bCs/>
          <w:noProof/>
          <w:sz w:val="24"/>
        </w:rPr>
      </w:sdtEndPr>
      <w:sdtContent>
        <w:p w:rsidR="00402D1E" w:rsidRPr="00402D1E" w:rsidRDefault="00402D1E">
          <w:pPr>
            <w:pStyle w:val="TOCHeading"/>
            <w:rPr>
              <w:rFonts w:ascii="Arial" w:hAnsi="Arial" w:cs="Arial"/>
              <w:b/>
              <w:color w:val="auto"/>
              <w:sz w:val="28"/>
            </w:rPr>
          </w:pPr>
          <w:r w:rsidRPr="00402D1E">
            <w:rPr>
              <w:rFonts w:ascii="Arial" w:hAnsi="Arial" w:cs="Arial"/>
              <w:b/>
              <w:color w:val="auto"/>
              <w:sz w:val="28"/>
            </w:rPr>
            <w:t>Table of Contents</w:t>
          </w:r>
        </w:p>
        <w:p w:rsidR="00402D1E" w:rsidRPr="00402D1E" w:rsidRDefault="00402D1E">
          <w:pPr>
            <w:pStyle w:val="TOC1"/>
            <w:tabs>
              <w:tab w:val="left" w:pos="440"/>
              <w:tab w:val="right" w:leader="dot" w:pos="9350"/>
            </w:tabs>
            <w:rPr>
              <w:rFonts w:ascii="Arial" w:hAnsi="Arial" w:cs="Arial"/>
              <w:noProof/>
              <w:sz w:val="24"/>
            </w:rPr>
          </w:pPr>
          <w:r w:rsidRPr="00402D1E">
            <w:rPr>
              <w:rFonts w:ascii="Arial" w:hAnsi="Arial" w:cs="Arial"/>
              <w:sz w:val="24"/>
            </w:rPr>
            <w:fldChar w:fldCharType="begin"/>
          </w:r>
          <w:r w:rsidRPr="00402D1E">
            <w:rPr>
              <w:rFonts w:ascii="Arial" w:hAnsi="Arial" w:cs="Arial"/>
              <w:sz w:val="24"/>
            </w:rPr>
            <w:instrText xml:space="preserve"> TOC \o "1-3" \h \z \u </w:instrText>
          </w:r>
          <w:r w:rsidRPr="00402D1E">
            <w:rPr>
              <w:rFonts w:ascii="Arial" w:hAnsi="Arial" w:cs="Arial"/>
              <w:sz w:val="24"/>
            </w:rPr>
            <w:fldChar w:fldCharType="separate"/>
          </w:r>
          <w:hyperlink w:anchor="_Toc161058195" w:history="1">
            <w:r w:rsidRPr="00402D1E">
              <w:rPr>
                <w:rStyle w:val="Hyperlink"/>
                <w:rFonts w:ascii="Arial" w:hAnsi="Arial" w:cs="Arial"/>
                <w:noProof/>
                <w:sz w:val="24"/>
              </w:rPr>
              <w:t>1.</w:t>
            </w:r>
            <w:r w:rsidRPr="00402D1E">
              <w:rPr>
                <w:rFonts w:ascii="Arial" w:hAnsi="Arial" w:cs="Arial"/>
                <w:noProof/>
                <w:sz w:val="24"/>
              </w:rPr>
              <w:tab/>
            </w:r>
            <w:r w:rsidRPr="00402D1E">
              <w:rPr>
                <w:rStyle w:val="Hyperlink"/>
                <w:rFonts w:ascii="Arial" w:hAnsi="Arial" w:cs="Arial"/>
                <w:noProof/>
                <w:sz w:val="24"/>
              </w:rPr>
              <w:t>INTRODUCTION</w:t>
            </w:r>
            <w:r w:rsidRPr="00402D1E">
              <w:rPr>
                <w:rFonts w:ascii="Arial" w:hAnsi="Arial" w:cs="Arial"/>
                <w:noProof/>
                <w:webHidden/>
                <w:sz w:val="24"/>
              </w:rPr>
              <w:tab/>
            </w:r>
            <w:r w:rsidRPr="00402D1E">
              <w:rPr>
                <w:rFonts w:ascii="Arial" w:hAnsi="Arial" w:cs="Arial"/>
                <w:noProof/>
                <w:webHidden/>
                <w:sz w:val="24"/>
              </w:rPr>
              <w:fldChar w:fldCharType="begin"/>
            </w:r>
            <w:r w:rsidRPr="00402D1E">
              <w:rPr>
                <w:rFonts w:ascii="Arial" w:hAnsi="Arial" w:cs="Arial"/>
                <w:noProof/>
                <w:webHidden/>
                <w:sz w:val="24"/>
              </w:rPr>
              <w:instrText xml:space="preserve"> PAGEREF _Toc161058195 \h </w:instrText>
            </w:r>
            <w:r w:rsidRPr="00402D1E">
              <w:rPr>
                <w:rFonts w:ascii="Arial" w:hAnsi="Arial" w:cs="Arial"/>
                <w:noProof/>
                <w:webHidden/>
                <w:sz w:val="24"/>
              </w:rPr>
            </w:r>
            <w:r w:rsidRPr="00402D1E">
              <w:rPr>
                <w:rFonts w:ascii="Arial" w:hAnsi="Arial" w:cs="Arial"/>
                <w:noProof/>
                <w:webHidden/>
                <w:sz w:val="24"/>
              </w:rPr>
              <w:fldChar w:fldCharType="separate"/>
            </w:r>
            <w:r w:rsidRPr="00402D1E">
              <w:rPr>
                <w:rFonts w:ascii="Arial" w:hAnsi="Arial" w:cs="Arial"/>
                <w:noProof/>
                <w:webHidden/>
                <w:sz w:val="24"/>
              </w:rPr>
              <w:t>2</w:t>
            </w:r>
            <w:r w:rsidRPr="00402D1E">
              <w:rPr>
                <w:rFonts w:ascii="Arial" w:hAnsi="Arial" w:cs="Arial"/>
                <w:noProof/>
                <w:webHidden/>
                <w:sz w:val="24"/>
              </w:rPr>
              <w:fldChar w:fldCharType="end"/>
            </w:r>
          </w:hyperlink>
        </w:p>
        <w:p w:rsidR="00402D1E" w:rsidRPr="00402D1E" w:rsidRDefault="00000000">
          <w:pPr>
            <w:pStyle w:val="TOC2"/>
            <w:tabs>
              <w:tab w:val="left" w:pos="880"/>
              <w:tab w:val="right" w:leader="dot" w:pos="9350"/>
            </w:tabs>
            <w:rPr>
              <w:rFonts w:ascii="Arial" w:hAnsi="Arial" w:cs="Arial"/>
              <w:noProof/>
              <w:sz w:val="24"/>
            </w:rPr>
          </w:pPr>
          <w:hyperlink w:anchor="_Toc161058196" w:history="1">
            <w:r w:rsidR="00402D1E" w:rsidRPr="00402D1E">
              <w:rPr>
                <w:rStyle w:val="Hyperlink"/>
                <w:rFonts w:ascii="Arial" w:hAnsi="Arial" w:cs="Arial"/>
                <w:noProof/>
                <w:sz w:val="24"/>
              </w:rPr>
              <w:t>1.1</w:t>
            </w:r>
            <w:r w:rsidR="00402D1E" w:rsidRPr="00402D1E">
              <w:rPr>
                <w:rFonts w:ascii="Arial" w:hAnsi="Arial" w:cs="Arial"/>
                <w:noProof/>
                <w:sz w:val="24"/>
              </w:rPr>
              <w:tab/>
            </w:r>
            <w:r w:rsidR="00402D1E" w:rsidRPr="00402D1E">
              <w:rPr>
                <w:rStyle w:val="Hyperlink"/>
                <w:rFonts w:ascii="Arial" w:hAnsi="Arial" w:cs="Arial"/>
                <w:noProof/>
                <w:sz w:val="24"/>
              </w:rPr>
              <w:t>AGING DEMOGRAPHICS IN THE UNITED KINGDOM</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_Toc161058196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2</w:t>
            </w:r>
            <w:r w:rsidR="00402D1E" w:rsidRPr="00402D1E">
              <w:rPr>
                <w:rFonts w:ascii="Arial" w:hAnsi="Arial" w:cs="Arial"/>
                <w:noProof/>
                <w:webHidden/>
                <w:sz w:val="24"/>
              </w:rPr>
              <w:fldChar w:fldCharType="end"/>
            </w:r>
          </w:hyperlink>
        </w:p>
        <w:p w:rsidR="00402D1E" w:rsidRPr="00402D1E" w:rsidRDefault="00000000">
          <w:pPr>
            <w:pStyle w:val="TOC2"/>
            <w:tabs>
              <w:tab w:val="left" w:pos="880"/>
              <w:tab w:val="right" w:leader="dot" w:pos="9350"/>
            </w:tabs>
            <w:rPr>
              <w:rFonts w:ascii="Arial" w:hAnsi="Arial" w:cs="Arial"/>
              <w:noProof/>
              <w:sz w:val="24"/>
            </w:rPr>
          </w:pPr>
          <w:hyperlink w:anchor="_Toc161058197" w:history="1">
            <w:r w:rsidR="00402D1E" w:rsidRPr="00402D1E">
              <w:rPr>
                <w:rStyle w:val="Hyperlink"/>
                <w:rFonts w:ascii="Arial" w:hAnsi="Arial" w:cs="Arial"/>
                <w:noProof/>
                <w:sz w:val="24"/>
              </w:rPr>
              <w:t>1.2</w:t>
            </w:r>
            <w:r w:rsidR="00402D1E" w:rsidRPr="00402D1E">
              <w:rPr>
                <w:rFonts w:ascii="Arial" w:hAnsi="Arial" w:cs="Arial"/>
                <w:noProof/>
                <w:sz w:val="24"/>
              </w:rPr>
              <w:tab/>
            </w:r>
            <w:r w:rsidR="00402D1E" w:rsidRPr="00402D1E">
              <w:rPr>
                <w:rStyle w:val="Hyperlink"/>
                <w:rFonts w:ascii="Arial" w:hAnsi="Arial" w:cs="Arial"/>
                <w:noProof/>
                <w:sz w:val="24"/>
              </w:rPr>
              <w:t>ENVIRONMENTAL CONDITIONS IN THE UK FOR THE ELDERLY</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_Toc161058197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4</w:t>
            </w:r>
            <w:r w:rsidR="00402D1E" w:rsidRPr="00402D1E">
              <w:rPr>
                <w:rFonts w:ascii="Arial" w:hAnsi="Arial" w:cs="Arial"/>
                <w:noProof/>
                <w:webHidden/>
                <w:sz w:val="24"/>
              </w:rPr>
              <w:fldChar w:fldCharType="end"/>
            </w:r>
          </w:hyperlink>
        </w:p>
        <w:p w:rsidR="00402D1E" w:rsidRPr="00402D1E" w:rsidRDefault="00000000">
          <w:pPr>
            <w:pStyle w:val="TOC2"/>
            <w:tabs>
              <w:tab w:val="left" w:pos="880"/>
              <w:tab w:val="right" w:leader="dot" w:pos="9350"/>
            </w:tabs>
            <w:rPr>
              <w:rFonts w:ascii="Arial" w:hAnsi="Arial" w:cs="Arial"/>
              <w:noProof/>
              <w:sz w:val="24"/>
            </w:rPr>
          </w:pPr>
          <w:hyperlink w:anchor="_Toc161058198" w:history="1">
            <w:r w:rsidR="00402D1E" w:rsidRPr="00402D1E">
              <w:rPr>
                <w:rStyle w:val="Hyperlink"/>
                <w:rFonts w:ascii="Arial" w:hAnsi="Arial" w:cs="Arial"/>
                <w:noProof/>
                <w:sz w:val="24"/>
              </w:rPr>
              <w:t>1.3</w:t>
            </w:r>
            <w:r w:rsidR="00402D1E" w:rsidRPr="00402D1E">
              <w:rPr>
                <w:rFonts w:ascii="Arial" w:hAnsi="Arial" w:cs="Arial"/>
                <w:noProof/>
                <w:sz w:val="24"/>
              </w:rPr>
              <w:tab/>
            </w:r>
            <w:r w:rsidR="00402D1E" w:rsidRPr="00402D1E">
              <w:rPr>
                <w:rStyle w:val="Hyperlink"/>
                <w:rFonts w:ascii="Arial" w:hAnsi="Arial" w:cs="Arial"/>
                <w:noProof/>
                <w:sz w:val="24"/>
              </w:rPr>
              <w:t>HEALTH</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_Toc161058198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4</w:t>
            </w:r>
            <w:r w:rsidR="00402D1E" w:rsidRPr="00402D1E">
              <w:rPr>
                <w:rFonts w:ascii="Arial" w:hAnsi="Arial" w:cs="Arial"/>
                <w:noProof/>
                <w:webHidden/>
                <w:sz w:val="24"/>
              </w:rPr>
              <w:fldChar w:fldCharType="end"/>
            </w:r>
          </w:hyperlink>
        </w:p>
        <w:p w:rsidR="00402D1E" w:rsidRPr="00402D1E" w:rsidRDefault="00000000">
          <w:pPr>
            <w:pStyle w:val="TOC1"/>
            <w:tabs>
              <w:tab w:val="left" w:pos="440"/>
              <w:tab w:val="right" w:leader="dot" w:pos="9350"/>
            </w:tabs>
            <w:rPr>
              <w:rFonts w:ascii="Arial" w:hAnsi="Arial" w:cs="Arial"/>
              <w:noProof/>
              <w:sz w:val="24"/>
            </w:rPr>
          </w:pPr>
          <w:hyperlink w:anchor="_Toc161058199" w:history="1">
            <w:r w:rsidR="00402D1E" w:rsidRPr="00402D1E">
              <w:rPr>
                <w:rStyle w:val="Hyperlink"/>
                <w:rFonts w:ascii="Arial" w:eastAsia="Times New Roman" w:hAnsi="Arial" w:cs="Arial"/>
                <w:noProof/>
                <w:sz w:val="24"/>
              </w:rPr>
              <w:t>2.</w:t>
            </w:r>
            <w:r w:rsidR="00402D1E" w:rsidRPr="00402D1E">
              <w:rPr>
                <w:rFonts w:ascii="Arial" w:hAnsi="Arial" w:cs="Arial"/>
                <w:noProof/>
                <w:sz w:val="24"/>
              </w:rPr>
              <w:tab/>
            </w:r>
            <w:r w:rsidR="00402D1E" w:rsidRPr="00402D1E">
              <w:rPr>
                <w:rStyle w:val="Hyperlink"/>
                <w:rFonts w:ascii="Arial" w:eastAsia="Times New Roman" w:hAnsi="Arial" w:cs="Arial"/>
                <w:noProof/>
                <w:sz w:val="24"/>
              </w:rPr>
              <w:t>MAIN BODY</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_Toc161058199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5</w:t>
            </w:r>
            <w:r w:rsidR="00402D1E" w:rsidRPr="00402D1E">
              <w:rPr>
                <w:rFonts w:ascii="Arial" w:hAnsi="Arial" w:cs="Arial"/>
                <w:noProof/>
                <w:webHidden/>
                <w:sz w:val="24"/>
              </w:rPr>
              <w:fldChar w:fldCharType="end"/>
            </w:r>
          </w:hyperlink>
        </w:p>
        <w:p w:rsidR="00402D1E" w:rsidRPr="00402D1E" w:rsidRDefault="00000000">
          <w:pPr>
            <w:pStyle w:val="TOC2"/>
            <w:tabs>
              <w:tab w:val="left" w:pos="880"/>
              <w:tab w:val="right" w:leader="dot" w:pos="9350"/>
            </w:tabs>
            <w:rPr>
              <w:rFonts w:ascii="Arial" w:hAnsi="Arial" w:cs="Arial"/>
              <w:noProof/>
              <w:sz w:val="24"/>
            </w:rPr>
          </w:pPr>
          <w:hyperlink w:anchor="_Toc161058200" w:history="1">
            <w:r w:rsidR="00402D1E" w:rsidRPr="00402D1E">
              <w:rPr>
                <w:rStyle w:val="Hyperlink"/>
                <w:rFonts w:ascii="Arial" w:eastAsia="Times New Roman" w:hAnsi="Arial" w:cs="Arial"/>
                <w:noProof/>
                <w:sz w:val="24"/>
              </w:rPr>
              <w:t>2.1</w:t>
            </w:r>
            <w:r w:rsidR="00402D1E" w:rsidRPr="00402D1E">
              <w:rPr>
                <w:rFonts w:ascii="Arial" w:hAnsi="Arial" w:cs="Arial"/>
                <w:noProof/>
                <w:sz w:val="24"/>
              </w:rPr>
              <w:tab/>
            </w:r>
            <w:r w:rsidR="00402D1E" w:rsidRPr="00402D1E">
              <w:rPr>
                <w:rStyle w:val="Hyperlink"/>
                <w:rFonts w:ascii="Arial" w:eastAsia="Times New Roman" w:hAnsi="Arial" w:cs="Arial"/>
                <w:noProof/>
                <w:sz w:val="24"/>
              </w:rPr>
              <w:t>CASE STUDY</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_Toc161058200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5</w:t>
            </w:r>
            <w:r w:rsidR="00402D1E" w:rsidRPr="00402D1E">
              <w:rPr>
                <w:rFonts w:ascii="Arial" w:hAnsi="Arial" w:cs="Arial"/>
                <w:noProof/>
                <w:webHidden/>
                <w:sz w:val="24"/>
              </w:rPr>
              <w:fldChar w:fldCharType="end"/>
            </w:r>
          </w:hyperlink>
        </w:p>
        <w:p w:rsidR="00402D1E" w:rsidRPr="00402D1E" w:rsidRDefault="00000000">
          <w:pPr>
            <w:pStyle w:val="TOC2"/>
            <w:tabs>
              <w:tab w:val="left" w:pos="880"/>
              <w:tab w:val="right" w:leader="dot" w:pos="9350"/>
            </w:tabs>
            <w:rPr>
              <w:rFonts w:ascii="Arial" w:hAnsi="Arial" w:cs="Arial"/>
              <w:noProof/>
              <w:sz w:val="24"/>
            </w:rPr>
          </w:pPr>
          <w:hyperlink w:anchor="_Toc161058201" w:history="1">
            <w:r w:rsidR="00402D1E" w:rsidRPr="00402D1E">
              <w:rPr>
                <w:rStyle w:val="Hyperlink"/>
                <w:rFonts w:ascii="Arial" w:hAnsi="Arial" w:cs="Arial"/>
                <w:noProof/>
                <w:sz w:val="24"/>
              </w:rPr>
              <w:t>2.2</w:t>
            </w:r>
            <w:r w:rsidR="00402D1E" w:rsidRPr="00402D1E">
              <w:rPr>
                <w:rFonts w:ascii="Arial" w:hAnsi="Arial" w:cs="Arial"/>
                <w:noProof/>
                <w:sz w:val="24"/>
              </w:rPr>
              <w:tab/>
            </w:r>
            <w:r w:rsidR="00402D1E" w:rsidRPr="00402D1E">
              <w:rPr>
                <w:rStyle w:val="Hyperlink"/>
                <w:rFonts w:ascii="Arial" w:hAnsi="Arial" w:cs="Arial"/>
                <w:noProof/>
                <w:sz w:val="24"/>
              </w:rPr>
              <w:t>CASE RELATED DISEASES</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_Toc161058201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6</w:t>
            </w:r>
            <w:r w:rsidR="00402D1E" w:rsidRPr="00402D1E">
              <w:rPr>
                <w:rFonts w:ascii="Arial" w:hAnsi="Arial" w:cs="Arial"/>
                <w:noProof/>
                <w:webHidden/>
                <w:sz w:val="24"/>
              </w:rPr>
              <w:fldChar w:fldCharType="end"/>
            </w:r>
          </w:hyperlink>
        </w:p>
        <w:p w:rsidR="00402D1E" w:rsidRPr="00402D1E" w:rsidRDefault="00000000">
          <w:pPr>
            <w:pStyle w:val="TOC2"/>
            <w:tabs>
              <w:tab w:val="left" w:pos="880"/>
              <w:tab w:val="right" w:leader="dot" w:pos="9350"/>
            </w:tabs>
            <w:rPr>
              <w:rFonts w:ascii="Arial" w:hAnsi="Arial" w:cs="Arial"/>
              <w:noProof/>
              <w:sz w:val="24"/>
            </w:rPr>
          </w:pPr>
          <w:hyperlink w:anchor="_Toc161058202" w:history="1">
            <w:r w:rsidR="00402D1E" w:rsidRPr="00402D1E">
              <w:rPr>
                <w:rStyle w:val="Hyperlink"/>
                <w:rFonts w:ascii="Arial" w:hAnsi="Arial" w:cs="Arial"/>
                <w:noProof/>
                <w:sz w:val="24"/>
              </w:rPr>
              <w:t>2.3</w:t>
            </w:r>
            <w:r w:rsidR="00402D1E" w:rsidRPr="00402D1E">
              <w:rPr>
                <w:rFonts w:ascii="Arial" w:hAnsi="Arial" w:cs="Arial"/>
                <w:noProof/>
                <w:sz w:val="24"/>
              </w:rPr>
              <w:tab/>
            </w:r>
            <w:r w:rsidR="00402D1E" w:rsidRPr="00402D1E">
              <w:rPr>
                <w:rStyle w:val="Hyperlink"/>
                <w:rFonts w:ascii="Arial" w:hAnsi="Arial" w:cs="Arial"/>
                <w:noProof/>
                <w:sz w:val="24"/>
              </w:rPr>
              <w:t>EFFECTIVENESS</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_Toc161058202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7</w:t>
            </w:r>
            <w:r w:rsidR="00402D1E" w:rsidRPr="00402D1E">
              <w:rPr>
                <w:rFonts w:ascii="Arial" w:hAnsi="Arial" w:cs="Arial"/>
                <w:noProof/>
                <w:webHidden/>
                <w:sz w:val="24"/>
              </w:rPr>
              <w:fldChar w:fldCharType="end"/>
            </w:r>
          </w:hyperlink>
        </w:p>
        <w:p w:rsidR="00402D1E" w:rsidRPr="00402D1E" w:rsidRDefault="00000000">
          <w:pPr>
            <w:pStyle w:val="TOC2"/>
            <w:tabs>
              <w:tab w:val="left" w:pos="880"/>
              <w:tab w:val="right" w:leader="dot" w:pos="9350"/>
            </w:tabs>
            <w:rPr>
              <w:rFonts w:ascii="Arial" w:hAnsi="Arial" w:cs="Arial"/>
              <w:noProof/>
              <w:sz w:val="24"/>
            </w:rPr>
          </w:pPr>
          <w:hyperlink w:anchor="_Toc161058203" w:history="1">
            <w:r w:rsidR="00402D1E" w:rsidRPr="00402D1E">
              <w:rPr>
                <w:rStyle w:val="Hyperlink"/>
                <w:rFonts w:ascii="Arial" w:hAnsi="Arial" w:cs="Arial"/>
                <w:noProof/>
                <w:sz w:val="24"/>
              </w:rPr>
              <w:t>2.4</w:t>
            </w:r>
            <w:r w:rsidR="00402D1E" w:rsidRPr="00402D1E">
              <w:rPr>
                <w:rFonts w:ascii="Arial" w:hAnsi="Arial" w:cs="Arial"/>
                <w:noProof/>
                <w:sz w:val="24"/>
              </w:rPr>
              <w:tab/>
            </w:r>
            <w:r w:rsidR="00402D1E" w:rsidRPr="00402D1E">
              <w:rPr>
                <w:rStyle w:val="Hyperlink"/>
                <w:rFonts w:ascii="Arial" w:hAnsi="Arial" w:cs="Arial"/>
                <w:noProof/>
                <w:sz w:val="24"/>
              </w:rPr>
              <w:t>MAINTENANCE</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_Toc161058203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7</w:t>
            </w:r>
            <w:r w:rsidR="00402D1E" w:rsidRPr="00402D1E">
              <w:rPr>
                <w:rFonts w:ascii="Arial" w:hAnsi="Arial" w:cs="Arial"/>
                <w:noProof/>
                <w:webHidden/>
                <w:sz w:val="24"/>
              </w:rPr>
              <w:fldChar w:fldCharType="end"/>
            </w:r>
          </w:hyperlink>
        </w:p>
        <w:p w:rsidR="00402D1E" w:rsidRPr="00402D1E" w:rsidRDefault="00000000">
          <w:pPr>
            <w:pStyle w:val="TOC1"/>
            <w:tabs>
              <w:tab w:val="left" w:pos="440"/>
              <w:tab w:val="right" w:leader="dot" w:pos="9350"/>
            </w:tabs>
            <w:rPr>
              <w:rFonts w:ascii="Arial" w:hAnsi="Arial" w:cs="Arial"/>
              <w:noProof/>
              <w:sz w:val="24"/>
            </w:rPr>
          </w:pPr>
          <w:hyperlink w:anchor="_Toc161058204" w:history="1">
            <w:r w:rsidR="00402D1E" w:rsidRPr="00402D1E">
              <w:rPr>
                <w:rStyle w:val="Hyperlink"/>
                <w:rFonts w:ascii="Arial" w:hAnsi="Arial" w:cs="Arial"/>
                <w:noProof/>
                <w:sz w:val="24"/>
              </w:rPr>
              <w:t>3.</w:t>
            </w:r>
            <w:r w:rsidR="00402D1E" w:rsidRPr="00402D1E">
              <w:rPr>
                <w:rFonts w:ascii="Arial" w:hAnsi="Arial" w:cs="Arial"/>
                <w:noProof/>
                <w:sz w:val="24"/>
              </w:rPr>
              <w:tab/>
            </w:r>
            <w:r w:rsidR="00402D1E" w:rsidRPr="00402D1E">
              <w:rPr>
                <w:rStyle w:val="Hyperlink"/>
                <w:rFonts w:ascii="Arial" w:hAnsi="Arial" w:cs="Arial"/>
                <w:noProof/>
                <w:sz w:val="24"/>
              </w:rPr>
              <w:t>Potential Public Health Impact of Current Intervention Approaches</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_Toc161058204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8</w:t>
            </w:r>
            <w:r w:rsidR="00402D1E" w:rsidRPr="00402D1E">
              <w:rPr>
                <w:rFonts w:ascii="Arial" w:hAnsi="Arial" w:cs="Arial"/>
                <w:noProof/>
                <w:webHidden/>
                <w:sz w:val="24"/>
              </w:rPr>
              <w:fldChar w:fldCharType="end"/>
            </w:r>
          </w:hyperlink>
        </w:p>
        <w:p w:rsidR="00402D1E" w:rsidRPr="00402D1E" w:rsidRDefault="00000000">
          <w:pPr>
            <w:pStyle w:val="TOC1"/>
            <w:tabs>
              <w:tab w:val="left" w:pos="440"/>
              <w:tab w:val="right" w:leader="dot" w:pos="9350"/>
            </w:tabs>
            <w:rPr>
              <w:rFonts w:ascii="Arial" w:hAnsi="Arial" w:cs="Arial"/>
              <w:noProof/>
              <w:sz w:val="24"/>
            </w:rPr>
          </w:pPr>
          <w:hyperlink w:anchor="_Toc161058205" w:history="1">
            <w:r w:rsidR="00402D1E" w:rsidRPr="00402D1E">
              <w:rPr>
                <w:rStyle w:val="Hyperlink"/>
                <w:rFonts w:ascii="Arial" w:hAnsi="Arial" w:cs="Arial"/>
                <w:noProof/>
                <w:sz w:val="24"/>
              </w:rPr>
              <w:t>4.</w:t>
            </w:r>
            <w:r w:rsidR="00402D1E" w:rsidRPr="00402D1E">
              <w:rPr>
                <w:rFonts w:ascii="Arial" w:hAnsi="Arial" w:cs="Arial"/>
                <w:noProof/>
                <w:sz w:val="24"/>
              </w:rPr>
              <w:tab/>
            </w:r>
            <w:r w:rsidR="00402D1E" w:rsidRPr="00402D1E">
              <w:rPr>
                <w:rStyle w:val="Hyperlink"/>
                <w:rFonts w:ascii="Arial" w:hAnsi="Arial" w:cs="Arial"/>
                <w:noProof/>
                <w:sz w:val="24"/>
              </w:rPr>
              <w:t>Additional Issues Physical Activity Assessment among Older Adults</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_Toc161058205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8</w:t>
            </w:r>
            <w:r w:rsidR="00402D1E" w:rsidRPr="00402D1E">
              <w:rPr>
                <w:rFonts w:ascii="Arial" w:hAnsi="Arial" w:cs="Arial"/>
                <w:noProof/>
                <w:webHidden/>
                <w:sz w:val="24"/>
              </w:rPr>
              <w:fldChar w:fldCharType="end"/>
            </w:r>
          </w:hyperlink>
        </w:p>
        <w:p w:rsidR="00402D1E" w:rsidRPr="00402D1E" w:rsidRDefault="00000000">
          <w:pPr>
            <w:pStyle w:val="TOC2"/>
            <w:tabs>
              <w:tab w:val="left" w:pos="880"/>
              <w:tab w:val="right" w:leader="dot" w:pos="9350"/>
            </w:tabs>
            <w:rPr>
              <w:rFonts w:ascii="Arial" w:hAnsi="Arial" w:cs="Arial"/>
              <w:noProof/>
              <w:sz w:val="24"/>
            </w:rPr>
          </w:pPr>
          <w:hyperlink w:anchor="_Toc161058206" w:history="1">
            <w:r w:rsidR="00402D1E" w:rsidRPr="00402D1E">
              <w:rPr>
                <w:rStyle w:val="Hyperlink"/>
                <w:rFonts w:ascii="Arial" w:hAnsi="Arial" w:cs="Arial"/>
                <w:noProof/>
                <w:sz w:val="24"/>
              </w:rPr>
              <w:t>4.1</w:t>
            </w:r>
            <w:r w:rsidR="00402D1E" w:rsidRPr="00402D1E">
              <w:rPr>
                <w:rFonts w:ascii="Arial" w:hAnsi="Arial" w:cs="Arial"/>
                <w:noProof/>
                <w:sz w:val="24"/>
              </w:rPr>
              <w:tab/>
            </w:r>
            <w:r w:rsidR="00402D1E" w:rsidRPr="00402D1E">
              <w:rPr>
                <w:rStyle w:val="Hyperlink"/>
                <w:rFonts w:ascii="Arial" w:hAnsi="Arial" w:cs="Arial"/>
                <w:noProof/>
                <w:sz w:val="24"/>
              </w:rPr>
              <w:t>PUBLIC HEALTH LEGISLATION</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_Toc161058206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9</w:t>
            </w:r>
            <w:r w:rsidR="00402D1E" w:rsidRPr="00402D1E">
              <w:rPr>
                <w:rFonts w:ascii="Arial" w:hAnsi="Arial" w:cs="Arial"/>
                <w:noProof/>
                <w:webHidden/>
                <w:sz w:val="24"/>
              </w:rPr>
              <w:fldChar w:fldCharType="end"/>
            </w:r>
          </w:hyperlink>
        </w:p>
        <w:p w:rsidR="00402D1E" w:rsidRPr="00402D1E" w:rsidRDefault="00000000">
          <w:pPr>
            <w:pStyle w:val="TOC2"/>
            <w:tabs>
              <w:tab w:val="left" w:pos="880"/>
              <w:tab w:val="right" w:leader="dot" w:pos="9350"/>
            </w:tabs>
            <w:rPr>
              <w:rFonts w:ascii="Arial" w:hAnsi="Arial" w:cs="Arial"/>
              <w:noProof/>
              <w:sz w:val="24"/>
            </w:rPr>
          </w:pPr>
          <w:hyperlink w:anchor="_Toc161058207" w:history="1">
            <w:r w:rsidR="00402D1E" w:rsidRPr="00402D1E">
              <w:rPr>
                <w:rStyle w:val="Hyperlink"/>
                <w:rFonts w:ascii="Arial" w:hAnsi="Arial" w:cs="Arial"/>
                <w:noProof/>
                <w:sz w:val="24"/>
              </w:rPr>
              <w:t>4.2</w:t>
            </w:r>
            <w:r w:rsidR="00402D1E" w:rsidRPr="00402D1E">
              <w:rPr>
                <w:rFonts w:ascii="Arial" w:hAnsi="Arial" w:cs="Arial"/>
                <w:noProof/>
                <w:sz w:val="24"/>
              </w:rPr>
              <w:tab/>
            </w:r>
            <w:r w:rsidR="00402D1E" w:rsidRPr="00402D1E">
              <w:rPr>
                <w:rStyle w:val="Hyperlink"/>
                <w:rFonts w:ascii="Arial" w:hAnsi="Arial" w:cs="Arial"/>
                <w:noProof/>
                <w:sz w:val="24"/>
              </w:rPr>
              <w:t>EDUCATION AND ADVOCACY</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_Toc161058207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9</w:t>
            </w:r>
            <w:r w:rsidR="00402D1E" w:rsidRPr="00402D1E">
              <w:rPr>
                <w:rFonts w:ascii="Arial" w:hAnsi="Arial" w:cs="Arial"/>
                <w:noProof/>
                <w:webHidden/>
                <w:sz w:val="24"/>
              </w:rPr>
              <w:fldChar w:fldCharType="end"/>
            </w:r>
          </w:hyperlink>
        </w:p>
        <w:p w:rsidR="00402D1E" w:rsidRPr="00402D1E" w:rsidRDefault="00000000">
          <w:pPr>
            <w:pStyle w:val="TOC1"/>
            <w:tabs>
              <w:tab w:val="left" w:pos="440"/>
              <w:tab w:val="right" w:leader="dot" w:pos="9350"/>
            </w:tabs>
            <w:rPr>
              <w:rFonts w:ascii="Arial" w:hAnsi="Arial" w:cs="Arial"/>
              <w:noProof/>
              <w:sz w:val="24"/>
            </w:rPr>
          </w:pPr>
          <w:hyperlink w:anchor="_Toc161058208" w:history="1">
            <w:r w:rsidR="00402D1E" w:rsidRPr="00402D1E">
              <w:rPr>
                <w:rStyle w:val="Hyperlink"/>
                <w:rFonts w:ascii="Arial" w:hAnsi="Arial" w:cs="Arial"/>
                <w:noProof/>
                <w:sz w:val="24"/>
              </w:rPr>
              <w:t>5.</w:t>
            </w:r>
            <w:r w:rsidR="00402D1E" w:rsidRPr="00402D1E">
              <w:rPr>
                <w:rFonts w:ascii="Arial" w:hAnsi="Arial" w:cs="Arial"/>
                <w:noProof/>
                <w:sz w:val="24"/>
              </w:rPr>
              <w:tab/>
            </w:r>
            <w:r w:rsidR="00402D1E" w:rsidRPr="00402D1E">
              <w:rPr>
                <w:rStyle w:val="Hyperlink"/>
                <w:rFonts w:ascii="Arial" w:hAnsi="Arial" w:cs="Arial"/>
                <w:noProof/>
                <w:sz w:val="24"/>
              </w:rPr>
              <w:t>CONCLUSION</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_Toc161058208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10</w:t>
            </w:r>
            <w:r w:rsidR="00402D1E" w:rsidRPr="00402D1E">
              <w:rPr>
                <w:rFonts w:ascii="Arial" w:hAnsi="Arial" w:cs="Arial"/>
                <w:noProof/>
                <w:webHidden/>
                <w:sz w:val="24"/>
              </w:rPr>
              <w:fldChar w:fldCharType="end"/>
            </w:r>
          </w:hyperlink>
        </w:p>
        <w:p w:rsidR="00402D1E" w:rsidRPr="00402D1E" w:rsidRDefault="00000000">
          <w:pPr>
            <w:pStyle w:val="TOC1"/>
            <w:tabs>
              <w:tab w:val="left" w:pos="440"/>
              <w:tab w:val="right" w:leader="dot" w:pos="9350"/>
            </w:tabs>
            <w:rPr>
              <w:rFonts w:ascii="Arial" w:hAnsi="Arial" w:cs="Arial"/>
              <w:noProof/>
              <w:sz w:val="24"/>
            </w:rPr>
          </w:pPr>
          <w:hyperlink w:anchor="_Toc161058209" w:history="1">
            <w:r w:rsidR="00402D1E" w:rsidRPr="00402D1E">
              <w:rPr>
                <w:rStyle w:val="Hyperlink"/>
                <w:rFonts w:ascii="Arial" w:hAnsi="Arial" w:cs="Arial"/>
                <w:noProof/>
                <w:sz w:val="24"/>
              </w:rPr>
              <w:t>6.</w:t>
            </w:r>
            <w:r w:rsidR="00402D1E" w:rsidRPr="00402D1E">
              <w:rPr>
                <w:rFonts w:ascii="Arial" w:hAnsi="Arial" w:cs="Arial"/>
                <w:noProof/>
                <w:sz w:val="24"/>
              </w:rPr>
              <w:tab/>
            </w:r>
            <w:r w:rsidR="00402D1E" w:rsidRPr="00402D1E">
              <w:rPr>
                <w:rStyle w:val="Hyperlink"/>
                <w:rFonts w:ascii="Arial" w:hAnsi="Arial" w:cs="Arial"/>
                <w:noProof/>
                <w:sz w:val="24"/>
              </w:rPr>
              <w:t>RECOMMENDATIONS</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_Toc161058209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11</w:t>
            </w:r>
            <w:r w:rsidR="00402D1E" w:rsidRPr="00402D1E">
              <w:rPr>
                <w:rFonts w:ascii="Arial" w:hAnsi="Arial" w:cs="Arial"/>
                <w:noProof/>
                <w:webHidden/>
                <w:sz w:val="24"/>
              </w:rPr>
              <w:fldChar w:fldCharType="end"/>
            </w:r>
          </w:hyperlink>
        </w:p>
        <w:p w:rsidR="00402D1E" w:rsidRPr="00402D1E" w:rsidRDefault="00000000">
          <w:pPr>
            <w:pStyle w:val="TOC1"/>
            <w:tabs>
              <w:tab w:val="left" w:pos="440"/>
              <w:tab w:val="right" w:leader="dot" w:pos="9350"/>
            </w:tabs>
            <w:rPr>
              <w:rFonts w:ascii="Arial" w:hAnsi="Arial" w:cs="Arial"/>
              <w:noProof/>
              <w:sz w:val="24"/>
            </w:rPr>
          </w:pPr>
          <w:hyperlink w:anchor="_Toc161058210" w:history="1">
            <w:r w:rsidR="00402D1E" w:rsidRPr="00402D1E">
              <w:rPr>
                <w:rStyle w:val="Hyperlink"/>
                <w:rFonts w:ascii="Arial" w:hAnsi="Arial" w:cs="Arial"/>
                <w:noProof/>
                <w:sz w:val="24"/>
              </w:rPr>
              <w:t>7.</w:t>
            </w:r>
            <w:r w:rsidR="00402D1E" w:rsidRPr="00402D1E">
              <w:rPr>
                <w:rFonts w:ascii="Arial" w:hAnsi="Arial" w:cs="Arial"/>
                <w:noProof/>
                <w:sz w:val="24"/>
              </w:rPr>
              <w:tab/>
            </w:r>
            <w:r w:rsidR="00402D1E" w:rsidRPr="00402D1E">
              <w:rPr>
                <w:rStyle w:val="Hyperlink"/>
                <w:rFonts w:ascii="Arial" w:hAnsi="Arial" w:cs="Arial"/>
                <w:noProof/>
                <w:sz w:val="24"/>
              </w:rPr>
              <w:t>REFERENCES</w:t>
            </w:r>
            <w:r w:rsidR="00402D1E" w:rsidRPr="00402D1E">
              <w:rPr>
                <w:rFonts w:ascii="Arial" w:hAnsi="Arial" w:cs="Arial"/>
                <w:noProof/>
                <w:webHidden/>
                <w:sz w:val="24"/>
              </w:rPr>
              <w:tab/>
            </w:r>
            <w:r w:rsidR="00402D1E" w:rsidRPr="00402D1E">
              <w:rPr>
                <w:rFonts w:ascii="Arial" w:hAnsi="Arial" w:cs="Arial"/>
                <w:noProof/>
                <w:webHidden/>
                <w:sz w:val="24"/>
              </w:rPr>
              <w:fldChar w:fldCharType="begin"/>
            </w:r>
            <w:r w:rsidR="00402D1E" w:rsidRPr="00402D1E">
              <w:rPr>
                <w:rFonts w:ascii="Arial" w:hAnsi="Arial" w:cs="Arial"/>
                <w:noProof/>
                <w:webHidden/>
                <w:sz w:val="24"/>
              </w:rPr>
              <w:instrText xml:space="preserve"> PAGEREF _Toc161058210 \h </w:instrText>
            </w:r>
            <w:r w:rsidR="00402D1E" w:rsidRPr="00402D1E">
              <w:rPr>
                <w:rFonts w:ascii="Arial" w:hAnsi="Arial" w:cs="Arial"/>
                <w:noProof/>
                <w:webHidden/>
                <w:sz w:val="24"/>
              </w:rPr>
            </w:r>
            <w:r w:rsidR="00402D1E" w:rsidRPr="00402D1E">
              <w:rPr>
                <w:rFonts w:ascii="Arial" w:hAnsi="Arial" w:cs="Arial"/>
                <w:noProof/>
                <w:webHidden/>
                <w:sz w:val="24"/>
              </w:rPr>
              <w:fldChar w:fldCharType="separate"/>
            </w:r>
            <w:r w:rsidR="00402D1E" w:rsidRPr="00402D1E">
              <w:rPr>
                <w:rFonts w:ascii="Arial" w:hAnsi="Arial" w:cs="Arial"/>
                <w:noProof/>
                <w:webHidden/>
                <w:sz w:val="24"/>
              </w:rPr>
              <w:t>12</w:t>
            </w:r>
            <w:r w:rsidR="00402D1E" w:rsidRPr="00402D1E">
              <w:rPr>
                <w:rFonts w:ascii="Arial" w:hAnsi="Arial" w:cs="Arial"/>
                <w:noProof/>
                <w:webHidden/>
                <w:sz w:val="24"/>
              </w:rPr>
              <w:fldChar w:fldCharType="end"/>
            </w:r>
          </w:hyperlink>
        </w:p>
        <w:p w:rsidR="00402D1E" w:rsidRPr="00402D1E" w:rsidRDefault="00402D1E">
          <w:pPr>
            <w:rPr>
              <w:rFonts w:ascii="Arial" w:hAnsi="Arial" w:cs="Arial"/>
              <w:sz w:val="24"/>
            </w:rPr>
          </w:pPr>
          <w:r w:rsidRPr="00402D1E">
            <w:rPr>
              <w:rFonts w:ascii="Arial" w:hAnsi="Arial" w:cs="Arial"/>
              <w:b/>
              <w:bCs/>
              <w:noProof/>
              <w:sz w:val="24"/>
            </w:rPr>
            <w:fldChar w:fldCharType="end"/>
          </w:r>
        </w:p>
      </w:sdtContent>
    </w:sdt>
    <w:p w:rsidR="00402D1E" w:rsidRDefault="00402D1E" w:rsidP="00D5490D">
      <w:pPr>
        <w:spacing w:line="360" w:lineRule="auto"/>
        <w:jc w:val="center"/>
        <w:rPr>
          <w:rFonts w:ascii="Arial" w:hAnsi="Arial" w:cs="Arial"/>
          <w:b/>
          <w:sz w:val="32"/>
        </w:rPr>
      </w:pPr>
      <w:r>
        <w:rPr>
          <w:rFonts w:ascii="Arial" w:hAnsi="Arial" w:cs="Arial"/>
          <w:b/>
          <w:sz w:val="32"/>
        </w:rPr>
        <w:br w:type="page"/>
      </w:r>
    </w:p>
    <w:p w:rsidR="00D5490D" w:rsidRDefault="00D5490D" w:rsidP="00D5490D">
      <w:pPr>
        <w:spacing w:line="360" w:lineRule="auto"/>
        <w:jc w:val="center"/>
        <w:rPr>
          <w:rFonts w:ascii="Arial" w:hAnsi="Arial" w:cs="Arial"/>
          <w:b/>
          <w:sz w:val="32"/>
        </w:rPr>
      </w:pPr>
      <w:r w:rsidRPr="00680010">
        <w:rPr>
          <w:rFonts w:ascii="Arial" w:hAnsi="Arial" w:cs="Arial"/>
          <w:b/>
          <w:sz w:val="32"/>
        </w:rPr>
        <w:lastRenderedPageBreak/>
        <w:t>Living with Care: The Older Person</w:t>
      </w:r>
    </w:p>
    <w:p w:rsidR="00D5490D" w:rsidRPr="00680010" w:rsidRDefault="00D5490D" w:rsidP="00D5490D">
      <w:pPr>
        <w:spacing w:line="360" w:lineRule="auto"/>
        <w:jc w:val="center"/>
        <w:rPr>
          <w:rFonts w:ascii="Arial" w:hAnsi="Arial" w:cs="Arial"/>
          <w:b/>
          <w:sz w:val="32"/>
        </w:rPr>
      </w:pPr>
      <w:r>
        <w:rPr>
          <w:rFonts w:ascii="Arial" w:hAnsi="Arial" w:cs="Arial"/>
          <w:b/>
          <w:sz w:val="32"/>
        </w:rPr>
        <w:t>USAYLA</w:t>
      </w:r>
    </w:p>
    <w:p w:rsidR="00AB7CB8" w:rsidRPr="00266B37" w:rsidRDefault="00266B37" w:rsidP="00266B37">
      <w:pPr>
        <w:pStyle w:val="Heading1"/>
      </w:pPr>
      <w:bookmarkStart w:id="0" w:name="_Toc161058195"/>
      <w:r w:rsidRPr="00266B37">
        <w:t>INTRODUCTION</w:t>
      </w:r>
      <w:bookmarkEnd w:id="0"/>
      <w:r w:rsidR="00D5490D">
        <w:t xml:space="preserve"> </w:t>
      </w:r>
    </w:p>
    <w:p w:rsidR="009572C4" w:rsidRPr="00266B37" w:rsidRDefault="009572C4" w:rsidP="0005391C">
      <w:pPr>
        <w:spacing w:after="0" w:line="360" w:lineRule="auto"/>
        <w:jc w:val="both"/>
        <w:rPr>
          <w:rFonts w:ascii="Arial" w:hAnsi="Arial" w:cs="Arial"/>
          <w:sz w:val="24"/>
          <w:szCs w:val="24"/>
        </w:rPr>
      </w:pPr>
      <w:r w:rsidRPr="00266B37">
        <w:rPr>
          <w:rFonts w:ascii="Arial" w:hAnsi="Arial" w:cs="Arial"/>
          <w:sz w:val="24"/>
          <w:szCs w:val="24"/>
        </w:rPr>
        <w:t>During the later phases of life, both physical and mental health typically deteriorate. One's physical well-being declines at a faster rate over time compared to their perception of their own health</w:t>
      </w:r>
      <w:r w:rsidR="00792914" w:rsidRPr="00266B37">
        <w:rPr>
          <w:rFonts w:ascii="Arial" w:hAnsi="Arial" w:cs="Arial"/>
          <w:sz w:val="24"/>
          <w:szCs w:val="24"/>
        </w:rPr>
        <w:t xml:space="preserve"> </w:t>
      </w:r>
      <w:r w:rsidR="00792914" w:rsidRPr="00266B37">
        <w:rPr>
          <w:rFonts w:ascii="Arial" w:hAnsi="Arial" w:cs="Arial"/>
          <w:sz w:val="24"/>
          <w:szCs w:val="24"/>
        </w:rPr>
        <w:fldChar w:fldCharType="begin"/>
      </w:r>
      <w:r w:rsidR="00792914" w:rsidRPr="00266B37">
        <w:rPr>
          <w:rFonts w:ascii="Arial" w:hAnsi="Arial" w:cs="Arial"/>
          <w:sz w:val="24"/>
          <w:szCs w:val="24"/>
        </w:rPr>
        <w:instrText xml:space="preserve"> ADDIN EN.CITE &lt;EndNote&gt;&lt;Cite&gt;&lt;Author&gt;Diener&lt;/Author&gt;&lt;Year&gt;2011&lt;/Year&gt;&lt;RecNum&gt;735&lt;/RecNum&gt;&lt;DisplayText&gt;(Diener &amp;amp; Chan, 2011)&lt;/DisplayText&gt;&lt;record&gt;&lt;rec-number&gt;735&lt;/rec-number&gt;&lt;foreign-keys&gt;&lt;key app="EN" db-id="sz5trpt98922r4eze0opts290ddrd9sfvwpf" timestamp="1710145478"&gt;735&lt;/key&gt;&lt;/foreign-keys&gt;&lt;ref-type name="Journal Article"&gt;17&lt;/ref-type&gt;&lt;contributors&gt;&lt;authors&gt;&lt;author&gt;Diener, Ed&lt;/author&gt;&lt;author&gt;Chan, Micaela Y&lt;/author&gt;&lt;/authors&gt;&lt;/contributors&gt;&lt;titles&gt;&lt;title&gt;Happy people live longer: Subjective well</w:instrText>
      </w:r>
      <w:r w:rsidR="00792914" w:rsidRPr="00266B37">
        <w:rPr>
          <w:rFonts w:ascii="Cambria Math" w:hAnsi="Cambria Math" w:cs="Cambria Math"/>
          <w:sz w:val="24"/>
          <w:szCs w:val="24"/>
        </w:rPr>
        <w:instrText>‐</w:instrText>
      </w:r>
      <w:r w:rsidR="00792914" w:rsidRPr="00266B37">
        <w:rPr>
          <w:rFonts w:ascii="Arial" w:hAnsi="Arial" w:cs="Arial"/>
          <w:sz w:val="24"/>
          <w:szCs w:val="24"/>
        </w:rPr>
        <w:instrText>being contributes to health and longevity&lt;/title&gt;&lt;secondary-title&gt;Applied Psychology: Health and Well</w:instrText>
      </w:r>
      <w:r w:rsidR="00792914" w:rsidRPr="00266B37">
        <w:rPr>
          <w:rFonts w:ascii="Cambria Math" w:hAnsi="Cambria Math" w:cs="Cambria Math"/>
          <w:sz w:val="24"/>
          <w:szCs w:val="24"/>
        </w:rPr>
        <w:instrText>‐</w:instrText>
      </w:r>
      <w:r w:rsidR="00792914" w:rsidRPr="00266B37">
        <w:rPr>
          <w:rFonts w:ascii="Arial" w:hAnsi="Arial" w:cs="Arial"/>
          <w:sz w:val="24"/>
          <w:szCs w:val="24"/>
        </w:rPr>
        <w:instrText>Being&lt;/secondary-title&gt;&lt;/titles&gt;&lt;periodical&gt;&lt;full-title&gt;Applied Psychology: Health and Well</w:instrText>
      </w:r>
      <w:r w:rsidR="00792914" w:rsidRPr="00266B37">
        <w:rPr>
          <w:rFonts w:ascii="Cambria Math" w:hAnsi="Cambria Math" w:cs="Cambria Math"/>
          <w:sz w:val="24"/>
          <w:szCs w:val="24"/>
        </w:rPr>
        <w:instrText>‐</w:instrText>
      </w:r>
      <w:r w:rsidR="00792914" w:rsidRPr="00266B37">
        <w:rPr>
          <w:rFonts w:ascii="Arial" w:hAnsi="Arial" w:cs="Arial"/>
          <w:sz w:val="24"/>
          <w:szCs w:val="24"/>
        </w:rPr>
        <w:instrText>Being&lt;/full-title&gt;&lt;/periodical&gt;&lt;pages&gt;1-43&lt;/pages&gt;&lt;volume&gt;3&lt;/volume&gt;&lt;number&gt;1&lt;/number&gt;&lt;dates&gt;&lt;year&gt;2011&lt;/year&gt;&lt;/dates&gt;&lt;isbn&gt;1758-0846&lt;/isbn&gt;&lt;urls&gt;&lt;/urls&gt;&lt;/record&gt;&lt;/Cite&gt;&lt;/EndNote&gt;</w:instrText>
      </w:r>
      <w:r w:rsidR="00792914" w:rsidRPr="00266B37">
        <w:rPr>
          <w:rFonts w:ascii="Arial" w:hAnsi="Arial" w:cs="Arial"/>
          <w:sz w:val="24"/>
          <w:szCs w:val="24"/>
        </w:rPr>
        <w:fldChar w:fldCharType="separate"/>
      </w:r>
      <w:r w:rsidR="00792914" w:rsidRPr="00266B37">
        <w:rPr>
          <w:rFonts w:ascii="Arial" w:hAnsi="Arial" w:cs="Arial"/>
          <w:noProof/>
          <w:sz w:val="24"/>
          <w:szCs w:val="24"/>
        </w:rPr>
        <w:t>(Diener &amp; Chan, 2011)</w:t>
      </w:r>
      <w:r w:rsidR="00792914" w:rsidRPr="00266B37">
        <w:rPr>
          <w:rFonts w:ascii="Arial" w:hAnsi="Arial" w:cs="Arial"/>
          <w:sz w:val="24"/>
          <w:szCs w:val="24"/>
        </w:rPr>
        <w:fldChar w:fldCharType="end"/>
      </w:r>
      <w:r w:rsidRPr="00266B37">
        <w:rPr>
          <w:rFonts w:ascii="Arial" w:hAnsi="Arial" w:cs="Arial"/>
          <w:sz w:val="24"/>
          <w:szCs w:val="24"/>
        </w:rPr>
        <w:t>. When evaluating their own health, individuals participate in many psychological processes that lead to the widening disparity. Abundant data indicates that health deteriorates as one ages. There exists a robust association between an individual's subjective perception of their health and their own evaluation of their health, and their real health condition as determined by more concrete measurements</w:t>
      </w:r>
      <w:r w:rsidR="00792914" w:rsidRPr="00266B37">
        <w:rPr>
          <w:rFonts w:ascii="Arial" w:hAnsi="Arial" w:cs="Arial"/>
          <w:sz w:val="24"/>
          <w:szCs w:val="24"/>
        </w:rPr>
        <w:t xml:space="preserve"> </w:t>
      </w:r>
      <w:r w:rsidR="00792914" w:rsidRPr="00266B37">
        <w:rPr>
          <w:rFonts w:ascii="Arial" w:hAnsi="Arial" w:cs="Arial"/>
          <w:sz w:val="24"/>
          <w:szCs w:val="24"/>
        </w:rPr>
        <w:fldChar w:fldCharType="begin"/>
      </w:r>
      <w:r w:rsidR="00792914" w:rsidRPr="00266B37">
        <w:rPr>
          <w:rFonts w:ascii="Arial" w:hAnsi="Arial" w:cs="Arial"/>
          <w:sz w:val="24"/>
          <w:szCs w:val="24"/>
        </w:rPr>
        <w:instrText xml:space="preserve"> ADDIN EN.CITE &lt;EndNote&gt;&lt;Cite&gt;&lt;Author&gt;Diener&lt;/Author&gt;&lt;Year&gt;2013&lt;/Year&gt;&lt;RecNum&gt;736&lt;/RecNum&gt;&lt;DisplayText&gt;(Diener &amp;amp; Fujita, 2013)&lt;/DisplayText&gt;&lt;record&gt;&lt;rec-number&gt;736&lt;/rec-number&gt;&lt;foreign-keys&gt;&lt;key app="EN" db-id="sz5trpt98922r4eze0opts290ddrd9sfvwpf" timestamp="1710145529"&gt;736&lt;/key&gt;&lt;/foreign-keys&gt;&lt;ref-type name="Book Section"&gt;5&lt;/ref-type&gt;&lt;contributors&gt;&lt;authors&gt;&lt;author&gt;Diener, Ed&lt;/author&gt;&lt;author&gt;Fujita, Frank&lt;/author&gt;&lt;/authors&gt;&lt;/contributors&gt;&lt;titles&gt;&lt;title&gt;Social Comparisons and Subjective Weil-Being&lt;/title&gt;&lt;secondary-title&gt;Health, coping, and well-being&lt;/secondary-title&gt;&lt;/titles&gt;&lt;pages&gt;329-357&lt;/pages&gt;&lt;dates&gt;&lt;year&gt;2013&lt;/year&gt;&lt;/dates&gt;&lt;publisher&gt;Psychology Press&lt;/publisher&gt;&lt;urls&gt;&lt;/urls&gt;&lt;/record&gt;&lt;/Cite&gt;&lt;/EndNote&gt;</w:instrText>
      </w:r>
      <w:r w:rsidR="00792914" w:rsidRPr="00266B37">
        <w:rPr>
          <w:rFonts w:ascii="Arial" w:hAnsi="Arial" w:cs="Arial"/>
          <w:sz w:val="24"/>
          <w:szCs w:val="24"/>
        </w:rPr>
        <w:fldChar w:fldCharType="separate"/>
      </w:r>
      <w:r w:rsidR="00792914" w:rsidRPr="00266B37">
        <w:rPr>
          <w:rFonts w:ascii="Arial" w:hAnsi="Arial" w:cs="Arial"/>
          <w:noProof/>
          <w:sz w:val="24"/>
          <w:szCs w:val="24"/>
        </w:rPr>
        <w:t>(Diener &amp; Fujita, 2013)</w:t>
      </w:r>
      <w:r w:rsidR="00792914" w:rsidRPr="00266B37">
        <w:rPr>
          <w:rFonts w:ascii="Arial" w:hAnsi="Arial" w:cs="Arial"/>
          <w:sz w:val="24"/>
          <w:szCs w:val="24"/>
        </w:rPr>
        <w:fldChar w:fldCharType="end"/>
      </w:r>
      <w:r w:rsidRPr="00266B37">
        <w:rPr>
          <w:rFonts w:ascii="Arial" w:hAnsi="Arial" w:cs="Arial"/>
          <w:sz w:val="24"/>
          <w:szCs w:val="24"/>
        </w:rPr>
        <w:t>. Several authors have suggested that older individuals are more prone to report their functional health, physical ailments, and mental well-being when asked to predict their own health assessments.</w:t>
      </w:r>
    </w:p>
    <w:p w:rsidR="009572C4" w:rsidRPr="00266B37" w:rsidRDefault="00266B37" w:rsidP="00266B37">
      <w:pPr>
        <w:pStyle w:val="Heading2"/>
      </w:pPr>
      <w:bookmarkStart w:id="1" w:name="_Toc161058196"/>
      <w:r>
        <w:t>1.1</w:t>
      </w:r>
      <w:r>
        <w:tab/>
      </w:r>
      <w:r w:rsidRPr="00266B37">
        <w:t>AGING DEMOGRAPHICS IN THE UNITED KINGDOM</w:t>
      </w:r>
      <w:bookmarkEnd w:id="1"/>
    </w:p>
    <w:p w:rsidR="009572C4" w:rsidRPr="00266B37" w:rsidRDefault="009572C4" w:rsidP="0005391C">
      <w:pPr>
        <w:spacing w:after="0" w:line="360" w:lineRule="auto"/>
        <w:jc w:val="both"/>
        <w:rPr>
          <w:rFonts w:ascii="Arial" w:eastAsia="Times New Roman" w:hAnsi="Arial" w:cs="Arial"/>
          <w:sz w:val="24"/>
          <w:szCs w:val="24"/>
        </w:rPr>
      </w:pPr>
      <w:r w:rsidRPr="00266B37">
        <w:rPr>
          <w:rFonts w:ascii="Arial" w:eastAsia="Times New Roman" w:hAnsi="Arial" w:cs="Arial"/>
          <w:sz w:val="24"/>
          <w:szCs w:val="24"/>
        </w:rPr>
        <w:t>The management of an ageing population by healthcare systems poses a significant challenge for corporations worldwide</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&lt;EndNote&gt;&lt;Cite&gt;&lt;Author&gt;Chand&lt;/Author&gt;&lt;Year&gt;2014&lt;/Year&gt;&lt;RecNum&gt;737&lt;/RecNum&gt;&lt;DisplayText&gt;(Chand &amp;amp; Tung, 2014)&lt;/DisplayText&gt;&lt;record&gt;&lt;rec-number&gt;737&lt;/rec-number&gt;&lt;foreign-keys&gt;&lt;key app="EN" db-id="sz5trpt98922r4eze0opts290ddrd9sfvwpf" timestamp="1710145566"&gt;737&lt;/key&gt;&lt;/foreign-keys&gt;&lt;ref-type name="Journal Article"&gt;17&lt;/ref-type&gt;&lt;contributors&gt;&lt;authors&gt;&lt;author&gt;Chand, Masud&lt;/author&gt;&lt;author&gt;Tung, Rosalie L&lt;/author&gt;&lt;/authors&gt;&lt;/contributors&gt;&lt;titles&gt;&lt;title&gt;The aging of the world&amp;apos;s population and its effects on global business&lt;/title&gt;&lt;secondary-title&gt;Academy of Management Perspectives&lt;/secondary-title&gt;&lt;/titles&gt;&lt;periodical&gt;&lt;full-title&gt;Academy of Management Perspectives&lt;/full-title&gt;&lt;/periodical&gt;&lt;pages&gt;409-429&lt;/pages&gt;&lt;volume&gt;28&lt;/volume&gt;&lt;number&gt;4&lt;/number&gt;&lt;dates&gt;&lt;year&gt;2014&lt;/year&gt;&lt;/dates&gt;&lt;isbn&gt;1558-9080&lt;/isbn&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(Chand &amp; Tung, 2014)</w:t>
      </w:r>
      <w:r w:rsidR="00792914" w:rsidRPr="00266B37">
        <w:rPr>
          <w:rFonts w:ascii="Arial" w:eastAsia="Times New Roman" w:hAnsi="Arial" w:cs="Arial"/>
          <w:sz w:val="24"/>
          <w:szCs w:val="24"/>
        </w:rPr>
        <w:fldChar w:fldCharType="end"/>
      </w:r>
      <w:r w:rsidRPr="00266B37">
        <w:rPr>
          <w:rFonts w:ascii="Arial" w:eastAsia="Times New Roman" w:hAnsi="Arial" w:cs="Arial"/>
          <w:sz w:val="24"/>
          <w:szCs w:val="24"/>
        </w:rPr>
        <w:t>. There is a direct relationship between increasing age and an increase in healthcare costs, and it is expected that healthcare expenses for the very elderly will make up a larger portion of healthcare budgets in the future. Expenditure on the National Health Service (NHS) in the United Kingdom is projected to stay the same for a minimum of three additional years</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&lt;EndNote&gt;&lt;Cite&gt;&lt;Author&gt;Miles&lt;/Author&gt;&lt;Year&gt;2021&lt;/Year&gt;&lt;RecNum&gt;738&lt;/RecNum&gt;&lt;DisplayText&gt;(Cylus et al., 2015; Miles et al., 2021)&lt;/DisplayText&gt;&lt;record&gt;&lt;rec-number&gt;738&lt;/rec-number&gt;&lt;foreign-keys&gt;&lt;key app="EN" db-id="sz5trpt98922r4eze0opts290ddrd9sfvwpf" timestamp="1710145605"&gt;738&lt;/key&gt;&lt;/foreign-keys&gt;&lt;ref-type name="Journal Article"&gt;17&lt;/ref-type&gt;&lt;contributors&gt;&lt;authors&gt;&lt;author&gt;Miles, David K&lt;/author&gt;&lt;author&gt;Stedman, Michael&lt;/author&gt;&lt;author&gt;Heald, Adrian H&lt;/author&gt;&lt;/authors&gt;&lt;/contributors&gt;&lt;titles&gt;&lt;title&gt;“Stay at Home, Protect the National Health Service, Save Lives”: A cost benefit analysis of the lockdown in the United Kingdom&lt;/title&gt;&lt;secondary-title&gt;International Journal of Clinical Practice&lt;/secondary-title&gt;&lt;/titles&gt;&lt;periodical&gt;&lt;full-title&gt;International Journal of Clinical Practice&lt;/full-title&gt;&lt;/periodical&gt;&lt;pages&gt;e13674&lt;/pages&gt;&lt;volume&gt;75&lt;/volume&gt;&lt;number&gt;3&lt;/number&gt;&lt;dates&gt;&lt;year&gt;2021&lt;/year&gt;&lt;/dates&gt;&lt;isbn&gt;1368-5031&lt;/isbn&gt;&lt;urls&gt;&lt;/urls&gt;&lt;/record&gt;&lt;/Cite&gt;&lt;Cite&gt;&lt;Author&gt;Cylus&lt;/Author&gt;&lt;Year&gt;2015&lt;/Year&gt;&lt;RecNum&gt;739&lt;/RecNum&gt;&lt;record&gt;&lt;rec-number&gt;739&lt;/rec-number&gt;&lt;foreign-keys&gt;&lt;key app="EN" db-id="sz5trpt98922r4eze0opts290ddrd9sfvwpf" timestamp="1710145622"&gt;739&lt;/key&gt;&lt;/foreign-keys&gt;&lt;ref-type name="Journal Article"&gt;17&lt;/ref-type&gt;&lt;contributors&gt;&lt;authors&gt;&lt;author&gt;Cylus, Jonathan&lt;/author&gt;&lt;author&gt;Richardson, Erica&lt;/author&gt;&lt;author&gt;Findley, Lisa&lt;/author&gt;&lt;author&gt;Longley, Marcus&lt;/author&gt;&lt;author&gt;O&amp;apos;Neill, Ciaran&lt;/author&gt;&lt;author&gt;Steel, David&lt;/author&gt;&lt;author&gt;World Health Organization&lt;/author&gt;&lt;/authors&gt;&lt;/contributors&gt;&lt;titles&gt;&lt;title&gt;United Kingdom: health system review&lt;/title&gt;&lt;/titles&gt;&lt;dates&gt;&lt;year&gt;2015&lt;/year&gt;&lt;/dates&gt;&lt;isbn&gt;1817-6127&lt;/isbn&gt;&lt;urls&gt;&lt;/urls&gt;&lt;/record&gt;&lt;/Cite&gt;&lt;/EndNote&gt;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(Cylus et al., 2015; Miles et al., 2021)</w:t>
      </w:r>
      <w:r w:rsidR="00792914" w:rsidRPr="00266B37">
        <w:rPr>
          <w:rFonts w:ascii="Arial" w:eastAsia="Times New Roman" w:hAnsi="Arial" w:cs="Arial"/>
          <w:sz w:val="24"/>
          <w:szCs w:val="24"/>
        </w:rPr>
        <w:fldChar w:fldCharType="end"/>
      </w:r>
      <w:r w:rsidRPr="00266B37">
        <w:rPr>
          <w:rFonts w:ascii="Arial" w:eastAsia="Times New Roman" w:hAnsi="Arial" w:cs="Arial"/>
          <w:sz w:val="24"/>
          <w:szCs w:val="24"/>
        </w:rPr>
        <w:t>. Assuming inflation rates remain constant, this would lead to an annual decrease in spending of approximately 1.6% in real terms</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&lt;EndNote&gt;&lt;Cite&gt;&lt;Author&gt;Jump&lt;/Author&gt;&lt;Year&gt;1980&lt;/Year&gt;&lt;RecNum&gt;740&lt;/RecNum&gt;&lt;DisplayText&gt;(Jump, 1980)&lt;/DisplayText&gt;&lt;record&gt;&lt;rec-number&gt;740&lt;/rec-number&gt;&lt;foreign-keys&gt;&lt;key app="EN" db-id="sz5trpt98922r4eze0opts290ddrd9sfvwpf" timestamp="1710145649"&gt;740&lt;/key&gt;&lt;/foreign-keys&gt;&lt;ref-type name="Journal Article"&gt;17&lt;/ref-type&gt;&lt;contributors&gt;&lt;authors&gt;&lt;author&gt;Jump, Gregory V&lt;/author&gt;&lt;/authors&gt;&lt;/contributors&gt;&lt;titles&gt;&lt;title&gt;Interest rates, inflation expectations, and spurious elements in measured real income and saving&lt;/title&gt;&lt;secondary-title&gt;The American Economic Review&lt;/secondary-title&gt;&lt;/titles&gt;&lt;periodical&gt;&lt;full-title&gt;The American Economic Review&lt;/full-title&gt;&lt;/periodical&gt;&lt;pages&gt;990-1004&lt;/pages&gt;&lt;volume&gt;70&lt;/volume&gt;&lt;number&gt;5&lt;/number&gt;&lt;dates&gt;&lt;year&gt;1980&lt;/year&gt;&lt;/dates&gt;&lt;isbn&gt;0002-8282&lt;/isbn&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(Jump, 1980)</w:t>
      </w:r>
      <w:r w:rsidR="00792914" w:rsidRPr="00266B37">
        <w:rPr>
          <w:rFonts w:ascii="Arial" w:eastAsia="Times New Roman" w:hAnsi="Arial" w:cs="Arial"/>
          <w:sz w:val="24"/>
          <w:szCs w:val="24"/>
        </w:rPr>
        <w:fldChar w:fldCharType="end"/>
      </w:r>
      <w:r w:rsidRPr="00266B37">
        <w:rPr>
          <w:rFonts w:ascii="Arial" w:eastAsia="Times New Roman" w:hAnsi="Arial" w:cs="Arial"/>
          <w:sz w:val="24"/>
          <w:szCs w:val="24"/>
        </w:rPr>
        <w:t xml:space="preserve">. </w:t>
      </w:r>
    </w:p>
    <w:p w:rsidR="009572C4" w:rsidRDefault="0005391C" w:rsidP="00266B37">
      <w:pPr>
        <w:spacing w:before="240" w:line="360" w:lineRule="auto"/>
        <w:jc w:val="both"/>
        <w:rPr>
          <w:rFonts w:ascii="Arial" w:eastAsia="Times New Roman" w:hAnsi="Arial" w:cs="Arial"/>
          <w:sz w:val="24"/>
          <w:szCs w:val="24"/>
        </w:rPr>
      </w:pPr>
      <w:r w:rsidRPr="00266B37">
        <w:rPr>
          <w:rFonts w:ascii="Arial" w:eastAsia="Times New Roman" w:hAnsi="Arial" w:cs="Arial"/>
          <w:sz w:val="24"/>
          <w:szCs w:val="24"/>
        </w:rPr>
        <w:t>Organizations</w:t>
      </w:r>
      <w:r w:rsidR="009572C4" w:rsidRPr="00266B37">
        <w:rPr>
          <w:rFonts w:ascii="Arial" w:eastAsia="Times New Roman" w:hAnsi="Arial" w:cs="Arial"/>
          <w:sz w:val="24"/>
          <w:szCs w:val="24"/>
        </w:rPr>
        <w:t xml:space="preserve"> responsible for commissioning are actively striving to forecast the repercussions of a growing elderly population on future expenditures and the consequent changes in budgetary preferences, with the aim of effectively handling future demands and costs</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&lt;EndNote&gt;&lt;Cite&gt;&lt;Author&gt;Hovey&lt;/Author&gt;&lt;Year&gt;1999&lt;/Year&gt;&lt;RecNum&gt;741&lt;/RecNum&gt;&lt;DisplayText&gt;(Hovey, 1999)&lt;/DisplayText&gt;&lt;record&gt;&lt;rec-number&gt;741&lt;/rec-number&gt;&lt;foreign-keys&gt;&lt;key app="EN" db-id="sz5trpt98922r4eze0opts290ddrd9sfvwpf" timestamp="1710145683"&gt;741&lt;/key&gt;&lt;/foreign-keys&gt;&lt;ref-type name="Journal Article"&gt;17&lt;/ref-type&gt;&lt;contributors&gt;&lt;authors&gt;&lt;author&gt;Hovey, Harold A&lt;/author&gt;&lt;/authors&gt;&lt;/contributors&gt;&lt;titles&gt;&lt;title&gt;State spending for higher education in the next decade: The battle to sustain current support&lt;/title&gt;&lt;/titles&gt;&lt;dates&gt;&lt;year&gt;1999&lt;/year&gt;&lt;/dates&gt;&lt;urls&gt;&lt;/urls&gt;&lt;/record&gt;&lt;/Cite&gt;&lt;/EndNote&gt;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(Hovey, 1999)</w:t>
      </w:r>
      <w:r w:rsidR="00792914" w:rsidRPr="00266B37">
        <w:rPr>
          <w:rFonts w:ascii="Arial" w:eastAsia="Times New Roman" w:hAnsi="Arial" w:cs="Arial"/>
          <w:sz w:val="24"/>
          <w:szCs w:val="24"/>
        </w:rPr>
        <w:fldChar w:fldCharType="end"/>
      </w:r>
      <w:r w:rsidR="009572C4" w:rsidRPr="00266B37">
        <w:rPr>
          <w:rFonts w:ascii="Arial" w:eastAsia="Times New Roman" w:hAnsi="Arial" w:cs="Arial"/>
          <w:sz w:val="24"/>
          <w:szCs w:val="24"/>
        </w:rPr>
        <w:t>. Multiple Primary Care Trusts (PCTs) within the National Health Service (NHS) have provided local estimates as a component of the World Class Commissioning process</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&lt;EndNote&gt;&lt;Cite&gt;&lt;Author&gt;Sheaff&lt;/Author&gt;&lt;Year&gt;2015&lt;/Year&gt;&lt;RecNum&gt;742&lt;/RecNum&gt;&lt;DisplayText&gt;(Sheaff et al., 2015)&lt;/DisplayText&gt;&lt;record&gt;&lt;rec-number&gt;742&lt;/rec-number&gt;&lt;foreign-keys&gt;&lt;key app="EN" db-id="sz5trpt98922r4eze0opts290ddrd9sfvwpf" timestamp="1710145710"&gt;742&lt;/key&gt;&lt;/foreign-keys&gt;&lt;ref-type name="Journal Article"&gt;17&lt;/ref-type&gt;&lt;contributors&gt;&lt;authors&gt;&lt;author&gt;Sheaff, Rod&lt;/author&gt;&lt;author&gt;Charles, Nigel&lt;/author&gt;&lt;author&gt;Mahon, Ann&lt;/author&gt;&lt;author&gt;Chambers, Naomi&lt;/author&gt;&lt;author&gt;Morando, Verdiana&lt;/author&gt;&lt;author&gt;Exworthy, Mark&lt;/author&gt;&lt;author&gt;Byng, Richard&lt;/author&gt;&lt;author&gt;Mannion, Russell&lt;/author&gt;&lt;author&gt;Llewellyn, Sue&lt;/author&gt;&lt;/authors&gt;&lt;/contributors&gt;&lt;titles&gt;&lt;title&gt;NHS commissioning practice and health system governance: a mixed-methods realistic evaluation&lt;/title&gt;&lt;/titles&gt;&lt;dates&gt;&lt;year&gt;2015&lt;/year&gt;&lt;/dates&gt;&lt;isbn&gt;2050-4349&lt;/isbn&gt;&lt;urls&gt;&lt;/urls&gt;&lt;/record&gt;&lt;/Cite&gt;&lt;/EndNote&gt;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(Sheaff et al., 2015)</w:t>
      </w:r>
      <w:r w:rsidR="00792914" w:rsidRPr="00266B37">
        <w:rPr>
          <w:rFonts w:ascii="Arial" w:eastAsia="Times New Roman" w:hAnsi="Arial" w:cs="Arial"/>
          <w:sz w:val="24"/>
          <w:szCs w:val="24"/>
        </w:rPr>
        <w:fldChar w:fldCharType="end"/>
      </w:r>
      <w:r w:rsidR="009572C4" w:rsidRPr="00266B37">
        <w:rPr>
          <w:rFonts w:ascii="Arial" w:eastAsia="Times New Roman" w:hAnsi="Arial" w:cs="Arial"/>
          <w:sz w:val="24"/>
          <w:szCs w:val="24"/>
        </w:rPr>
        <w:t xml:space="preserve">. These projections rely on models that predict the expenses of healthcare for specific age brackets would be consistent over </w:t>
      </w:r>
      <w:r w:rsidR="009572C4" w:rsidRPr="00266B37">
        <w:rPr>
          <w:rFonts w:ascii="Arial" w:eastAsia="Times New Roman" w:hAnsi="Arial" w:cs="Arial"/>
          <w:sz w:val="24"/>
          <w:szCs w:val="24"/>
        </w:rPr>
        <w:lastRenderedPageBreak/>
        <w:t>time, taking into consideration inflation. This approach fails to consider two well-documented phenomena: morbidity compression and expansion. Additionally, it overlooks the significant increase in healthcare expenditures throughout the later years of life, which can account for around 10% of overall healthcare expenditures</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&lt;EndNote&gt;&lt;Cite&gt;&lt;Author&gt;Lindh&lt;/Author&gt;&lt;Year&gt;2000&lt;/Year&gt;&lt;RecNum&gt;743&lt;/RecNum&gt;&lt;DisplayText&gt;(Lindh &amp;amp; Malmberg, 2000)&lt;/DisplayText&gt;&lt;record&gt;&lt;rec-number&gt;743&lt;/rec-number&gt;&lt;foreign-keys&gt;&lt;key app="EN" db-id="sz5trpt98922r4eze0opts290ddrd9sfvwpf" timestamp="1710145734"&gt;743&lt;/key&gt;&lt;/foreign-keys&gt;&lt;ref-type name="Journal Article"&gt;17&lt;/ref-type&gt;&lt;contributors&gt;&lt;authors&gt;&lt;author&gt;Lindh, Thomas&lt;/author&gt;&lt;author&gt;Malmberg, Bo&lt;/author&gt;&lt;/authors&gt;&lt;/contributors&gt;&lt;titles&gt;&lt;title&gt;Can age structure forecast inflation trends?&lt;/title&gt;&lt;secondary-title&gt;Journal of economics and business&lt;/secondary-title&gt;&lt;/titles&gt;&lt;periodical&gt;&lt;full-title&gt;Journal of economics and business&lt;/full-title&gt;&lt;/periodical&gt;&lt;pages&gt;31-49&lt;/pages&gt;&lt;volume&gt;52&lt;/volume&gt;&lt;number&gt;1-2&lt;/number&gt;&lt;dates&gt;&lt;year&gt;2000&lt;/year&gt;&lt;/dates&gt;&lt;isbn&gt;0148-6195&lt;/isbn&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(Lindh &amp; Malmberg, 2000)</w:t>
      </w:r>
      <w:r w:rsidR="00792914" w:rsidRPr="00266B37">
        <w:rPr>
          <w:rFonts w:ascii="Arial" w:eastAsia="Times New Roman" w:hAnsi="Arial" w:cs="Arial"/>
          <w:sz w:val="24"/>
          <w:szCs w:val="24"/>
        </w:rPr>
        <w:fldChar w:fldCharType="end"/>
      </w:r>
      <w:r w:rsidR="009572C4" w:rsidRPr="00266B37">
        <w:rPr>
          <w:rFonts w:ascii="Arial" w:eastAsia="Times New Roman" w:hAnsi="Arial" w:cs="Arial"/>
          <w:sz w:val="24"/>
          <w:szCs w:val="24"/>
        </w:rPr>
        <w:t>.</w:t>
      </w:r>
    </w:p>
    <w:p w:rsidR="00D5490D" w:rsidRDefault="00D5490D" w:rsidP="00D5490D">
      <w:pPr>
        <w:keepNext/>
        <w:spacing w:before="240" w:line="360" w:lineRule="auto"/>
        <w:jc w:val="both"/>
      </w:pPr>
      <w:r>
        <w:rPr>
          <w:rFonts w:ascii="Arial" w:eastAsia="Times New Roman" w:hAnsi="Arial" w:cs="Arial"/>
          <w:noProof/>
          <w:sz w:val="24"/>
          <w:szCs w:val="24"/>
        </w:rPr>
        <w:drawing>
          <wp:inline distT="0" distB="0" distL="0" distR="0" wp14:anchorId="25E7C41B" wp14:editId="475AF828">
            <wp:extent cx="5943600" cy="21164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c434121.PNG"/>
                    <pic:cNvPicPr/>
                  </pic:nvPicPr>
                  <pic:blipFill>
                    <a:blip r:embed="rId6">
                      <a:extLst>
                        <a:ext uri="{28A0092B-C50C-407E-A947-70E740481C1C}">
                          <a14:useLocalDpi xmlns:a14="http://schemas.microsoft.com/office/drawing/2010/main" val="0"/>
                        </a:ext>
                      </a:extLst>
                    </a:blip>
                    <a:stretch>
                      <a:fillRect/>
                    </a:stretch>
                  </pic:blipFill>
                  <pic:spPr>
                    <a:xfrm>
                      <a:off x="0" y="0"/>
                      <a:ext cx="5943600" cy="2116455"/>
                    </a:xfrm>
                    <a:prstGeom prst="rect">
                      <a:avLst/>
                    </a:prstGeom>
                  </pic:spPr>
                </pic:pic>
              </a:graphicData>
            </a:graphic>
          </wp:inline>
        </w:drawing>
      </w:r>
    </w:p>
    <w:p w:rsidR="00D5490D" w:rsidRPr="00D5490D" w:rsidRDefault="00D5490D" w:rsidP="00D5490D">
      <w:pPr>
        <w:pStyle w:val="Caption"/>
        <w:jc w:val="center"/>
        <w:rPr>
          <w:rFonts w:ascii="Arial" w:eastAsia="Times New Roman" w:hAnsi="Arial" w:cs="Arial"/>
          <w:color w:val="auto"/>
          <w:sz w:val="28"/>
          <w:szCs w:val="24"/>
        </w:rPr>
      </w:pPr>
      <w:r w:rsidRPr="00D5490D">
        <w:rPr>
          <w:rFonts w:ascii="Arial" w:hAnsi="Arial" w:cs="Arial"/>
          <w:color w:val="auto"/>
          <w:sz w:val="20"/>
        </w:rPr>
        <w:t xml:space="preserve">Figure </w:t>
      </w:r>
      <w:r w:rsidRPr="00D5490D">
        <w:rPr>
          <w:rFonts w:ascii="Arial" w:hAnsi="Arial" w:cs="Arial"/>
          <w:color w:val="auto"/>
          <w:sz w:val="20"/>
        </w:rPr>
        <w:fldChar w:fldCharType="begin"/>
      </w:r>
      <w:r w:rsidRPr="00D5490D">
        <w:rPr>
          <w:rFonts w:ascii="Arial" w:hAnsi="Arial" w:cs="Arial"/>
          <w:color w:val="auto"/>
          <w:sz w:val="20"/>
        </w:rPr>
        <w:instrText xml:space="preserve"> STYLEREF 1 \s </w:instrText>
      </w:r>
      <w:r w:rsidRPr="00D5490D">
        <w:rPr>
          <w:rFonts w:ascii="Arial" w:hAnsi="Arial" w:cs="Arial"/>
          <w:color w:val="auto"/>
          <w:sz w:val="20"/>
        </w:rPr>
        <w:fldChar w:fldCharType="separate"/>
      </w:r>
      <w:r w:rsidRPr="00D5490D">
        <w:rPr>
          <w:rFonts w:ascii="Arial" w:hAnsi="Arial" w:cs="Arial"/>
          <w:noProof/>
          <w:color w:val="auto"/>
          <w:sz w:val="20"/>
        </w:rPr>
        <w:t>1</w:t>
      </w:r>
      <w:r w:rsidRPr="00D5490D">
        <w:rPr>
          <w:rFonts w:ascii="Arial" w:hAnsi="Arial" w:cs="Arial"/>
          <w:color w:val="auto"/>
          <w:sz w:val="20"/>
        </w:rPr>
        <w:fldChar w:fldCharType="end"/>
      </w:r>
      <w:r w:rsidRPr="00D5490D">
        <w:rPr>
          <w:rFonts w:ascii="Arial" w:hAnsi="Arial" w:cs="Arial"/>
          <w:color w:val="auto"/>
          <w:sz w:val="20"/>
        </w:rPr>
        <w:t>.</w:t>
      </w:r>
      <w:r w:rsidRPr="00D5490D">
        <w:rPr>
          <w:rFonts w:ascii="Arial" w:hAnsi="Arial" w:cs="Arial"/>
          <w:color w:val="auto"/>
          <w:sz w:val="20"/>
        </w:rPr>
        <w:fldChar w:fldCharType="begin"/>
      </w:r>
      <w:r w:rsidRPr="00D5490D">
        <w:rPr>
          <w:rFonts w:ascii="Arial" w:hAnsi="Arial" w:cs="Arial"/>
          <w:color w:val="auto"/>
          <w:sz w:val="20"/>
        </w:rPr>
        <w:instrText xml:space="preserve"> SEQ Figure \* ARABIC \s 1 </w:instrText>
      </w:r>
      <w:r w:rsidRPr="00D5490D">
        <w:rPr>
          <w:rFonts w:ascii="Arial" w:hAnsi="Arial" w:cs="Arial"/>
          <w:color w:val="auto"/>
          <w:sz w:val="20"/>
        </w:rPr>
        <w:fldChar w:fldCharType="separate"/>
      </w:r>
      <w:r w:rsidRPr="00D5490D">
        <w:rPr>
          <w:rFonts w:ascii="Arial" w:hAnsi="Arial" w:cs="Arial"/>
          <w:noProof/>
          <w:color w:val="auto"/>
          <w:sz w:val="20"/>
        </w:rPr>
        <w:t>1</w:t>
      </w:r>
      <w:r w:rsidRPr="00D5490D">
        <w:rPr>
          <w:rFonts w:ascii="Arial" w:hAnsi="Arial" w:cs="Arial"/>
          <w:color w:val="auto"/>
          <w:sz w:val="20"/>
        </w:rPr>
        <w:fldChar w:fldCharType="end"/>
      </w:r>
      <w:r w:rsidRPr="00D5490D">
        <w:rPr>
          <w:rFonts w:ascii="Arial" w:hAnsi="Arial" w:cs="Arial"/>
          <w:color w:val="auto"/>
          <w:sz w:val="20"/>
        </w:rPr>
        <w:t xml:space="preserve"> </w:t>
      </w:r>
      <w:r w:rsidRPr="00D5490D">
        <w:rPr>
          <w:rFonts w:ascii="Arial" w:hAnsi="Arial" w:cs="Arial"/>
          <w:i w:val="0"/>
          <w:color w:val="auto"/>
          <w:sz w:val="20"/>
        </w:rPr>
        <w:t>AGING DEMOGRAPHICS IN THE UNITED KINGDOM</w:t>
      </w:r>
    </w:p>
    <w:p w:rsidR="009572C4" w:rsidRPr="00266B37" w:rsidRDefault="009572C4" w:rsidP="0005391C">
      <w:pPr>
        <w:spacing w:after="0" w:line="360" w:lineRule="auto"/>
        <w:jc w:val="both"/>
        <w:rPr>
          <w:rFonts w:ascii="Arial" w:eastAsia="Times New Roman" w:hAnsi="Arial" w:cs="Arial"/>
          <w:sz w:val="24"/>
          <w:szCs w:val="24"/>
        </w:rPr>
      </w:pPr>
      <w:r w:rsidRPr="00266B37">
        <w:rPr>
          <w:rFonts w:ascii="Arial" w:eastAsia="Times New Roman" w:hAnsi="Arial" w:cs="Arial"/>
          <w:sz w:val="24"/>
          <w:szCs w:val="24"/>
        </w:rPr>
        <w:t>The population of the United Kingdom is experiencing significant growth and ageing. The demographic shift towards an older population in the UK is a significant factor in the total ageing of the population, and this pattern is projected to continue in the future. Projections indicate that the population of adults aged 65 and over in the UK will potentially increase to 16.1 million by 2032, compared to 9.8 million in 2007</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&lt;EndNote&gt;&lt;Cite&gt;&lt;Author&gt;Dunnell&lt;/Author&gt;&lt;Year&gt;2008&lt;/Year&gt;&lt;RecNum&gt;744&lt;/RecNum&gt;&lt;DisplayText&gt;(Dunnell, 2008)&lt;/DisplayText&gt;&lt;record&gt;&lt;rec-number&gt;744&lt;/rec-number&gt;&lt;foreign-keys&gt;&lt;key app="EN" db-id="sz5trpt98922r4eze0opts290ddrd9sfvwpf" timestamp="1710145766"&gt;744&lt;/key&gt;&lt;/foreign-keys&gt;&lt;ref-type name="Journal Article"&gt;17&lt;/ref-type&gt;&lt;contributors&gt;&lt;authors&gt;&lt;author&gt;Dunnell, Karen&lt;/author&gt;&lt;/authors&gt;&lt;/contributors&gt;&lt;titles&gt;&lt;title&gt;Ageing and mortality in the UK&lt;/title&gt;&lt;secondary-title&gt;Popul Trends&lt;/secondary-title&gt;&lt;/titles&gt;&lt;periodical&gt;&lt;full-title&gt;Popul Trends&lt;/full-title&gt;&lt;/periodical&gt;&lt;pages&gt;6-23&lt;/pages&gt;&lt;volume&gt;134&lt;/volume&gt;&lt;dates&gt;&lt;year&gt;2008&lt;/year&gt;&lt;/dates&gt;&lt;urls&gt;&lt;/urls&gt;&lt;/record&gt;&lt;/Cite&gt;&lt;/EndNote&gt;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(Dunnell, 2008)</w:t>
      </w:r>
      <w:r w:rsidR="00792914" w:rsidRPr="00266B37">
        <w:rPr>
          <w:rFonts w:ascii="Arial" w:eastAsia="Times New Roman" w:hAnsi="Arial" w:cs="Arial"/>
          <w:sz w:val="24"/>
          <w:szCs w:val="24"/>
        </w:rPr>
        <w:fldChar w:fldCharType="end"/>
      </w:r>
      <w:r w:rsidRPr="00266B37">
        <w:rPr>
          <w:rFonts w:ascii="Arial" w:eastAsia="Times New Roman" w:hAnsi="Arial" w:cs="Arial"/>
          <w:sz w:val="24"/>
          <w:szCs w:val="24"/>
        </w:rPr>
        <w:t>. The UK has 1.3 million individuals aged 85 and older in 2007, and it is projected that this number would increase to 3.1 million by 2032. The ageing population will present society with various challenges, such as ensuring the accessibility of services, housing, welfare, pensions, and benefits, among other considerations</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&lt;EndNote&gt;&lt;Cite&gt;&lt;Author&gt;Turkiewicz&lt;/Author&gt;&lt;Year&gt;2014&lt;/Year&gt;&lt;RecNum&gt;745&lt;/RecNum&gt;&lt;DisplayText&gt;(Turkiewicz et al., 2014)&lt;/DisplayText&gt;&lt;record&gt;&lt;rec-number&gt;745&lt;/rec-number&gt;&lt;foreign-keys&gt;&lt;key app="EN" db-id="sz5trpt98922r4eze0opts290ddrd9sfvwpf" timestamp="1710145786"&gt;745&lt;/key&gt;&lt;/foreign-keys&gt;&lt;ref-type name="Journal Article"&gt;17&lt;/ref-type&gt;&lt;contributors&gt;&lt;authors&gt;&lt;author&gt;Turkiewicz, Aleksandra&lt;/author&gt;&lt;author&gt;Petersson, Ingemar F&lt;/author&gt;&lt;author&gt;Björk, Jonas&lt;/author&gt;&lt;author&gt;Hawker, Gillian&lt;/author&gt;&lt;author&gt;Dahlberg, Leif E&lt;/author&gt;&lt;author&gt;Lohmander, L Stefan&lt;/author&gt;&lt;author&gt;Englund, Martin&lt;/author&gt;&lt;/authors&gt;&lt;/contributors&gt;&lt;titles&gt;&lt;title&gt;Current and future impact of osteoarthritis on health care: a population-based study with projections to year 2032&lt;/title&gt;&lt;secondary-title&gt;Osteoarthritis and cartilage&lt;/secondary-title&gt;&lt;/titles&gt;&lt;periodical&gt;&lt;full-title&gt;Osteoarthritis and cartilage&lt;/full-title&gt;&lt;/periodical&gt;&lt;pages&gt;1826-1832&lt;/pages&gt;&lt;volume&gt;22&lt;/volume&gt;&lt;number&gt;11&lt;/number&gt;&lt;dates&gt;&lt;year&gt;2014&lt;/year&gt;&lt;/dates&gt;&lt;isbn&gt;1063-4584&lt;/isbn&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(Turkiewicz et al., 2014)</w:t>
      </w:r>
      <w:r w:rsidR="00792914" w:rsidRPr="00266B37">
        <w:rPr>
          <w:rFonts w:ascii="Arial" w:eastAsia="Times New Roman" w:hAnsi="Arial" w:cs="Arial"/>
          <w:sz w:val="24"/>
          <w:szCs w:val="24"/>
        </w:rPr>
        <w:fldChar w:fldCharType="end"/>
      </w:r>
      <w:r w:rsidRPr="00266B37">
        <w:rPr>
          <w:rFonts w:ascii="Arial" w:eastAsia="Times New Roman" w:hAnsi="Arial" w:cs="Arial"/>
          <w:sz w:val="24"/>
          <w:szCs w:val="24"/>
        </w:rPr>
        <w:t xml:space="preserve">. </w:t>
      </w:r>
    </w:p>
    <w:p w:rsidR="009572C4" w:rsidRPr="00266B37" w:rsidRDefault="009572C4" w:rsidP="00266B37">
      <w:pPr>
        <w:spacing w:before="240" w:after="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In 2007, the United Kingdom had a population of approximately 61 million individuals. Experiencing a 3% increase from just over 59 million in the five years after 2002, and an 8% increase from slightly over 56 million in 1982, this represents a substantial gain. Scotland experienced a little decline in population from 1982 to 2007, whilst England, Wales, and Northern Ireland saw population growth rates of 9%, 6%, and 14% </w:t>
      </w:r>
      <w:r w:rsidRPr="00266B37">
        <w:rPr>
          <w:rFonts w:ascii="Arial" w:eastAsia="Times New Roman" w:hAnsi="Arial" w:cs="Arial"/>
          <w:sz w:val="24"/>
          <w:szCs w:val="24"/>
        </w:rPr>
        <w:lastRenderedPageBreak/>
        <w:t xml:space="preserve">respectively. However, all four nations have experienced population growth in the past five years. </w:t>
      </w:r>
    </w:p>
    <w:p w:rsidR="00D428CF" w:rsidRPr="00266B37" w:rsidRDefault="00266B37" w:rsidP="00266B37">
      <w:pPr>
        <w:pStyle w:val="Heading2"/>
      </w:pPr>
      <w:bookmarkStart w:id="2" w:name="_Toc161058197"/>
      <w:r>
        <w:t>1.2</w:t>
      </w:r>
      <w:r>
        <w:tab/>
      </w:r>
      <w:r w:rsidRPr="00266B37">
        <w:t>ENVIRONMENTAL CONDITIONS IN THE UK FOR THE ELDERLY</w:t>
      </w:r>
      <w:bookmarkEnd w:id="2"/>
    </w:p>
    <w:p w:rsidR="00AB7CB8" w:rsidRPr="00266B37" w:rsidRDefault="009572C4" w:rsidP="0005391C">
      <w:pPr>
        <w:spacing w:after="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Housing options, </w:t>
      </w:r>
      <w:r w:rsidR="00266B37" w:rsidRPr="00266B37">
        <w:rPr>
          <w:rFonts w:ascii="Arial" w:eastAsia="Times New Roman" w:hAnsi="Arial" w:cs="Arial"/>
          <w:sz w:val="24"/>
          <w:szCs w:val="24"/>
        </w:rPr>
        <w:t>neighborhood</w:t>
      </w:r>
      <w:r w:rsidRPr="00266B37">
        <w:rPr>
          <w:rFonts w:ascii="Arial" w:eastAsia="Times New Roman" w:hAnsi="Arial" w:cs="Arial"/>
          <w:sz w:val="24"/>
          <w:szCs w:val="24"/>
        </w:rPr>
        <w:t xml:space="preserve"> safety, and proximity to amenities like grocery stores, pharmacies, and public transportation are all parts of the larger physical environment that influence an elderly person's capacity to live independently. Few published studies have examined the role of physical environment in determining the likelihood of home </w:t>
      </w:r>
      <w:r w:rsidR="0005391C" w:rsidRPr="00266B37">
        <w:rPr>
          <w:rFonts w:ascii="Arial" w:eastAsia="Times New Roman" w:hAnsi="Arial" w:cs="Arial"/>
          <w:sz w:val="24"/>
          <w:szCs w:val="24"/>
        </w:rPr>
        <w:t>care ability</w:t>
      </w:r>
      <w:r w:rsidRPr="00266B37">
        <w:rPr>
          <w:rFonts w:ascii="Arial" w:eastAsia="Times New Roman" w:hAnsi="Arial" w:cs="Arial"/>
          <w:sz w:val="24"/>
          <w:szCs w:val="24"/>
        </w:rPr>
        <w:t xml:space="preserve"> or death for elderly people living alone in the United Kingdom</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&lt;EndNote&gt;&lt;Cite&gt;&lt;Author&gt;Stuck&lt;/Author&gt;&lt;Year&gt;1999&lt;/Year&gt;&lt;RecNum&gt;746&lt;/RecNum&gt;&lt;DisplayText&gt;(Stuck et al., 1999)&lt;/DisplayText&gt;&lt;record&gt;&lt;rec-number&gt;746&lt;/rec-number&gt;&lt;foreign-keys&gt;&lt;key app="EN" db-id="sz5trpt98922r4eze0opts290ddrd9sfvwpf" timestamp="1710145835"&gt;746&lt;/key&gt;&lt;/foreign-keys&gt;&lt;ref-type name="Journal Article"&gt;17&lt;/ref-type&gt;&lt;contributors&gt;&lt;authors&gt;&lt;author&gt;Stuck, Andreas E&lt;/author&gt;&lt;author&gt;Walthert, Jutta M&lt;/author&gt;&lt;author&gt;Nikolaus, Thorsten&lt;/author&gt;&lt;author&gt;Büla, Christophe J&lt;/author&gt;&lt;author&gt;Hohmann, Christoph&lt;/author&gt;&lt;author&gt;Beck, John C&lt;/author&gt;&lt;/authors&gt;&lt;/contributors&gt;&lt;titles&gt;&lt;title&gt;Risk factors for functional status decline in community-living elderly people: a systematic literature review&lt;/title&gt;&lt;secondary-title&gt;Social science &amp;amp; medicine&lt;/secondary-title&gt;&lt;/titles&gt;&lt;periodical&gt;&lt;full-title&gt;Social science &amp;amp; medicine&lt;/full-title&gt;&lt;/periodical&gt;&lt;pages&gt;445-469&lt;/pages&gt;&lt;volume&gt;48&lt;/volume&gt;&lt;number&gt;4&lt;/number&gt;&lt;dates&gt;&lt;year&gt;1999&lt;/year&gt;&lt;/dates&gt;&lt;isbn&gt;0277-9536&lt;/isbn&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(Stuck et al., 1999)</w:t>
      </w:r>
      <w:r w:rsidR="00792914" w:rsidRPr="00266B37">
        <w:rPr>
          <w:rFonts w:ascii="Arial" w:eastAsia="Times New Roman" w:hAnsi="Arial" w:cs="Arial"/>
          <w:sz w:val="24"/>
          <w:szCs w:val="24"/>
        </w:rPr>
        <w:fldChar w:fldCharType="end"/>
      </w:r>
      <w:r w:rsidRPr="00266B37">
        <w:rPr>
          <w:rFonts w:ascii="Arial" w:eastAsia="Times New Roman" w:hAnsi="Arial" w:cs="Arial"/>
          <w:sz w:val="24"/>
          <w:szCs w:val="24"/>
        </w:rPr>
        <w:t>. Although staying at home is good for mental health, being in a bad physical environment can make individuals sick. When it comes to concerns about perceived vulnerability and safety, the living environment and the surrounding community have a significant impact on the quality of life for older adults. Lack of access to or proximity to sources of assistance and support is a significant trait among those living alone in disadvantaged locations, and research has demonstrated that the impacts of disadvantage from a variety of inequalities add up, regardless of whether they live in an urban or rural setting. The supply and demand for official and informal "paid" care for the elderly is different in rural locations, as we will see in the section below. There is a correlation between an elderly person's material surroundings and the quality of their physical environment, as well as their access to resources</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&lt;EndNote&gt;&lt;Cite&gt;&lt;Author&gt;Jenson&lt;/Author&gt;&lt;Year&gt;2000&lt;/Year&gt;&lt;RecNum&gt;747&lt;/RecNum&gt;&lt;DisplayText&gt;(Jenson &amp;amp; Jacobzone, 2000)&lt;/DisplayText&gt;&lt;record&gt;&lt;rec-number&gt;747&lt;/rec-number&gt;&lt;foreign-keys&gt;&lt;key app="EN" db-id="sz5trpt98922r4eze0opts290ddrd9sfvwpf" timestamp="1710145866"&gt;747&lt;/key&gt;&lt;/foreign-keys&gt;&lt;ref-type name="Journal Article"&gt;17&lt;/ref-type&gt;&lt;contributors&gt;&lt;authors&gt;&lt;author&gt;Jenson, Jane&lt;/author&gt;&lt;author&gt;Jacobzone, Stephane&lt;/author&gt;&lt;/authors&gt;&lt;/contributors&gt;&lt;titles&gt;&lt;title&gt;Care allowances for the frail elderly and their impact on women care-givers&lt;/title&gt;&lt;/titles&gt;&lt;dates&gt;&lt;year&gt;2000&lt;/year&gt;&lt;/dates&gt;&lt;urls&gt;&lt;/urls&gt;&lt;/record&gt;&lt;/Cite&gt;&lt;/EndNote&gt;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(Jenson &amp; Jacobzone, 2000)</w:t>
      </w:r>
      <w:r w:rsidR="00792914" w:rsidRPr="00266B37">
        <w:rPr>
          <w:rFonts w:ascii="Arial" w:eastAsia="Times New Roman" w:hAnsi="Arial" w:cs="Arial"/>
          <w:sz w:val="24"/>
          <w:szCs w:val="24"/>
        </w:rPr>
        <w:fldChar w:fldCharType="end"/>
      </w:r>
      <w:r w:rsidRPr="00266B37">
        <w:rPr>
          <w:rFonts w:ascii="Arial" w:eastAsia="Times New Roman" w:hAnsi="Arial" w:cs="Arial"/>
          <w:sz w:val="24"/>
          <w:szCs w:val="24"/>
        </w:rPr>
        <w:t>.</w:t>
      </w:r>
    </w:p>
    <w:p w:rsidR="00AB7CB8" w:rsidRPr="00266B37" w:rsidRDefault="00266B37" w:rsidP="00266B37">
      <w:pPr>
        <w:pStyle w:val="Heading2"/>
      </w:pPr>
      <w:bookmarkStart w:id="3" w:name="_Toc160979175"/>
      <w:bookmarkStart w:id="4" w:name="_Toc161058198"/>
      <w:r>
        <w:t>1.3</w:t>
      </w:r>
      <w:r>
        <w:tab/>
      </w:r>
      <w:r w:rsidR="00AB7CB8" w:rsidRPr="00266B37">
        <w:t>HEALTH</w:t>
      </w:r>
      <w:bookmarkEnd w:id="3"/>
      <w:bookmarkEnd w:id="4"/>
    </w:p>
    <w:p w:rsidR="009572C4" w:rsidRPr="00266B37" w:rsidRDefault="009572C4" w:rsidP="0005391C">
      <w:pPr>
        <w:spacing w:after="0" w:line="360" w:lineRule="auto"/>
        <w:jc w:val="both"/>
        <w:rPr>
          <w:rFonts w:ascii="Arial" w:eastAsia="Times New Roman" w:hAnsi="Arial" w:cs="Arial"/>
          <w:sz w:val="24"/>
          <w:szCs w:val="24"/>
        </w:rPr>
      </w:pPr>
      <w:r w:rsidRPr="00266B37">
        <w:rPr>
          <w:rFonts w:ascii="Arial" w:eastAsia="Times New Roman" w:hAnsi="Arial" w:cs="Arial"/>
          <w:sz w:val="24"/>
          <w:szCs w:val="24"/>
        </w:rPr>
        <w:t>Due to advancements in life expectancy, an increasing number of individuals are reaching exceptionally old ages. It is possible that you may not have optimal health or be completely free from debilitating illness during those additional years</w:t>
      </w:r>
      <w:r w:rsidR="00792914" w:rsidRPr="00266B37">
        <w:rPr>
          <w:rFonts w:ascii="Arial" w:eastAsia="Times New Roman" w:hAnsi="Arial" w:cs="Arial"/>
          <w:sz w:val="24"/>
          <w:szCs w:val="24"/>
        </w:rPr>
        <w:t xml:space="preserve"> </w:t>
      </w:r>
      <w:r w:rsidR="00792914" w:rsidRPr="00266B37">
        <w:rPr>
          <w:rFonts w:ascii="Arial" w:eastAsia="Times New Roman" w:hAnsi="Arial" w:cs="Arial"/>
          <w:sz w:val="24"/>
          <w:szCs w:val="24"/>
        </w:rPr>
        <w:fldChar w:fldCharType="begin"/>
      </w:r>
      <w:r w:rsidR="00792914" w:rsidRPr="00266B37">
        <w:rPr>
          <w:rFonts w:ascii="Arial" w:eastAsia="Times New Roman" w:hAnsi="Arial" w:cs="Arial"/>
          <w:sz w:val="24"/>
          <w:szCs w:val="24"/>
        </w:rPr>
        <w:instrText xml:space="preserve"> ADDIN EN.CITE &lt;EndNote&gt;&lt;Cite&gt;&lt;Author&gt;Kinsella&lt;/Author&gt;&lt;Year&gt;2005&lt;/Year&gt;&lt;RecNum&gt;748&lt;/RecNum&gt;&lt;DisplayText&gt;(Kinsella &amp;amp; Phillips, 2005)&lt;/DisplayText&gt;&lt;record&gt;&lt;rec-number&gt;748&lt;/rec-number&gt;&lt;foreign-keys&gt;&lt;key app="EN" db-id="sz5trpt98922r4eze0opts290ddrd9sfvwpf" timestamp="1710145896"&gt;748&lt;/key&gt;&lt;/foreign-keys&gt;&lt;ref-type name="Book"&gt;6&lt;/ref-type&gt;&lt;contributors&gt;&lt;authors&gt;&lt;author&gt;Kinsella, Kevin G&lt;/author&gt;&lt;author&gt;Phillips, David R&lt;/author&gt;&lt;/authors&gt;&lt;/contributors&gt;&lt;titles&gt;&lt;title&gt;Global aging: The challenge of success&lt;/title&gt;&lt;/titles&gt;&lt;volume&gt;60&lt;/volume&gt;&lt;number&gt;1&lt;/number&gt;&lt;dates&gt;&lt;year&gt;2005&lt;/year&gt;&lt;/dates&gt;&lt;publisher&gt;Population Reference Bureau Washington, DC&lt;/publisher&gt;&lt;isbn&gt;0032-468X&lt;/isbn&gt;&lt;urls&gt;&lt;/urls&gt;&lt;/record&gt;&lt;/Cite&gt;&lt;/EndNote&gt;</w:instrText>
      </w:r>
      <w:r w:rsidR="00792914" w:rsidRPr="00266B37">
        <w:rPr>
          <w:rFonts w:ascii="Arial" w:eastAsia="Times New Roman" w:hAnsi="Arial" w:cs="Arial"/>
          <w:sz w:val="24"/>
          <w:szCs w:val="24"/>
        </w:rPr>
        <w:fldChar w:fldCharType="separate"/>
      </w:r>
      <w:r w:rsidR="00792914" w:rsidRPr="00266B37">
        <w:rPr>
          <w:rFonts w:ascii="Arial" w:eastAsia="Times New Roman" w:hAnsi="Arial" w:cs="Arial"/>
          <w:noProof/>
          <w:sz w:val="24"/>
          <w:szCs w:val="24"/>
        </w:rPr>
        <w:t>(Kinsella &amp; Phillips, 2005)</w:t>
      </w:r>
      <w:r w:rsidR="00792914" w:rsidRPr="00266B37">
        <w:rPr>
          <w:rFonts w:ascii="Arial" w:eastAsia="Times New Roman" w:hAnsi="Arial" w:cs="Arial"/>
          <w:sz w:val="24"/>
          <w:szCs w:val="24"/>
        </w:rPr>
        <w:fldChar w:fldCharType="end"/>
      </w:r>
      <w:r w:rsidRPr="00266B37">
        <w:rPr>
          <w:rFonts w:ascii="Arial" w:eastAsia="Times New Roman" w:hAnsi="Arial" w:cs="Arial"/>
          <w:sz w:val="24"/>
          <w:szCs w:val="24"/>
        </w:rPr>
        <w:t>. It is expected that both the number of individuals experiencing illness in old age and the number of years people can expect to live with illness will increase due to higher rates of illness and the projected increase in the number of older individuals. Accurate and current information on the health status of older individuals is becoming more and more crucial for resource allocation and health assessment</w:t>
      </w:r>
      <w:r w:rsidR="008B5EAC" w:rsidRPr="00266B37">
        <w:rPr>
          <w:rFonts w:ascii="Arial" w:eastAsia="Times New Roman" w:hAnsi="Arial" w:cs="Arial"/>
          <w:sz w:val="24"/>
          <w:szCs w:val="24"/>
        </w:rPr>
        <w:t xml:space="preserve"> </w:t>
      </w:r>
      <w:r w:rsidR="008B5EAC" w:rsidRPr="00266B37">
        <w:rPr>
          <w:rFonts w:ascii="Arial" w:eastAsia="Times New Roman" w:hAnsi="Arial" w:cs="Arial"/>
          <w:sz w:val="24"/>
          <w:szCs w:val="24"/>
        </w:rPr>
        <w:fldChar w:fldCharType="begin"/>
      </w:r>
      <w:r w:rsidR="008B5EAC" w:rsidRPr="00266B37">
        <w:rPr>
          <w:rFonts w:ascii="Arial" w:eastAsia="Times New Roman" w:hAnsi="Arial" w:cs="Arial"/>
          <w:sz w:val="24"/>
          <w:szCs w:val="24"/>
        </w:rPr>
        <w:instrText xml:space="preserve"> ADDIN EN.CITE &lt;EndNote&gt;&lt;Cite&gt;&lt;Author&gt;Fillenbaum&lt;/Author&gt;&lt;Year&gt;2013&lt;/Year&gt;&lt;RecNum&gt;180&lt;/RecNum&gt;&lt;DisplayText&gt;(Fillenbaum, 2013; O&amp;apos;boyle, 1997)&lt;/DisplayText&gt;&lt;record&gt;&lt;rec-number&gt;180&lt;/rec-number&gt;&lt;foreign-keys&gt;&lt;key app="EN" db-id="efzt5stfrp29tqe5afxpatza2wa55xt99sxd" timestamp="1710146256"&gt;180&lt;/key&gt;&lt;/foreign-keys&gt;&lt;ref-type name="Book"&gt;6&lt;/ref-type&gt;&lt;contributors&gt;&lt;authors&gt;&lt;author&gt;Fillenbaum, Gerda G&lt;/author&gt;&lt;/authors&gt;&lt;/contributors&gt;&lt;titles&gt;&lt;title&gt;Multidimensional functional assessment of older adults: The Duke Older Americans Resources and Services procedures&lt;/title&gt;&lt;/titles&gt;&lt;dates&gt;&lt;year&gt;2013&lt;/year&gt;&lt;/dates&gt;&lt;publisher&gt;Psychology Press&lt;/publisher&gt;&lt;isbn&gt;0203771567&lt;/isbn&gt;&lt;urls&gt;&lt;/urls&gt;&lt;/record&gt;&lt;/Cite&gt;&lt;Cite&gt;&lt;Author&gt;O&amp;apos;boyle&lt;/Author&gt;&lt;Year&gt;1997&lt;/Year&gt;&lt;RecNum&gt;181&lt;/RecNum&gt;&lt;record&gt;&lt;rec-number&gt;181&lt;/rec-number&gt;&lt;foreign-keys&gt;&lt;key app="EN" db-id="efzt5stfrp29tqe5afxpatza2wa55xt99sxd" timestamp="1710146278"&gt;181&lt;/key&gt;&lt;/foreign-keys&gt;&lt;ref-type name="Journal Article"&gt;17&lt;/ref-type&gt;&lt;contributors&gt;&lt;authors&gt;&lt;author&gt;O&amp;apos;boyle, Ciaran A&lt;/author&gt;&lt;/authors&gt;&lt;/contributors&gt;&lt;titles&gt;&lt;title&gt;Measuring the quality of later life&lt;/title&gt;&lt;secondary-title&gt;Philosophical Transactions of the Royal Society of London. Series B: Biological Sciences&lt;/secondary-title&gt;&lt;/titles&gt;&lt;periodical&gt;&lt;full-title&gt;Philosophical Transactions of the Royal Society of London. Series B: Biological Sciences&lt;/full-title&gt;&lt;/periodical&gt;&lt;pages&gt;1871-1879&lt;/pages&gt;&lt;volume&gt;352&lt;/volume&gt;&lt;number&gt;1363&lt;/number&gt;&lt;dates&gt;&lt;year&gt;1997&lt;/year&gt;&lt;/dates&gt;&lt;isbn&gt;0962-8436&lt;/isbn&gt;&lt;urls&gt;&lt;/urls&gt;&lt;/record&gt;&lt;/Cite&gt;&lt;/EndNote&gt;</w:instrText>
      </w:r>
      <w:r w:rsidR="008B5EAC" w:rsidRPr="00266B37">
        <w:rPr>
          <w:rFonts w:ascii="Arial" w:eastAsia="Times New Roman" w:hAnsi="Arial" w:cs="Arial"/>
          <w:sz w:val="24"/>
          <w:szCs w:val="24"/>
        </w:rPr>
        <w:fldChar w:fldCharType="separate"/>
      </w:r>
      <w:r w:rsidR="008B5EAC" w:rsidRPr="00266B37">
        <w:rPr>
          <w:rFonts w:ascii="Arial" w:eastAsia="Times New Roman" w:hAnsi="Arial" w:cs="Arial"/>
          <w:noProof/>
          <w:sz w:val="24"/>
          <w:szCs w:val="24"/>
        </w:rPr>
        <w:t>(Fillenbaum, 2013; O'boyle, 1997)</w:t>
      </w:r>
      <w:r w:rsidR="008B5EAC" w:rsidRPr="00266B37">
        <w:rPr>
          <w:rFonts w:ascii="Arial" w:eastAsia="Times New Roman" w:hAnsi="Arial" w:cs="Arial"/>
          <w:sz w:val="24"/>
          <w:szCs w:val="24"/>
        </w:rPr>
        <w:fldChar w:fldCharType="end"/>
      </w:r>
      <w:r w:rsidRPr="00266B37">
        <w:rPr>
          <w:rFonts w:ascii="Arial" w:eastAsia="Times New Roman" w:hAnsi="Arial" w:cs="Arial"/>
          <w:sz w:val="24"/>
          <w:szCs w:val="24"/>
        </w:rPr>
        <w:t>.</w:t>
      </w:r>
    </w:p>
    <w:p w:rsidR="0014641B" w:rsidRPr="00266B37" w:rsidRDefault="00266B37" w:rsidP="00266B37">
      <w:pPr>
        <w:pStyle w:val="Heading1"/>
        <w:rPr>
          <w:rFonts w:eastAsia="Times New Roman"/>
        </w:rPr>
      </w:pPr>
      <w:bookmarkStart w:id="5" w:name="_Toc161058199"/>
      <w:r w:rsidRPr="00266B37">
        <w:rPr>
          <w:rFonts w:eastAsia="Times New Roman"/>
        </w:rPr>
        <w:lastRenderedPageBreak/>
        <w:t>MAIN BODY</w:t>
      </w:r>
      <w:bookmarkEnd w:id="5"/>
    </w:p>
    <w:p w:rsidR="0014641B" w:rsidRPr="00266B37" w:rsidRDefault="00266B37" w:rsidP="00266B37">
      <w:pPr>
        <w:pStyle w:val="Heading2"/>
        <w:rPr>
          <w:rFonts w:eastAsia="Times New Roman"/>
        </w:rPr>
      </w:pPr>
      <w:bookmarkStart w:id="6" w:name="_Toc161058200"/>
      <w:r>
        <w:rPr>
          <w:rFonts w:eastAsia="Times New Roman"/>
        </w:rPr>
        <w:t>2.1</w:t>
      </w:r>
      <w:r>
        <w:rPr>
          <w:rFonts w:eastAsia="Times New Roman"/>
        </w:rPr>
        <w:tab/>
      </w:r>
      <w:r w:rsidRPr="00266B37">
        <w:rPr>
          <w:rFonts w:eastAsia="Times New Roman"/>
        </w:rPr>
        <w:t>CASE STUDY</w:t>
      </w:r>
      <w:bookmarkEnd w:id="6"/>
    </w:p>
    <w:p w:rsidR="0005391C" w:rsidRPr="00266B37" w:rsidRDefault="009572C4" w:rsidP="0005391C">
      <w:pPr>
        <w:spacing w:after="240" w:line="360" w:lineRule="auto"/>
        <w:jc w:val="both"/>
        <w:rPr>
          <w:rFonts w:ascii="Arial" w:eastAsia="Times New Roman" w:hAnsi="Arial" w:cs="Arial"/>
          <w:sz w:val="24"/>
          <w:szCs w:val="24"/>
        </w:rPr>
      </w:pPr>
      <w:proofErr w:type="spellStart"/>
      <w:r w:rsidRPr="00266B37">
        <w:rPr>
          <w:rFonts w:ascii="Arial" w:eastAsia="Times New Roman" w:hAnsi="Arial" w:cs="Arial"/>
          <w:sz w:val="24"/>
          <w:szCs w:val="24"/>
        </w:rPr>
        <w:t>Usayla</w:t>
      </w:r>
      <w:proofErr w:type="spellEnd"/>
      <w:r w:rsidRPr="00266B37">
        <w:rPr>
          <w:rFonts w:ascii="Arial" w:eastAsia="Times New Roman" w:hAnsi="Arial" w:cs="Arial"/>
          <w:sz w:val="24"/>
          <w:szCs w:val="24"/>
        </w:rPr>
        <w:t xml:space="preserve"> resides alone in a ground-floor flat in a tiny town, and she is eighty-eight years old. Despite suffering from knee and hand arthritis, </w:t>
      </w:r>
      <w:proofErr w:type="spellStart"/>
      <w:r w:rsidRPr="00266B37">
        <w:rPr>
          <w:rFonts w:ascii="Arial" w:eastAsia="Times New Roman" w:hAnsi="Arial" w:cs="Arial"/>
          <w:sz w:val="24"/>
          <w:szCs w:val="24"/>
        </w:rPr>
        <w:t>Usayla</w:t>
      </w:r>
      <w:proofErr w:type="spellEnd"/>
      <w:r w:rsidRPr="00266B37">
        <w:rPr>
          <w:rFonts w:ascii="Arial" w:eastAsia="Times New Roman" w:hAnsi="Arial" w:cs="Arial"/>
          <w:sz w:val="24"/>
          <w:szCs w:val="24"/>
        </w:rPr>
        <w:t xml:space="preserve"> continues to lead an active and self-sufficient life. She goes to church every day and is well-respected in the </w:t>
      </w:r>
      <w:r w:rsidR="00266B37" w:rsidRPr="00266B37">
        <w:rPr>
          <w:rFonts w:ascii="Arial" w:eastAsia="Times New Roman" w:hAnsi="Arial" w:cs="Arial"/>
          <w:sz w:val="24"/>
          <w:szCs w:val="24"/>
        </w:rPr>
        <w:t>neighborhood</w:t>
      </w:r>
      <w:r w:rsidRPr="00266B37">
        <w:rPr>
          <w:rFonts w:ascii="Arial" w:eastAsia="Times New Roman" w:hAnsi="Arial" w:cs="Arial"/>
          <w:sz w:val="24"/>
          <w:szCs w:val="24"/>
        </w:rPr>
        <w:t>. Her little garden provides her with fresh produce, and she takes great pleasure in pre</w:t>
      </w:r>
      <w:r w:rsidR="0005391C" w:rsidRPr="00266B37">
        <w:rPr>
          <w:rFonts w:ascii="Arial" w:eastAsia="Times New Roman" w:hAnsi="Arial" w:cs="Arial"/>
          <w:sz w:val="24"/>
          <w:szCs w:val="24"/>
        </w:rPr>
        <w:t xml:space="preserve">paring it in her home kitchen. </w:t>
      </w:r>
    </w:p>
    <w:p w:rsidR="0005391C" w:rsidRPr="00266B37" w:rsidRDefault="009572C4" w:rsidP="0005391C">
      <w:pPr>
        <w:spacing w:after="240" w:line="360" w:lineRule="auto"/>
        <w:jc w:val="both"/>
        <w:rPr>
          <w:rFonts w:ascii="Arial" w:eastAsia="Times New Roman" w:hAnsi="Arial" w:cs="Arial"/>
          <w:sz w:val="24"/>
          <w:szCs w:val="24"/>
        </w:rPr>
      </w:pPr>
      <w:proofErr w:type="spellStart"/>
      <w:r w:rsidRPr="00266B37">
        <w:rPr>
          <w:rFonts w:ascii="Arial" w:eastAsia="Times New Roman" w:hAnsi="Arial" w:cs="Arial"/>
          <w:sz w:val="24"/>
          <w:szCs w:val="24"/>
        </w:rPr>
        <w:t>Usayla</w:t>
      </w:r>
      <w:proofErr w:type="spellEnd"/>
      <w:r w:rsidRPr="00266B37">
        <w:rPr>
          <w:rFonts w:ascii="Arial" w:eastAsia="Times New Roman" w:hAnsi="Arial" w:cs="Arial"/>
          <w:sz w:val="24"/>
          <w:szCs w:val="24"/>
        </w:rPr>
        <w:t xml:space="preserve"> </w:t>
      </w:r>
      <w:r w:rsidR="00266B37" w:rsidRPr="00266B37">
        <w:rPr>
          <w:rFonts w:ascii="Arial" w:eastAsia="Times New Roman" w:hAnsi="Arial" w:cs="Arial"/>
          <w:sz w:val="24"/>
          <w:szCs w:val="24"/>
        </w:rPr>
        <w:t>immigrated</w:t>
      </w:r>
      <w:r w:rsidRPr="00266B37">
        <w:rPr>
          <w:rFonts w:ascii="Arial" w:eastAsia="Times New Roman" w:hAnsi="Arial" w:cs="Arial"/>
          <w:sz w:val="24"/>
          <w:szCs w:val="24"/>
        </w:rPr>
        <w:t xml:space="preserve"> to the United Kingdom from Jamaica while she was a youngster in 1952; she remained single after her spouse passed away in 1984. </w:t>
      </w:r>
      <w:proofErr w:type="spellStart"/>
      <w:r w:rsidRPr="00266B37">
        <w:rPr>
          <w:rFonts w:ascii="Arial" w:eastAsia="Times New Roman" w:hAnsi="Arial" w:cs="Arial"/>
          <w:sz w:val="24"/>
          <w:szCs w:val="24"/>
        </w:rPr>
        <w:t>Usayla</w:t>
      </w:r>
      <w:proofErr w:type="spellEnd"/>
      <w:r w:rsidRPr="00266B37">
        <w:rPr>
          <w:rFonts w:ascii="Arial" w:eastAsia="Times New Roman" w:hAnsi="Arial" w:cs="Arial"/>
          <w:sz w:val="24"/>
          <w:szCs w:val="24"/>
        </w:rPr>
        <w:t xml:space="preserve"> enjoyed a career in education and then became a librarian at her community </w:t>
      </w:r>
      <w:proofErr w:type="spellStart"/>
      <w:r w:rsidRPr="00266B37">
        <w:rPr>
          <w:rFonts w:ascii="Arial" w:eastAsia="Times New Roman" w:hAnsi="Arial" w:cs="Arial"/>
          <w:sz w:val="24"/>
          <w:szCs w:val="24"/>
        </w:rPr>
        <w:t>centre</w:t>
      </w:r>
      <w:proofErr w:type="spellEnd"/>
      <w:r w:rsidRPr="00266B37">
        <w:rPr>
          <w:rFonts w:ascii="Arial" w:eastAsia="Times New Roman" w:hAnsi="Arial" w:cs="Arial"/>
          <w:sz w:val="24"/>
          <w:szCs w:val="24"/>
        </w:rPr>
        <w:t xml:space="preserve">; she is still very much a reader, although she has trouble bringing heavy books home on the bus. The </w:t>
      </w:r>
      <w:proofErr w:type="spellStart"/>
      <w:r w:rsidRPr="00266B37">
        <w:rPr>
          <w:rFonts w:ascii="Arial" w:eastAsia="Times New Roman" w:hAnsi="Arial" w:cs="Arial"/>
          <w:sz w:val="24"/>
          <w:szCs w:val="24"/>
        </w:rPr>
        <w:t>Usayla</w:t>
      </w:r>
      <w:proofErr w:type="spellEnd"/>
      <w:r w:rsidRPr="00266B37">
        <w:rPr>
          <w:rFonts w:ascii="Arial" w:eastAsia="Times New Roman" w:hAnsi="Arial" w:cs="Arial"/>
          <w:sz w:val="24"/>
          <w:szCs w:val="24"/>
        </w:rPr>
        <w:t xml:space="preserve"> family includes two grandkids and four sons. She has three sons: two in Jamaica, one in Australia, and one who resides in the UK but doesn't come home very often. During their visit from Jamaica, </w:t>
      </w:r>
      <w:proofErr w:type="spellStart"/>
      <w:r w:rsidRPr="00266B37">
        <w:rPr>
          <w:rFonts w:ascii="Arial" w:eastAsia="Times New Roman" w:hAnsi="Arial" w:cs="Arial"/>
          <w:sz w:val="24"/>
          <w:szCs w:val="24"/>
        </w:rPr>
        <w:t>Usayla's</w:t>
      </w:r>
      <w:proofErr w:type="spellEnd"/>
      <w:r w:rsidRPr="00266B37">
        <w:rPr>
          <w:rFonts w:ascii="Arial" w:eastAsia="Times New Roman" w:hAnsi="Arial" w:cs="Arial"/>
          <w:sz w:val="24"/>
          <w:szCs w:val="24"/>
        </w:rPr>
        <w:t xml:space="preserve"> grandchildren helped her establish up an internet connection using an iPad, enabling her to make video calls. </w:t>
      </w:r>
      <w:r w:rsidRPr="00266B37">
        <w:rPr>
          <w:rFonts w:ascii="Arial" w:eastAsia="Times New Roman" w:hAnsi="Arial" w:cs="Arial"/>
          <w:sz w:val="24"/>
          <w:szCs w:val="24"/>
        </w:rPr>
        <w:br/>
      </w:r>
      <w:proofErr w:type="spellStart"/>
      <w:r w:rsidRPr="00266B37">
        <w:rPr>
          <w:rFonts w:ascii="Arial" w:eastAsia="Times New Roman" w:hAnsi="Arial" w:cs="Arial"/>
          <w:sz w:val="24"/>
          <w:szCs w:val="24"/>
        </w:rPr>
        <w:t>Usayla</w:t>
      </w:r>
      <w:proofErr w:type="spellEnd"/>
      <w:r w:rsidRPr="00266B37">
        <w:rPr>
          <w:rFonts w:ascii="Arial" w:eastAsia="Times New Roman" w:hAnsi="Arial" w:cs="Arial"/>
          <w:sz w:val="24"/>
          <w:szCs w:val="24"/>
        </w:rPr>
        <w:t xml:space="preserve"> loves to converse with the families and dog walkers who frequent the park, as well as the other volunteers who help with litter picking. With the help of her iPad, she has also started participating in her churc</w:t>
      </w:r>
      <w:r w:rsidR="0005391C" w:rsidRPr="00266B37">
        <w:rPr>
          <w:rFonts w:ascii="Arial" w:eastAsia="Times New Roman" w:hAnsi="Arial" w:cs="Arial"/>
          <w:sz w:val="24"/>
          <w:szCs w:val="24"/>
        </w:rPr>
        <w:t xml:space="preserve">h's weekly online bible study. </w:t>
      </w:r>
    </w:p>
    <w:p w:rsidR="0005391C" w:rsidRPr="00266B37" w:rsidRDefault="009572C4" w:rsidP="0005391C">
      <w:pPr>
        <w:spacing w:after="240" w:line="360" w:lineRule="auto"/>
        <w:jc w:val="both"/>
        <w:rPr>
          <w:rFonts w:ascii="Arial" w:eastAsia="Times New Roman" w:hAnsi="Arial" w:cs="Arial"/>
          <w:sz w:val="24"/>
          <w:szCs w:val="24"/>
        </w:rPr>
      </w:pPr>
      <w:proofErr w:type="spellStart"/>
      <w:r w:rsidRPr="00266B37">
        <w:rPr>
          <w:rFonts w:ascii="Arial" w:eastAsia="Times New Roman" w:hAnsi="Arial" w:cs="Arial"/>
          <w:sz w:val="24"/>
          <w:szCs w:val="24"/>
        </w:rPr>
        <w:t>Usayla</w:t>
      </w:r>
      <w:proofErr w:type="spellEnd"/>
      <w:r w:rsidRPr="00266B37">
        <w:rPr>
          <w:rFonts w:ascii="Arial" w:eastAsia="Times New Roman" w:hAnsi="Arial" w:cs="Arial"/>
          <w:sz w:val="24"/>
          <w:szCs w:val="24"/>
        </w:rPr>
        <w:t xml:space="preserve"> uses the local bus service to go to the store, church, and friends since she does not have a car. She used to buy a lot of food every time she went grocery shopping, but now she had to use a shopping cart, which is becoming more of a hassle for her. The local bus service has been cut to three times a day from an hourly schedule due to budget cuts made by her council. One day, </w:t>
      </w:r>
      <w:proofErr w:type="spellStart"/>
      <w:r w:rsidRPr="00266B37">
        <w:rPr>
          <w:rFonts w:ascii="Arial" w:eastAsia="Times New Roman" w:hAnsi="Arial" w:cs="Arial"/>
          <w:sz w:val="24"/>
          <w:szCs w:val="24"/>
        </w:rPr>
        <w:t>Usayla</w:t>
      </w:r>
      <w:proofErr w:type="spellEnd"/>
      <w:r w:rsidRPr="00266B37">
        <w:rPr>
          <w:rFonts w:ascii="Arial" w:eastAsia="Times New Roman" w:hAnsi="Arial" w:cs="Arial"/>
          <w:sz w:val="24"/>
          <w:szCs w:val="24"/>
        </w:rPr>
        <w:t xml:space="preserve"> was worried because she missed her bus home. As a result, she had to stay in the shopping mall for three hours longer than expected. Since then, she has lost confidence in going shopping. Although </w:t>
      </w:r>
      <w:proofErr w:type="spellStart"/>
      <w:r w:rsidRPr="00266B37">
        <w:rPr>
          <w:rFonts w:ascii="Arial" w:eastAsia="Times New Roman" w:hAnsi="Arial" w:cs="Arial"/>
          <w:sz w:val="24"/>
          <w:szCs w:val="24"/>
        </w:rPr>
        <w:t>Usayla's</w:t>
      </w:r>
      <w:proofErr w:type="spellEnd"/>
      <w:r w:rsidRPr="00266B37">
        <w:rPr>
          <w:rFonts w:ascii="Arial" w:eastAsia="Times New Roman" w:hAnsi="Arial" w:cs="Arial"/>
          <w:sz w:val="24"/>
          <w:szCs w:val="24"/>
        </w:rPr>
        <w:t xml:space="preserve"> church friends have told her that they can provide rides, she is still hesi</w:t>
      </w:r>
      <w:r w:rsidR="0005391C" w:rsidRPr="00266B37">
        <w:rPr>
          <w:rFonts w:ascii="Arial" w:eastAsia="Times New Roman" w:hAnsi="Arial" w:cs="Arial"/>
          <w:sz w:val="24"/>
          <w:szCs w:val="24"/>
        </w:rPr>
        <w:t xml:space="preserve">tant to purchase a cell phone. </w:t>
      </w:r>
    </w:p>
    <w:p w:rsidR="009572C4" w:rsidRPr="00266B37" w:rsidRDefault="009572C4" w:rsidP="0005391C">
      <w:p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lastRenderedPageBreak/>
        <w:t xml:space="preserve">Because her husband is laid to rest in the United Kingdom, </w:t>
      </w:r>
      <w:proofErr w:type="spellStart"/>
      <w:r w:rsidRPr="00266B37">
        <w:rPr>
          <w:rFonts w:ascii="Arial" w:eastAsia="Times New Roman" w:hAnsi="Arial" w:cs="Arial"/>
          <w:sz w:val="24"/>
          <w:szCs w:val="24"/>
        </w:rPr>
        <w:t>Usayla</w:t>
      </w:r>
      <w:proofErr w:type="spellEnd"/>
      <w:r w:rsidRPr="00266B37">
        <w:rPr>
          <w:rFonts w:ascii="Arial" w:eastAsia="Times New Roman" w:hAnsi="Arial" w:cs="Arial"/>
          <w:sz w:val="24"/>
          <w:szCs w:val="24"/>
        </w:rPr>
        <w:t xml:space="preserve"> would like to stay here. However, her worried relatives are pressuring her to return to Jamaica because she is losing weight. </w:t>
      </w:r>
    </w:p>
    <w:p w:rsidR="0014641B" w:rsidRPr="00266B37" w:rsidRDefault="00266B37" w:rsidP="00266B37">
      <w:pPr>
        <w:pStyle w:val="Heading2"/>
      </w:pPr>
      <w:bookmarkStart w:id="7" w:name="_Toc161058201"/>
      <w:r>
        <w:t>2.2</w:t>
      </w:r>
      <w:r>
        <w:tab/>
      </w:r>
      <w:r w:rsidRPr="00266B37">
        <w:t>CASE RELATED DISEASES</w:t>
      </w:r>
      <w:bookmarkEnd w:id="7"/>
    </w:p>
    <w:p w:rsidR="0005391C" w:rsidRPr="00266B37" w:rsidRDefault="001E40E0" w:rsidP="0005391C">
      <w:pPr>
        <w:spacing w:line="360" w:lineRule="auto"/>
        <w:jc w:val="both"/>
        <w:rPr>
          <w:rFonts w:ascii="Arial" w:eastAsia="Times New Roman" w:hAnsi="Arial" w:cs="Arial"/>
          <w:sz w:val="24"/>
          <w:szCs w:val="24"/>
        </w:rPr>
      </w:pPr>
      <w:r w:rsidRPr="00266B37">
        <w:rPr>
          <w:rFonts w:ascii="Arial" w:eastAsia="Times New Roman" w:hAnsi="Arial" w:cs="Arial"/>
          <w:sz w:val="24"/>
          <w:szCs w:val="24"/>
        </w:rPr>
        <w:t>Among the most debilitating chronic diseases affecting the elderly, arthritis is right up there. Patients' mobility is restricted, their quality of life is negatively impacted, and they are more likely to experience invalidation as a result of the condition and self-service</w:t>
      </w:r>
      <w:r w:rsidR="008B5EAC" w:rsidRPr="00266B37">
        <w:rPr>
          <w:rFonts w:ascii="Arial" w:eastAsia="Times New Roman" w:hAnsi="Arial" w:cs="Arial"/>
          <w:sz w:val="24"/>
          <w:szCs w:val="24"/>
        </w:rPr>
        <w:t xml:space="preserve"> </w:t>
      </w:r>
      <w:r w:rsidR="008B5EAC" w:rsidRPr="00266B37">
        <w:rPr>
          <w:rFonts w:ascii="Arial" w:eastAsia="Times New Roman" w:hAnsi="Arial" w:cs="Arial"/>
          <w:sz w:val="24"/>
          <w:szCs w:val="24"/>
        </w:rPr>
        <w:fldChar w:fldCharType="begin"/>
      </w:r>
      <w:r w:rsidR="008B5EAC" w:rsidRPr="00266B37">
        <w:rPr>
          <w:rFonts w:ascii="Arial" w:eastAsia="Times New Roman" w:hAnsi="Arial" w:cs="Arial"/>
          <w:sz w:val="24"/>
          <w:szCs w:val="24"/>
        </w:rPr>
        <w:instrText xml:space="preserve"> ADDIN EN.CITE &lt;EndNote&gt;&lt;Cite&gt;&lt;Author&gt;Hadler&lt;/Author&gt;&lt;Year&gt;2005&lt;/Year&gt;&lt;RecNum&gt;182&lt;/RecNum&gt;&lt;DisplayText&gt;(Hadler, 2005)&lt;/DisplayText&gt;&lt;record&gt;&lt;rec-number&gt;182&lt;/rec-number&gt;&lt;foreign-keys&gt;&lt;key app="EN" db-id="efzt5stfrp29tqe5afxpatza2wa55xt99sxd" timestamp="1710146327"&gt;182&lt;/key&gt;&lt;/foreign-keys&gt;&lt;ref-type name="Book"&gt;6&lt;/ref-type&gt;&lt;contributors&gt;&lt;authors&gt;&lt;author&gt;Hadler, Nortin M&lt;/author&gt;&lt;/authors&gt;&lt;/contributors&gt;&lt;titles&gt;&lt;title&gt;Occupational musculoskeletal disorders&lt;/title&gt;&lt;/titles&gt;&lt;dates&gt;&lt;year&gt;2005&lt;/year&gt;&lt;/dates&gt;&lt;publisher&gt;Lippincott Williams &amp;amp; Wilkins&lt;/publisher&gt;&lt;isbn&gt;0781749220&lt;/isbn&gt;&lt;urls&gt;&lt;/urls&gt;&lt;/record&gt;&lt;/Cite&gt;&lt;/EndNote&gt;</w:instrText>
      </w:r>
      <w:r w:rsidR="008B5EAC" w:rsidRPr="00266B37">
        <w:rPr>
          <w:rFonts w:ascii="Arial" w:eastAsia="Times New Roman" w:hAnsi="Arial" w:cs="Arial"/>
          <w:sz w:val="24"/>
          <w:szCs w:val="24"/>
        </w:rPr>
        <w:fldChar w:fldCharType="separate"/>
      </w:r>
      <w:r w:rsidR="008B5EAC" w:rsidRPr="00266B37">
        <w:rPr>
          <w:rFonts w:ascii="Arial" w:eastAsia="Times New Roman" w:hAnsi="Arial" w:cs="Arial"/>
          <w:noProof/>
          <w:sz w:val="24"/>
          <w:szCs w:val="24"/>
        </w:rPr>
        <w:t>(Hadler, 2005)</w:t>
      </w:r>
      <w:r w:rsidR="008B5EAC" w:rsidRPr="00266B37">
        <w:rPr>
          <w:rFonts w:ascii="Arial" w:eastAsia="Times New Roman" w:hAnsi="Arial" w:cs="Arial"/>
          <w:sz w:val="24"/>
          <w:szCs w:val="24"/>
        </w:rPr>
        <w:fldChar w:fldCharType="end"/>
      </w:r>
      <w:r w:rsidRPr="00266B37">
        <w:rPr>
          <w:rFonts w:ascii="Arial" w:eastAsia="Times New Roman" w:hAnsi="Arial" w:cs="Arial"/>
          <w:sz w:val="24"/>
          <w:szCs w:val="24"/>
        </w:rPr>
        <w:t>. Joint system changes and physiological functions of the organism contribute to the worsening of RA clinical manifestations with age</w:t>
      </w:r>
      <w:r w:rsidR="008B5EAC" w:rsidRPr="00266B37">
        <w:rPr>
          <w:rFonts w:ascii="Arial" w:eastAsia="Times New Roman" w:hAnsi="Arial" w:cs="Arial"/>
          <w:sz w:val="24"/>
          <w:szCs w:val="24"/>
        </w:rPr>
        <w:t xml:space="preserve"> </w:t>
      </w:r>
      <w:r w:rsidR="008B5EAC" w:rsidRPr="00266B37">
        <w:rPr>
          <w:rFonts w:ascii="Arial" w:eastAsia="Times New Roman" w:hAnsi="Arial" w:cs="Arial"/>
          <w:sz w:val="24"/>
          <w:szCs w:val="24"/>
        </w:rPr>
        <w:fldChar w:fldCharType="begin"/>
      </w:r>
      <w:r w:rsidR="008B5EAC" w:rsidRPr="00266B37">
        <w:rPr>
          <w:rFonts w:ascii="Arial" w:eastAsia="Times New Roman" w:hAnsi="Arial" w:cs="Arial"/>
          <w:sz w:val="24"/>
          <w:szCs w:val="24"/>
        </w:rPr>
        <w:instrText xml:space="preserve"> ADDIN EN.CITE &lt;EndNote&gt;&lt;Cite&gt;&lt;Author&gt;Boots&lt;/Author&gt;&lt;Year&gt;2013&lt;/Year&gt;&lt;RecNum&gt;183&lt;/RecNum&gt;&lt;DisplayText&gt;(Boots et al., 2013)&lt;/DisplayText&gt;&lt;record&gt;&lt;rec-number&gt;183&lt;/rec-number&gt;&lt;foreign-keys&gt;&lt;key app="EN" db-id="efzt5stfrp29tqe5afxpatza2wa55xt99sxd" timestamp="1710146359"&gt;183&lt;/key&gt;&lt;/foreign-keys&gt;&lt;ref-type name="Journal Article"&gt;17&lt;/ref-type&gt;&lt;contributors&gt;&lt;authors&gt;&lt;author&gt;Boots, Annemieke MH&lt;/author&gt;&lt;author&gt;Maier, Andrea B&lt;/author&gt;&lt;author&gt;Stinissen, Piet&lt;/author&gt;&lt;author&gt;Masson, Pierre&lt;/author&gt;&lt;author&gt;Lories, Rik J&lt;/author&gt;&lt;author&gt;De Keyser, Filip&lt;/author&gt;&lt;/authors&gt;&lt;/contributors&gt;&lt;titles&gt;&lt;title&gt;The influence of ageing on the development and management of rheumatoid arthritis&lt;/title&gt;&lt;secondary-title&gt;Nature Reviews Rheumatology&lt;/secondary-title&gt;&lt;/titles&gt;&lt;periodical&gt;&lt;full-title&gt;Nature Reviews Rheumatology&lt;/full-title&gt;&lt;/periodical&gt;&lt;pages&gt;604-613&lt;/pages&gt;&lt;volume&gt;9&lt;/volume&gt;&lt;number&gt;10&lt;/number&gt;&lt;dates&gt;&lt;year&gt;2013&lt;/year&gt;&lt;/dates&gt;&lt;isbn&gt;1759-4790&lt;/isbn&gt;&lt;urls&gt;&lt;/urls&gt;&lt;/record&gt;&lt;/Cite&gt;&lt;/EndNote&gt;</w:instrText>
      </w:r>
      <w:r w:rsidR="008B5EAC" w:rsidRPr="00266B37">
        <w:rPr>
          <w:rFonts w:ascii="Arial" w:eastAsia="Times New Roman" w:hAnsi="Arial" w:cs="Arial"/>
          <w:sz w:val="24"/>
          <w:szCs w:val="24"/>
        </w:rPr>
        <w:fldChar w:fldCharType="separate"/>
      </w:r>
      <w:r w:rsidR="008B5EAC" w:rsidRPr="00266B37">
        <w:rPr>
          <w:rFonts w:ascii="Arial" w:eastAsia="Times New Roman" w:hAnsi="Arial" w:cs="Arial"/>
          <w:noProof/>
          <w:sz w:val="24"/>
          <w:szCs w:val="24"/>
        </w:rPr>
        <w:t>(Boots et al., 2013)</w:t>
      </w:r>
      <w:r w:rsidR="008B5EAC" w:rsidRPr="00266B37">
        <w:rPr>
          <w:rFonts w:ascii="Arial" w:eastAsia="Times New Roman" w:hAnsi="Arial" w:cs="Arial"/>
          <w:sz w:val="24"/>
          <w:szCs w:val="24"/>
        </w:rPr>
        <w:fldChar w:fldCharType="end"/>
      </w:r>
      <w:r w:rsidRPr="00266B37">
        <w:rPr>
          <w:rFonts w:ascii="Arial" w:eastAsia="Times New Roman" w:hAnsi="Arial" w:cs="Arial"/>
          <w:sz w:val="24"/>
          <w:szCs w:val="24"/>
        </w:rPr>
        <w:t xml:space="preserve">. These changes include a decrease in vitamin D synthesis, secretion of endorphins, aerobic loading of bone and muscle mass, an increase in adipose tissue, and a weakening of the immune system. The following factors contributed to the development of immunodeficiency: pharmaceuticals (including antibiotics, steroids, non-steroidal anti-inflammatory drugs, and </w:t>
      </w:r>
      <w:proofErr w:type="spellStart"/>
      <w:r w:rsidRPr="00266B37">
        <w:rPr>
          <w:rFonts w:ascii="Arial" w:eastAsia="Times New Roman" w:hAnsi="Arial" w:cs="Arial"/>
          <w:sz w:val="24"/>
          <w:szCs w:val="24"/>
        </w:rPr>
        <w:t>immunodepressants</w:t>
      </w:r>
      <w:proofErr w:type="spellEnd"/>
      <w:r w:rsidRPr="00266B37">
        <w:rPr>
          <w:rFonts w:ascii="Arial" w:eastAsia="Times New Roman" w:hAnsi="Arial" w:cs="Arial"/>
          <w:sz w:val="24"/>
          <w:szCs w:val="24"/>
        </w:rPr>
        <w:t>), dietary deficiencies and imbalances, an imbalance between pro- and anti-inflammatory steroids, neurotic disorders (ND) (such as asthenia, insomnia, anxiety, fear, depression, and so on), and poor sleep hygiene</w:t>
      </w:r>
      <w:r w:rsidR="008B5EAC" w:rsidRPr="00266B37">
        <w:rPr>
          <w:rFonts w:ascii="Arial" w:eastAsia="Times New Roman" w:hAnsi="Arial" w:cs="Arial"/>
          <w:sz w:val="24"/>
          <w:szCs w:val="24"/>
        </w:rPr>
        <w:t xml:space="preserve"> </w:t>
      </w:r>
      <w:r w:rsidR="008B5EAC" w:rsidRPr="00266B37">
        <w:rPr>
          <w:rFonts w:ascii="Arial" w:eastAsia="Times New Roman" w:hAnsi="Arial" w:cs="Arial"/>
          <w:sz w:val="24"/>
          <w:szCs w:val="24"/>
        </w:rPr>
        <w:fldChar w:fldCharType="begin"/>
      </w:r>
      <w:r w:rsidR="008B5EAC" w:rsidRPr="00266B37">
        <w:rPr>
          <w:rFonts w:ascii="Arial" w:eastAsia="Times New Roman" w:hAnsi="Arial" w:cs="Arial"/>
          <w:sz w:val="24"/>
          <w:szCs w:val="24"/>
        </w:rPr>
        <w:instrText xml:space="preserve"> ADDIN EN.CITE &lt;EndNote&gt;&lt;Cite&gt;&lt;Author&gt;Pedersen&lt;/Author&gt;&lt;Year&gt;2000&lt;/Year&gt;&lt;RecNum&gt;184&lt;/RecNum&gt;&lt;DisplayText&gt;(Pedersen &amp;amp; Hoffman-Goetz, 2000)&lt;/DisplayText&gt;&lt;record&gt;&lt;rec-number&gt;184&lt;/rec-number&gt;&lt;foreign-keys&gt;&lt;key app="EN" db-id="efzt5stfrp29tqe5afxpatza2wa55xt99sxd" timestamp="1710146398"&gt;184&lt;/key&gt;&lt;/foreign-keys&gt;&lt;ref-type name="Journal Article"&gt;17&lt;/ref-type&gt;&lt;contributors&gt;&lt;authors&gt;&lt;author&gt;Pedersen, Bente Klarlund&lt;/author&gt;&lt;author&gt;Hoffman-Goetz, Laurie&lt;/author&gt;&lt;/authors&gt;&lt;/contributors&gt;&lt;titles&gt;&lt;title&gt;Exercise and the immune system: regulation, integration, and adaptation&lt;/title&gt;&lt;secondary-title&gt;Physiological reviews&lt;/secondary-title&gt;&lt;/titles&gt;&lt;periodical&gt;&lt;full-title&gt;Physiological reviews&lt;/full-title&gt;&lt;/periodical&gt;&lt;dates&gt;&lt;year&gt;2000&lt;/year&gt;&lt;/dates&gt;&lt;urls&gt;&lt;/urls&gt;&lt;/record&gt;&lt;/Cite&gt;&lt;/EndNote&gt;</w:instrText>
      </w:r>
      <w:r w:rsidR="008B5EAC" w:rsidRPr="00266B37">
        <w:rPr>
          <w:rFonts w:ascii="Arial" w:eastAsia="Times New Roman" w:hAnsi="Arial" w:cs="Arial"/>
          <w:sz w:val="24"/>
          <w:szCs w:val="24"/>
        </w:rPr>
        <w:fldChar w:fldCharType="separate"/>
      </w:r>
      <w:r w:rsidR="008B5EAC" w:rsidRPr="00266B37">
        <w:rPr>
          <w:rFonts w:ascii="Arial" w:eastAsia="Times New Roman" w:hAnsi="Arial" w:cs="Arial"/>
          <w:noProof/>
          <w:sz w:val="24"/>
          <w:szCs w:val="24"/>
        </w:rPr>
        <w:t>(Pedersen &amp; Hoffman-Goetz, 2000)</w:t>
      </w:r>
      <w:r w:rsidR="008B5EAC" w:rsidRPr="00266B37">
        <w:rPr>
          <w:rFonts w:ascii="Arial" w:eastAsia="Times New Roman" w:hAnsi="Arial" w:cs="Arial"/>
          <w:sz w:val="24"/>
          <w:szCs w:val="24"/>
        </w:rPr>
        <w:fldChar w:fldCharType="end"/>
      </w:r>
      <w:r w:rsidRPr="00266B37">
        <w:rPr>
          <w:rFonts w:ascii="Arial" w:eastAsia="Times New Roman" w:hAnsi="Arial" w:cs="Arial"/>
          <w:sz w:val="24"/>
          <w:szCs w:val="24"/>
        </w:rPr>
        <w:t>.</w:t>
      </w:r>
      <w:r w:rsidR="0005391C" w:rsidRPr="00266B37">
        <w:rPr>
          <w:rFonts w:ascii="Arial" w:eastAsia="Times New Roman" w:hAnsi="Arial" w:cs="Arial"/>
          <w:sz w:val="24"/>
          <w:szCs w:val="24"/>
        </w:rPr>
        <w:t xml:space="preserve"> </w:t>
      </w:r>
    </w:p>
    <w:p w:rsidR="0043329E" w:rsidRPr="00266B37" w:rsidRDefault="00490A81" w:rsidP="0005391C">
      <w:pPr>
        <w:spacing w:line="360" w:lineRule="auto"/>
        <w:jc w:val="both"/>
        <w:rPr>
          <w:rFonts w:ascii="Arial" w:eastAsia="Times New Roman" w:hAnsi="Arial" w:cs="Arial"/>
          <w:sz w:val="24"/>
          <w:szCs w:val="24"/>
        </w:rPr>
      </w:pPr>
      <w:r w:rsidRPr="00266B37">
        <w:rPr>
          <w:rFonts w:ascii="Arial" w:eastAsia="Times New Roman" w:hAnsi="Arial" w:cs="Arial"/>
          <w:sz w:val="24"/>
          <w:szCs w:val="24"/>
        </w:rPr>
        <w:t>Among the elderly, osteoarthritis is the most common chronic joint illness. We still don't know much about the causes of this sickness, despite the fact that it affects a large number of people. It is possible to define arthritis as "a heterogeneous group of conditions that lead to joint symptoms and signs which are associated with defective integrity of articular cartilage, in addition to related changes in the underlying</w:t>
      </w:r>
      <w:r w:rsidR="0005391C" w:rsidRPr="00266B37">
        <w:rPr>
          <w:rFonts w:ascii="Arial" w:eastAsia="Times New Roman" w:hAnsi="Arial" w:cs="Arial"/>
          <w:sz w:val="24"/>
          <w:szCs w:val="24"/>
        </w:rPr>
        <w:t xml:space="preserve"> bone and at the joint margins"</w:t>
      </w:r>
      <w:r w:rsidRPr="00266B37">
        <w:rPr>
          <w:rFonts w:ascii="Arial" w:eastAsia="Times New Roman" w:hAnsi="Arial" w:cs="Arial"/>
          <w:sz w:val="24"/>
          <w:szCs w:val="24"/>
        </w:rPr>
        <w:t>. Data from the National Centre for Health Statistics Health Ins</w:t>
      </w:r>
      <w:r w:rsidR="0005391C" w:rsidRPr="00266B37">
        <w:rPr>
          <w:rFonts w:ascii="Arial" w:eastAsia="Times New Roman" w:hAnsi="Arial" w:cs="Arial"/>
          <w:sz w:val="24"/>
          <w:szCs w:val="24"/>
        </w:rPr>
        <w:t xml:space="preserve">urance Surveys (NHIS) </w:t>
      </w:r>
      <w:r w:rsidRPr="00266B37">
        <w:rPr>
          <w:rFonts w:ascii="Arial" w:eastAsia="Times New Roman" w:hAnsi="Arial" w:cs="Arial"/>
          <w:sz w:val="24"/>
          <w:szCs w:val="24"/>
        </w:rPr>
        <w:t xml:space="preserve">which collect information on </w:t>
      </w:r>
      <w:r w:rsidR="0005391C" w:rsidRPr="00266B37">
        <w:rPr>
          <w:rFonts w:ascii="Arial" w:eastAsia="Times New Roman" w:hAnsi="Arial" w:cs="Arial"/>
          <w:sz w:val="24"/>
          <w:szCs w:val="24"/>
        </w:rPr>
        <w:t>people</w:t>
      </w:r>
      <w:r w:rsidRPr="00266B37">
        <w:rPr>
          <w:rFonts w:ascii="Arial" w:eastAsia="Times New Roman" w:hAnsi="Arial" w:cs="Arial"/>
          <w:sz w:val="24"/>
          <w:szCs w:val="24"/>
        </w:rPr>
        <w:t xml:space="preserve"> self-reports of having various musculoskeletal </w:t>
      </w:r>
      <w:r w:rsidR="0005391C" w:rsidRPr="00266B37">
        <w:rPr>
          <w:rFonts w:ascii="Arial" w:eastAsia="Times New Roman" w:hAnsi="Arial" w:cs="Arial"/>
          <w:sz w:val="24"/>
          <w:szCs w:val="24"/>
        </w:rPr>
        <w:t xml:space="preserve">disorders in the last 12 months </w:t>
      </w:r>
      <w:r w:rsidRPr="00266B37">
        <w:rPr>
          <w:rFonts w:ascii="Arial" w:eastAsia="Times New Roman" w:hAnsi="Arial" w:cs="Arial"/>
          <w:sz w:val="24"/>
          <w:szCs w:val="24"/>
        </w:rPr>
        <w:t xml:space="preserve">have been used by the CDC to update its arthritis prevalence estimates. The quantity of joints examined, respondent age and sex, and reporting method (physical exam, x-ray, self-report) are among the variables that impact these estimates. Prior to comparison with the ICD-9 codes </w:t>
      </w:r>
      <w:r w:rsidR="0005391C" w:rsidRPr="00266B37">
        <w:rPr>
          <w:rFonts w:ascii="Arial" w:eastAsia="Times New Roman" w:hAnsi="Arial" w:cs="Arial"/>
          <w:sz w:val="24"/>
          <w:szCs w:val="24"/>
        </w:rPr>
        <w:t>utilized</w:t>
      </w:r>
      <w:r w:rsidRPr="00266B37">
        <w:rPr>
          <w:rFonts w:ascii="Arial" w:eastAsia="Times New Roman" w:hAnsi="Arial" w:cs="Arial"/>
          <w:sz w:val="24"/>
          <w:szCs w:val="24"/>
        </w:rPr>
        <w:t xml:space="preserve"> to </w:t>
      </w:r>
      <w:r w:rsidR="0005391C" w:rsidRPr="00266B37">
        <w:rPr>
          <w:rFonts w:ascii="Arial" w:eastAsia="Times New Roman" w:hAnsi="Arial" w:cs="Arial"/>
          <w:sz w:val="24"/>
          <w:szCs w:val="24"/>
        </w:rPr>
        <w:t>characterize</w:t>
      </w:r>
      <w:r w:rsidRPr="00266B37">
        <w:rPr>
          <w:rFonts w:ascii="Arial" w:eastAsia="Times New Roman" w:hAnsi="Arial" w:cs="Arial"/>
          <w:sz w:val="24"/>
          <w:szCs w:val="24"/>
        </w:rPr>
        <w:t xml:space="preserve"> arthritis by the National Arthritis Data Workgroup, the CDC assigned these illnesses their respective codes</w:t>
      </w:r>
      <w:r w:rsidR="008B5EAC" w:rsidRPr="00266B37">
        <w:rPr>
          <w:rFonts w:ascii="Arial" w:eastAsia="Times New Roman" w:hAnsi="Arial" w:cs="Arial"/>
          <w:sz w:val="24"/>
          <w:szCs w:val="24"/>
        </w:rPr>
        <w:t xml:space="preserve"> </w:t>
      </w:r>
      <w:r w:rsidR="008B5EAC" w:rsidRPr="00266B37">
        <w:rPr>
          <w:rFonts w:ascii="Arial" w:eastAsia="Times New Roman" w:hAnsi="Arial" w:cs="Arial"/>
          <w:sz w:val="24"/>
          <w:szCs w:val="24"/>
        </w:rPr>
        <w:fldChar w:fldCharType="begin"/>
      </w:r>
      <w:r w:rsidR="008B5EAC" w:rsidRPr="00266B37">
        <w:rPr>
          <w:rFonts w:ascii="Arial" w:eastAsia="Times New Roman" w:hAnsi="Arial" w:cs="Arial"/>
          <w:sz w:val="24"/>
          <w:szCs w:val="24"/>
        </w:rPr>
        <w:instrText xml:space="preserve"> ADDIN EN.CITE &lt;EndNote&gt;&lt;Cite&gt;&lt;Author&gt;Han&lt;/Author&gt;&lt;Year&gt;2016&lt;/Year&gt;&lt;RecNum&gt;185&lt;/RecNum&gt;&lt;DisplayText&gt;(Han et al., 2016; Murphy et al., 2018)&lt;/DisplayText&gt;&lt;record&gt;&lt;rec-number&gt;185&lt;/rec-number&gt;&lt;foreign-keys&gt;&lt;key app="EN" db-id="efzt5stfrp29tqe5afxpatza2wa55xt99sxd" timestamp="1710146437"&gt;185&lt;/key&gt;&lt;/foreign-keys&gt;&lt;ref-type name="Journal Article"&gt;17&lt;/ref-type&gt;&lt;contributors&gt;&lt;authors&gt;&lt;author&gt;Han, Guang</w:instrText>
      </w:r>
      <w:r w:rsidR="008B5EAC" w:rsidRPr="00266B37">
        <w:rPr>
          <w:rFonts w:ascii="Cambria Math" w:eastAsia="Times New Roman" w:hAnsi="Cambria Math" w:cs="Cambria Math"/>
          <w:sz w:val="24"/>
          <w:szCs w:val="24"/>
        </w:rPr>
        <w:instrText>‐</w:instrText>
      </w:r>
      <w:r w:rsidR="008B5EAC" w:rsidRPr="00266B37">
        <w:rPr>
          <w:rFonts w:ascii="Arial" w:eastAsia="Times New Roman" w:hAnsi="Arial" w:cs="Arial"/>
          <w:sz w:val="24"/>
          <w:szCs w:val="24"/>
        </w:rPr>
        <w:instrText>Ming&lt;/author&gt;&lt;author&gt;Michaud, Kaleb&lt;/author&gt;&lt;author&gt;Yu, Fang&lt;/author&gt;&lt;author&gt;Watanabe</w:instrText>
      </w:r>
      <w:r w:rsidR="008B5EAC" w:rsidRPr="00266B37">
        <w:rPr>
          <w:rFonts w:ascii="Cambria Math" w:eastAsia="Times New Roman" w:hAnsi="Cambria Math" w:cs="Cambria Math"/>
          <w:sz w:val="24"/>
          <w:szCs w:val="24"/>
        </w:rPr>
        <w:instrText>‐</w:instrText>
      </w:r>
      <w:r w:rsidR="008B5EAC" w:rsidRPr="00266B37">
        <w:rPr>
          <w:rFonts w:ascii="Arial" w:eastAsia="Times New Roman" w:hAnsi="Arial" w:cs="Arial"/>
          <w:sz w:val="24"/>
          <w:szCs w:val="24"/>
        </w:rPr>
        <w:instrText>Galloway, Shinobu&lt;/author&gt;&lt;author&gt;Mikuls, Ted R&lt;/author&gt;&lt;/authors&gt;&lt;/contributors&gt;&lt;titles&gt;&lt;title&gt;Increasing public health burden of arthritis and other rheumatic conditions and comorbidity: results from a Statewide Health Surveillance System, 2007–2012&lt;/title&gt;&lt;secondary-title&gt;Arthritis care &amp;amp; research&lt;/secondary-title&gt;&lt;/titles&gt;&lt;periodical&gt;&lt;full-title&gt;Arthritis care &amp;amp; research&lt;/full-title&gt;&lt;/periodical&gt;&lt;pages&gt;1417-1427&lt;/pages&gt;&lt;volume&gt;68&lt;/volume&gt;&lt;number&gt;10&lt;/number&gt;&lt;dates&gt;&lt;year&gt;2016&lt;/year&gt;&lt;/dates&gt;&lt;isbn&gt;2151-464X&lt;/isbn&gt;&lt;urls&gt;&lt;/urls&gt;&lt;/record&gt;&lt;/Cite&gt;&lt;Cite&gt;&lt;Author&gt;Murphy&lt;/Author&gt;&lt;Year&gt;2018&lt;/Year&gt;&lt;RecNum&gt;186&lt;/RecNum&gt;&lt;record&gt;&lt;rec-number&gt;186&lt;/rec-number&gt;&lt;foreign-keys&gt;&lt;key app="EN" db-id="efzt5stfrp29tqe5afxpatza2wa55xt99sxd" timestamp="1710146467"&gt;186&lt;/key&gt;&lt;/foreign-keys&gt;&lt;ref-type name="Journal Article"&gt;17&lt;/ref-type&gt;&lt;contributors&gt;&lt;authors&gt;&lt;author&gt;Murphy, Louise B&lt;/author&gt;&lt;author&gt;Cisternas, Miriam G&lt;/author&gt;&lt;author&gt;Pasta, David J&lt;/author&gt;&lt;author&gt;Helmick, Charles G&lt;/author&gt;&lt;author&gt;Yelin, Edward H&lt;/author&gt;&lt;/authors&gt;&lt;/contributors&gt;&lt;titles&gt;&lt;title&gt;Medical expenditures and earnings losses among US adults with arthritis in 2013&lt;/title&gt;&lt;secondary-title&gt;Arthritis care &amp;amp; research&lt;/secondary-title&gt;&lt;/titles&gt;&lt;periodical&gt;&lt;full-title&gt;Arthritis care &amp;amp; research&lt;/full-title&gt;&lt;/periodical&gt;&lt;pages&gt;869-876&lt;/pages&gt;&lt;volume&gt;70&lt;/volume&gt;&lt;number&gt;6&lt;/number&gt;&lt;dates&gt;&lt;year&gt;2018&lt;/year&gt;&lt;/dates&gt;&lt;isbn&gt;2151-464X&lt;/isbn&gt;&lt;urls&gt;&lt;/urls&gt;&lt;/record&gt;&lt;/Cite&gt;&lt;/EndNote&gt;</w:instrText>
      </w:r>
      <w:r w:rsidR="008B5EAC" w:rsidRPr="00266B37">
        <w:rPr>
          <w:rFonts w:ascii="Arial" w:eastAsia="Times New Roman" w:hAnsi="Arial" w:cs="Arial"/>
          <w:sz w:val="24"/>
          <w:szCs w:val="24"/>
        </w:rPr>
        <w:fldChar w:fldCharType="separate"/>
      </w:r>
      <w:r w:rsidR="008B5EAC" w:rsidRPr="00266B37">
        <w:rPr>
          <w:rFonts w:ascii="Arial" w:eastAsia="Times New Roman" w:hAnsi="Arial" w:cs="Arial"/>
          <w:noProof/>
          <w:sz w:val="24"/>
          <w:szCs w:val="24"/>
        </w:rPr>
        <w:t>(Han et al., 2016; Murphy et al., 2018)</w:t>
      </w:r>
      <w:r w:rsidR="008B5EAC" w:rsidRPr="00266B37">
        <w:rPr>
          <w:rFonts w:ascii="Arial" w:eastAsia="Times New Roman" w:hAnsi="Arial" w:cs="Arial"/>
          <w:sz w:val="24"/>
          <w:szCs w:val="24"/>
        </w:rPr>
        <w:fldChar w:fldCharType="end"/>
      </w:r>
      <w:r w:rsidRPr="00266B37">
        <w:rPr>
          <w:rFonts w:ascii="Arial" w:eastAsia="Times New Roman" w:hAnsi="Arial" w:cs="Arial"/>
          <w:sz w:val="24"/>
          <w:szCs w:val="24"/>
        </w:rPr>
        <w:t xml:space="preserve">. </w:t>
      </w:r>
    </w:p>
    <w:p w:rsidR="001702D3" w:rsidRPr="00266B37" w:rsidRDefault="00266B37" w:rsidP="00266B37">
      <w:pPr>
        <w:pStyle w:val="Heading2"/>
      </w:pPr>
      <w:bookmarkStart w:id="8" w:name="_Toc161058202"/>
      <w:r>
        <w:lastRenderedPageBreak/>
        <w:t>2.3</w:t>
      </w:r>
      <w:r>
        <w:tab/>
      </w:r>
      <w:r w:rsidRPr="00266B37">
        <w:t>EFFECTIVENESS</w:t>
      </w:r>
      <w:bookmarkEnd w:id="8"/>
      <w:r w:rsidR="001702D3" w:rsidRPr="00266B37">
        <w:t xml:space="preserve"> </w:t>
      </w:r>
    </w:p>
    <w:p w:rsidR="008B5EAC" w:rsidRPr="00266B37" w:rsidRDefault="0043329E" w:rsidP="0005391C">
      <w:pPr>
        <w:spacing w:after="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Researchers in the </w:t>
      </w:r>
      <w:r w:rsidR="0005391C" w:rsidRPr="00266B37">
        <w:rPr>
          <w:rFonts w:ascii="Arial" w:eastAsia="Times New Roman" w:hAnsi="Arial" w:cs="Arial"/>
          <w:sz w:val="24"/>
          <w:szCs w:val="24"/>
        </w:rPr>
        <w:t>research looked</w:t>
      </w:r>
      <w:r w:rsidRPr="00266B37">
        <w:rPr>
          <w:rFonts w:ascii="Arial" w:eastAsia="Times New Roman" w:hAnsi="Arial" w:cs="Arial"/>
          <w:sz w:val="24"/>
          <w:szCs w:val="24"/>
        </w:rPr>
        <w:t xml:space="preserve"> at typically divided the total number of prescribed exercise sessions by the number of reported or attended sessions to get the exercise participation rates. The prevalence of physical activity in the research that </w:t>
      </w:r>
      <w:r w:rsidR="0005391C" w:rsidRPr="00266B37">
        <w:rPr>
          <w:rFonts w:ascii="Arial" w:eastAsia="Times New Roman" w:hAnsi="Arial" w:cs="Arial"/>
          <w:sz w:val="24"/>
          <w:szCs w:val="24"/>
        </w:rPr>
        <w:t>utilized</w:t>
      </w:r>
      <w:r w:rsidRPr="00266B37">
        <w:rPr>
          <w:rFonts w:ascii="Arial" w:eastAsia="Times New Roman" w:hAnsi="Arial" w:cs="Arial"/>
          <w:sz w:val="24"/>
          <w:szCs w:val="24"/>
        </w:rPr>
        <w:t xml:space="preserve"> them ranged from 36% to 98% (median 5 around 80%; mean 5 about 75%). This rather wide range could be due to a positive reporting/publication bias or higher rates of physical activity participation in older adult samples compared to the younger samples used for most of the research, considering that just about half of healthy adults who start an exercise programme end up sticking with it for at least three months. </w:t>
      </w:r>
    </w:p>
    <w:p w:rsidR="0043329E" w:rsidRPr="00266B37" w:rsidRDefault="0043329E" w:rsidP="00266B37">
      <w:pPr>
        <w:spacing w:before="240" w:after="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As compared to research that concentrated on younger individuals, many of the studies that were considered </w:t>
      </w:r>
      <w:r w:rsidR="0005391C" w:rsidRPr="00266B37">
        <w:rPr>
          <w:rFonts w:ascii="Arial" w:eastAsia="Times New Roman" w:hAnsi="Arial" w:cs="Arial"/>
          <w:sz w:val="24"/>
          <w:szCs w:val="24"/>
        </w:rPr>
        <w:t>utilized</w:t>
      </w:r>
      <w:r w:rsidRPr="00266B37">
        <w:rPr>
          <w:rFonts w:ascii="Arial" w:eastAsia="Times New Roman" w:hAnsi="Arial" w:cs="Arial"/>
          <w:sz w:val="24"/>
          <w:szCs w:val="24"/>
        </w:rPr>
        <w:t xml:space="preserve"> prescriptions for lower-intensity exercise, which may explain why the exercise participation rates were significantly higher. None of the studies specified how exercise participation was measured. Not all prescription information are often disclosed, albeit attendance rates are one example. For example, exercise intensity and duration are not. Researchers may have omitted non-participants or low performers when calculating activity patterns, or they may not have followed the intention-to-treat principle when reporting exercise participation rates. Consequently, the results about adherence could be exaggerated</w:t>
      </w:r>
      <w:r w:rsidR="008B5EAC" w:rsidRPr="00266B37">
        <w:rPr>
          <w:rFonts w:ascii="Arial" w:eastAsia="Times New Roman" w:hAnsi="Arial" w:cs="Arial"/>
          <w:sz w:val="24"/>
          <w:szCs w:val="24"/>
        </w:rPr>
        <w:t xml:space="preserve"> </w:t>
      </w:r>
      <w:r w:rsidR="008B5EAC" w:rsidRPr="00266B37">
        <w:rPr>
          <w:rFonts w:ascii="Arial" w:eastAsia="Times New Roman" w:hAnsi="Arial" w:cs="Arial"/>
          <w:sz w:val="24"/>
          <w:szCs w:val="24"/>
        </w:rPr>
        <w:fldChar w:fldCharType="begin"/>
      </w:r>
      <w:r w:rsidR="008B5EAC" w:rsidRPr="00266B37">
        <w:rPr>
          <w:rFonts w:ascii="Arial" w:eastAsia="Times New Roman" w:hAnsi="Arial" w:cs="Arial"/>
          <w:sz w:val="24"/>
          <w:szCs w:val="24"/>
        </w:rPr>
        <w:instrText xml:space="preserve"> ADDIN EN.CITE &lt;EndNote&gt;&lt;Cite&gt;&lt;Author&gt;Kampshoff&lt;/Author&gt;&lt;Year&gt;2015&lt;/Year&gt;&lt;RecNum&gt;187&lt;/RecNum&gt;&lt;DisplayText&gt;(Kampshoff et al., 2015)&lt;/DisplayText&gt;&lt;record&gt;&lt;rec-number&gt;187&lt;/rec-number&gt;&lt;foreign-keys&gt;&lt;key app="EN" db-id="efzt5stfrp29tqe5afxpatza2wa55xt99sxd" timestamp="1710146525"&gt;187&lt;/key&gt;&lt;/foreign-keys&gt;&lt;ref-type name="Journal Article"&gt;17&lt;/ref-type&gt;&lt;contributors&gt;&lt;authors&gt;&lt;author&gt;Kampshoff, Caroline S&lt;/author&gt;&lt;author&gt;Chinapaw, Mai JM&lt;/author&gt;&lt;author&gt;Brug, Johannes&lt;/author&gt;&lt;author&gt;Twisk, Jos WR&lt;/author&gt;&lt;author&gt;Schep, Goof&lt;/author&gt;&lt;author&gt;Nijziel, Marten R&lt;/author&gt;&lt;author&gt;van Mechelen, Willem&lt;/author&gt;&lt;author&gt;Buffart, Laurien M&lt;/author&gt;&lt;/authors&gt;&lt;/contributors&gt;&lt;titles&gt;&lt;title&gt;Randomized controlled trial of the effects of high intensity and low-to-moderate intensity exercise on physical fitness and fatigue in cancer survivors: results of the Resistance and Endurance exercise After ChemoTherapy (REACT) study&lt;/title&gt;&lt;secondary-title&gt;BMC medicine&lt;/secondary-title&gt;&lt;/titles&gt;&lt;periodical&gt;&lt;full-title&gt;BMC medicine&lt;/full-title&gt;&lt;/periodical&gt;&lt;pages&gt;1-12&lt;/pages&gt;&lt;volume&gt;13&lt;/volume&gt;&lt;dates&gt;&lt;year&gt;2015&lt;/year&gt;&lt;/dates&gt;&lt;urls&gt;&lt;/urls&gt;&lt;/record&gt;&lt;/Cite&gt;&lt;/EndNote&gt;</w:instrText>
      </w:r>
      <w:r w:rsidR="008B5EAC" w:rsidRPr="00266B37">
        <w:rPr>
          <w:rFonts w:ascii="Arial" w:eastAsia="Times New Roman" w:hAnsi="Arial" w:cs="Arial"/>
          <w:sz w:val="24"/>
          <w:szCs w:val="24"/>
        </w:rPr>
        <w:fldChar w:fldCharType="separate"/>
      </w:r>
      <w:r w:rsidR="008B5EAC" w:rsidRPr="00266B37">
        <w:rPr>
          <w:rFonts w:ascii="Arial" w:eastAsia="Times New Roman" w:hAnsi="Arial" w:cs="Arial"/>
          <w:noProof/>
          <w:sz w:val="24"/>
          <w:szCs w:val="24"/>
        </w:rPr>
        <w:t>(Kampshoff et al., 2015)</w:t>
      </w:r>
      <w:r w:rsidR="008B5EAC" w:rsidRPr="00266B37">
        <w:rPr>
          <w:rFonts w:ascii="Arial" w:eastAsia="Times New Roman" w:hAnsi="Arial" w:cs="Arial"/>
          <w:sz w:val="24"/>
          <w:szCs w:val="24"/>
        </w:rPr>
        <w:fldChar w:fldCharType="end"/>
      </w:r>
      <w:r w:rsidRPr="00266B37">
        <w:rPr>
          <w:rFonts w:ascii="Arial" w:eastAsia="Times New Roman" w:hAnsi="Arial" w:cs="Arial"/>
          <w:sz w:val="24"/>
          <w:szCs w:val="24"/>
        </w:rPr>
        <w:t>.</w:t>
      </w:r>
    </w:p>
    <w:p w:rsidR="001702D3" w:rsidRPr="00266B37" w:rsidRDefault="00266B37" w:rsidP="00266B37">
      <w:pPr>
        <w:pStyle w:val="Heading2"/>
      </w:pPr>
      <w:bookmarkStart w:id="9" w:name="_Toc161058203"/>
      <w:r>
        <w:t>2.4</w:t>
      </w:r>
      <w:r>
        <w:tab/>
      </w:r>
      <w:r w:rsidRPr="00266B37">
        <w:t>MAINTENANCE</w:t>
      </w:r>
      <w:bookmarkEnd w:id="9"/>
      <w:r w:rsidRPr="00266B37">
        <w:t xml:space="preserve"> </w:t>
      </w:r>
    </w:p>
    <w:p w:rsidR="00490A81" w:rsidRPr="00266B37" w:rsidRDefault="00490A81" w:rsidP="0005391C">
      <w:pPr>
        <w:spacing w:after="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While most intervention studies in the realm of physical activity have had durations of 6 months or less, it is worth mentioning that a significant proportion of studies (12, or 41%) had intervention periods lasting 10 months or more. Out of the trials mentioned, eleven have provided follow-up data following the completion of the primary study, while two trials have data that has not been publicly released. The recorded durations of the follow-up periods varied from three months to eleven and a half years. Except for a few research, the vast majority of them showed either a maintenance or an enhancement of the physical activity or fitness level compared to the control group. In contrast, subsequent evaluations (such as overall self-reports) frequently exhibited inferior quality in comparison to the primary trial. </w:t>
      </w:r>
    </w:p>
    <w:p w:rsidR="001702D3" w:rsidRPr="00266B37" w:rsidRDefault="001702D3" w:rsidP="00266B37">
      <w:pPr>
        <w:pStyle w:val="Heading1"/>
      </w:pPr>
      <w:bookmarkStart w:id="10" w:name="_Toc161058204"/>
      <w:r w:rsidRPr="00266B37">
        <w:lastRenderedPageBreak/>
        <w:t>Potential Public Health Impact of Current Intervention Approaches</w:t>
      </w:r>
      <w:bookmarkEnd w:id="10"/>
      <w:r w:rsidRPr="00266B37">
        <w:t xml:space="preserve"> </w:t>
      </w:r>
    </w:p>
    <w:p w:rsidR="001E40E0" w:rsidRPr="00266B37" w:rsidRDefault="001E40E0" w:rsidP="0005391C">
      <w:pPr>
        <w:spacing w:after="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Multiple studies shown that structured group or class-based physical activity formats can increase engagement in physical activity for relatively short periods of time (less than six months). Furthermore, certain groups of older persons demonstrated satisfactory rates of involvement in longer-term classes or groups, lasting up to three years in one instance, according to multiple studies. Particularly promising are the results offered by </w:t>
      </w:r>
      <w:proofErr w:type="spellStart"/>
      <w:r w:rsidRPr="00266B37">
        <w:rPr>
          <w:rFonts w:ascii="Arial" w:eastAsia="Times New Roman" w:hAnsi="Arial" w:cs="Arial"/>
          <w:sz w:val="24"/>
          <w:szCs w:val="24"/>
        </w:rPr>
        <w:t>Rejeski</w:t>
      </w:r>
      <w:proofErr w:type="spellEnd"/>
      <w:r w:rsidRPr="00266B37">
        <w:rPr>
          <w:rFonts w:ascii="Arial" w:eastAsia="Times New Roman" w:hAnsi="Arial" w:cs="Arial"/>
          <w:sz w:val="24"/>
          <w:szCs w:val="24"/>
        </w:rPr>
        <w:t xml:space="preserve"> and Brawley, who created a </w:t>
      </w:r>
      <w:r w:rsidR="0005391C" w:rsidRPr="00266B37">
        <w:rPr>
          <w:rFonts w:ascii="Arial" w:eastAsia="Times New Roman" w:hAnsi="Arial" w:cs="Arial"/>
          <w:sz w:val="24"/>
          <w:szCs w:val="24"/>
        </w:rPr>
        <w:t>behavioral</w:t>
      </w:r>
      <w:r w:rsidRPr="00266B37">
        <w:rPr>
          <w:rFonts w:ascii="Arial" w:eastAsia="Times New Roman" w:hAnsi="Arial" w:cs="Arial"/>
          <w:sz w:val="24"/>
          <w:szCs w:val="24"/>
        </w:rPr>
        <w:t xml:space="preserve"> intervention that made direct use of the group structure in order to increase levels of physical activity after the formal group had ended. To foster the development of self-sustaining methods to promote long-term maintenance, the center-based interactions in that study were purposely spaced at increasing intervals over time and there were a restricted number of them</w:t>
      </w:r>
      <w:r w:rsidR="008B5EAC" w:rsidRPr="00266B37">
        <w:rPr>
          <w:rFonts w:ascii="Arial" w:eastAsia="Times New Roman" w:hAnsi="Arial" w:cs="Arial"/>
          <w:sz w:val="24"/>
          <w:szCs w:val="24"/>
        </w:rPr>
        <w:t xml:space="preserve"> </w:t>
      </w:r>
      <w:r w:rsidR="008B5EAC" w:rsidRPr="00266B37">
        <w:rPr>
          <w:rFonts w:ascii="Arial" w:eastAsia="Times New Roman" w:hAnsi="Arial" w:cs="Arial"/>
          <w:sz w:val="24"/>
          <w:szCs w:val="24"/>
        </w:rPr>
        <w:fldChar w:fldCharType="begin"/>
      </w:r>
      <w:r w:rsidR="008B5EAC" w:rsidRPr="00266B37">
        <w:rPr>
          <w:rFonts w:ascii="Arial" w:eastAsia="Times New Roman" w:hAnsi="Arial" w:cs="Arial"/>
          <w:sz w:val="24"/>
          <w:szCs w:val="24"/>
        </w:rPr>
        <w:instrText xml:space="preserve"> ADDIN EN.CITE &lt;EndNote&gt;&lt;Cite&gt;&lt;Author&gt;Brawley&lt;/Author&gt;&lt;Year&gt;2000&lt;/Year&gt;&lt;RecNum&gt;188&lt;/RecNum&gt;&lt;DisplayText&gt;(Brawley et al., 2000)&lt;/DisplayText&gt;&lt;record&gt;&lt;rec-number&gt;188&lt;/rec-number&gt;&lt;foreign-keys&gt;&lt;key app="EN" db-id="efzt5stfrp29tqe5afxpatza2wa55xt99sxd" timestamp="1710146566"&gt;188&lt;/key&gt;&lt;/foreign-keys&gt;&lt;ref-type name="Journal Article"&gt;17&lt;/ref-type&gt;&lt;contributors&gt;&lt;authors&gt;&lt;author&gt;Brawley, Lawrence R&lt;/author&gt;&lt;author&gt;Rejeski, W Jack&lt;/author&gt;&lt;author&gt;Lutes, Lesley&lt;/author&gt;&lt;/authors&gt;&lt;/contributors&gt;&lt;titles&gt;&lt;title&gt;A group</w:instrText>
      </w:r>
      <w:r w:rsidR="008B5EAC" w:rsidRPr="00266B37">
        <w:rPr>
          <w:rFonts w:ascii="Cambria Math" w:eastAsia="Times New Roman" w:hAnsi="Cambria Math" w:cs="Cambria Math"/>
          <w:sz w:val="24"/>
          <w:szCs w:val="24"/>
        </w:rPr>
        <w:instrText>‐</w:instrText>
      </w:r>
      <w:r w:rsidR="008B5EAC" w:rsidRPr="00266B37">
        <w:rPr>
          <w:rFonts w:ascii="Arial" w:eastAsia="Times New Roman" w:hAnsi="Arial" w:cs="Arial"/>
          <w:sz w:val="24"/>
          <w:szCs w:val="24"/>
        </w:rPr>
        <w:instrText>mediated cognitive</w:instrText>
      </w:r>
      <w:r w:rsidR="008B5EAC" w:rsidRPr="00266B37">
        <w:rPr>
          <w:rFonts w:ascii="Cambria Math" w:eastAsia="Times New Roman" w:hAnsi="Cambria Math" w:cs="Cambria Math"/>
          <w:sz w:val="24"/>
          <w:szCs w:val="24"/>
        </w:rPr>
        <w:instrText>‐</w:instrText>
      </w:r>
      <w:r w:rsidR="008B5EAC" w:rsidRPr="00266B37">
        <w:rPr>
          <w:rFonts w:ascii="Arial" w:eastAsia="Times New Roman" w:hAnsi="Arial" w:cs="Arial"/>
          <w:sz w:val="24"/>
          <w:szCs w:val="24"/>
        </w:rPr>
        <w:instrText>behavioral intervention for increasing adherence to physical activity in older adults 1&lt;/title&gt;&lt;secondary-title&gt;Journal of Applied Biobehavioral Research&lt;/secondary-title&gt;&lt;/titles&gt;&lt;periodical&gt;&lt;full-title&gt;Journal of Applied Biobehavioral Research&lt;/full-title&gt;&lt;/periodical&gt;&lt;pages&gt;47-65&lt;/pages&gt;&lt;volume&gt;5&lt;/volume&gt;&lt;number&gt;1&lt;/number&gt;&lt;dates&gt;&lt;year&gt;2000&lt;/year&gt;&lt;/dates&gt;&lt;isbn&gt;1071-2089&lt;/isbn&gt;&lt;urls&gt;&lt;/urls&gt;&lt;/record&gt;&lt;/Cite&gt;&lt;/EndNote&gt;</w:instrText>
      </w:r>
      <w:r w:rsidR="008B5EAC" w:rsidRPr="00266B37">
        <w:rPr>
          <w:rFonts w:ascii="Arial" w:eastAsia="Times New Roman" w:hAnsi="Arial" w:cs="Arial"/>
          <w:sz w:val="24"/>
          <w:szCs w:val="24"/>
        </w:rPr>
        <w:fldChar w:fldCharType="separate"/>
      </w:r>
      <w:r w:rsidR="008B5EAC" w:rsidRPr="00266B37">
        <w:rPr>
          <w:rFonts w:ascii="Arial" w:eastAsia="Times New Roman" w:hAnsi="Arial" w:cs="Arial"/>
          <w:noProof/>
          <w:sz w:val="24"/>
          <w:szCs w:val="24"/>
        </w:rPr>
        <w:t>(Brawley et al., 2000)</w:t>
      </w:r>
      <w:r w:rsidR="008B5EAC" w:rsidRPr="00266B37">
        <w:rPr>
          <w:rFonts w:ascii="Arial" w:eastAsia="Times New Roman" w:hAnsi="Arial" w:cs="Arial"/>
          <w:sz w:val="24"/>
          <w:szCs w:val="24"/>
        </w:rPr>
        <w:fldChar w:fldCharType="end"/>
      </w:r>
      <w:r w:rsidRPr="00266B37">
        <w:rPr>
          <w:rFonts w:ascii="Arial" w:eastAsia="Times New Roman" w:hAnsi="Arial" w:cs="Arial"/>
          <w:sz w:val="24"/>
          <w:szCs w:val="24"/>
        </w:rPr>
        <w:t>.</w:t>
      </w:r>
    </w:p>
    <w:p w:rsidR="001702D3" w:rsidRPr="00266B37" w:rsidRDefault="001702D3" w:rsidP="00266B37">
      <w:pPr>
        <w:pStyle w:val="Heading1"/>
      </w:pPr>
      <w:bookmarkStart w:id="11" w:name="_Toc161058205"/>
      <w:r w:rsidRPr="00266B37">
        <w:t>Additional Issues Physical Activity Assessment among Older Adults</w:t>
      </w:r>
      <w:bookmarkEnd w:id="11"/>
      <w:r w:rsidRPr="00266B37">
        <w:t xml:space="preserve"> </w:t>
      </w:r>
    </w:p>
    <w:p w:rsidR="0043329E" w:rsidRPr="00266B37" w:rsidRDefault="0043329E" w:rsidP="0005391C">
      <w:pPr>
        <w:spacing w:after="0" w:line="360" w:lineRule="auto"/>
        <w:jc w:val="both"/>
        <w:rPr>
          <w:rFonts w:ascii="Arial" w:eastAsia="Times New Roman" w:hAnsi="Arial" w:cs="Arial"/>
          <w:sz w:val="24"/>
          <w:szCs w:val="24"/>
        </w:rPr>
      </w:pPr>
      <w:r w:rsidRPr="00266B37">
        <w:rPr>
          <w:rFonts w:ascii="Arial" w:eastAsia="Times New Roman" w:hAnsi="Arial" w:cs="Arial"/>
          <w:sz w:val="24"/>
          <w:szCs w:val="24"/>
        </w:rPr>
        <w:t>There has been little advancement in the field of physical activity intervention due to the lack of evaluation instruments that are sensitive to the modest forms of physical exercise typically and preferred by older adults. Despite the emergence of multiple promising physical activity assessment instruments specific to this group in recent years, there has been a noticeable lack of efforts to evaluate the receptivity of older adults to appropriate interventions for physical activity. As per three recently published research, the CHAMPS physical activity questionnaire developed by Stewart et al. for older adults can be adjusted to reflect changes brought about by 6-to 12-month physical activity therapies focused on endurance exercise of a mild to moderate intensity</w:t>
      </w:r>
      <w:r w:rsidR="008B5EAC" w:rsidRPr="00266B37">
        <w:rPr>
          <w:rFonts w:ascii="Arial" w:eastAsia="Times New Roman" w:hAnsi="Arial" w:cs="Arial"/>
          <w:sz w:val="24"/>
          <w:szCs w:val="24"/>
        </w:rPr>
        <w:t xml:space="preserve"> </w:t>
      </w:r>
      <w:r w:rsidR="008B5EAC" w:rsidRPr="00266B37">
        <w:rPr>
          <w:rFonts w:ascii="Arial" w:eastAsia="Times New Roman" w:hAnsi="Arial" w:cs="Arial"/>
          <w:sz w:val="24"/>
          <w:szCs w:val="24"/>
        </w:rPr>
        <w:fldChar w:fldCharType="begin"/>
      </w:r>
      <w:r w:rsidR="008B5EAC" w:rsidRPr="00266B37">
        <w:rPr>
          <w:rFonts w:ascii="Arial" w:eastAsia="Times New Roman" w:hAnsi="Arial" w:cs="Arial"/>
          <w:sz w:val="24"/>
          <w:szCs w:val="24"/>
        </w:rPr>
        <w:instrText xml:space="preserve"> ADDIN EN.CITE &lt;EndNote&gt;&lt;Cite&gt;&lt;Author&gt;Washburn&lt;/Author&gt;&lt;Year&gt;1999&lt;/Year&gt;&lt;RecNum&gt;190&lt;/RecNum&gt;&lt;DisplayText&gt;(Washburn et al., 1999)&lt;/DisplayText&gt;&lt;record&gt;&lt;rec-number&gt;190&lt;/rec-number&gt;&lt;foreign-keys&gt;&lt;key app="EN" db-id="efzt5stfrp29tqe5afxpatza2wa55xt99sxd" timestamp="1710146618"&gt;190&lt;/key&gt;&lt;/foreign-keys&gt;&lt;ref-type name="Journal Article"&gt;17&lt;/ref-type&gt;&lt;contributors&gt;&lt;authors&gt;&lt;author&gt;Washburn, Richard A&lt;/author&gt;&lt;author&gt;McAuley, Edward&lt;/author&gt;&lt;author&gt;Katula, Jeffrey&lt;/author&gt;&lt;author&gt;Mihalko, Shannon L&lt;/author&gt;&lt;author&gt;Boileau, Richard A&lt;/author&gt;&lt;/authors&gt;&lt;/contributors&gt;&lt;titles&gt;&lt;title&gt;The physical activity scale for the elderly (PASE): evidence for validity&lt;/title&gt;&lt;secondary-title&gt;Journal of clinical epidemiology&lt;/secondary-title&gt;&lt;/titles&gt;&lt;periodical&gt;&lt;full-title&gt;Journal of clinical epidemiology&lt;/full-title&gt;&lt;/periodical&gt;&lt;pages&gt;643-651&lt;/pages&gt;&lt;volume&gt;52&lt;/volume&gt;&lt;number&gt;7&lt;/number&gt;&lt;dates&gt;&lt;year&gt;1999&lt;/year&gt;&lt;/dates&gt;&lt;isbn&gt;0895-4356&lt;/isbn&gt;&lt;urls&gt;&lt;/urls&gt;&lt;/record&gt;&lt;/Cite&gt;&lt;/EndNote&gt;</w:instrText>
      </w:r>
      <w:r w:rsidR="008B5EAC" w:rsidRPr="00266B37">
        <w:rPr>
          <w:rFonts w:ascii="Arial" w:eastAsia="Times New Roman" w:hAnsi="Arial" w:cs="Arial"/>
          <w:sz w:val="24"/>
          <w:szCs w:val="24"/>
        </w:rPr>
        <w:fldChar w:fldCharType="separate"/>
      </w:r>
      <w:r w:rsidR="008B5EAC" w:rsidRPr="00266B37">
        <w:rPr>
          <w:rFonts w:ascii="Arial" w:eastAsia="Times New Roman" w:hAnsi="Arial" w:cs="Arial"/>
          <w:noProof/>
          <w:sz w:val="24"/>
          <w:szCs w:val="24"/>
        </w:rPr>
        <w:t>(Washburn et al., 1999)</w:t>
      </w:r>
      <w:r w:rsidR="008B5EAC" w:rsidRPr="00266B37">
        <w:rPr>
          <w:rFonts w:ascii="Arial" w:eastAsia="Times New Roman" w:hAnsi="Arial" w:cs="Arial"/>
          <w:sz w:val="24"/>
          <w:szCs w:val="24"/>
        </w:rPr>
        <w:fldChar w:fldCharType="end"/>
      </w:r>
      <w:r w:rsidRPr="00266B37">
        <w:rPr>
          <w:rFonts w:ascii="Arial" w:eastAsia="Times New Roman" w:hAnsi="Arial" w:cs="Arial"/>
          <w:sz w:val="24"/>
          <w:szCs w:val="24"/>
        </w:rPr>
        <w:t>. One of these studies indicated that, in healthy, community-dwelling seniors, a one-year programme of moderate-intensity endurance exercise was more likely to affect the estimated energy expenditure (as measured by the CHAMPS questionnaire) than a stretching and flexibility programme. However, PASE, the Physical Activity Scale for the Elderly, did not demonstrate any sensitivity to change in the same group</w:t>
      </w:r>
      <w:r w:rsidR="008B5EAC" w:rsidRPr="00266B37">
        <w:rPr>
          <w:rFonts w:ascii="Arial" w:eastAsia="Times New Roman" w:hAnsi="Arial" w:cs="Arial"/>
          <w:sz w:val="24"/>
          <w:szCs w:val="24"/>
        </w:rPr>
        <w:t xml:space="preserve"> </w:t>
      </w:r>
      <w:r w:rsidR="008B5EAC" w:rsidRPr="00266B37">
        <w:rPr>
          <w:rFonts w:ascii="Arial" w:eastAsia="Times New Roman" w:hAnsi="Arial" w:cs="Arial"/>
          <w:sz w:val="24"/>
          <w:szCs w:val="24"/>
        </w:rPr>
        <w:fldChar w:fldCharType="begin"/>
      </w:r>
      <w:r w:rsidR="008B5EAC" w:rsidRPr="00266B37">
        <w:rPr>
          <w:rFonts w:ascii="Arial" w:eastAsia="Times New Roman" w:hAnsi="Arial" w:cs="Arial"/>
          <w:sz w:val="24"/>
          <w:szCs w:val="24"/>
        </w:rPr>
        <w:instrText xml:space="preserve"> ADDIN EN.CITE &lt;EndNote&gt;&lt;Cite&gt;&lt;Author&gt;Washburn&lt;/Author&gt;&lt;Year&gt;1993&lt;/Year&gt;&lt;RecNum&gt;189&lt;/RecNum&gt;&lt;DisplayText&gt;(Washburn et al., 1993)&lt;/DisplayText&gt;&lt;record&gt;&lt;rec-number&gt;189&lt;/rec-number&gt;&lt;foreign-keys&gt;&lt;key app="EN" db-id="efzt5stfrp29tqe5afxpatza2wa55xt99sxd" timestamp="1710146598"&gt;189&lt;/key&gt;&lt;/foreign-keys&gt;&lt;ref-type name="Journal Article"&gt;17&lt;/ref-type&gt;&lt;contributors&gt;&lt;authors&gt;&lt;author&gt;Washburn, Richard A&lt;/author&gt;&lt;author&gt;Smith, Kevin W&lt;/author&gt;&lt;author&gt;Jette, Alan M&lt;/author&gt;&lt;author&gt;Janney, Carol A&lt;/author&gt;&lt;/authors&gt;&lt;/contributors&gt;&lt;titles&gt;&lt;title&gt;The Physical Activity Scale for the Elderly (PASE): development and evaluation&lt;/title&gt;&lt;secondary-title&gt;Journal of clinical epidemiology&lt;/secondary-title&gt;&lt;/titles&gt;&lt;periodical&gt;&lt;full-title&gt;Journal of clinical epidemiology&lt;/full-title&gt;&lt;/periodical&gt;&lt;pages&gt;153-162&lt;/pages&gt;&lt;volume&gt;46&lt;/volume&gt;&lt;number&gt;2&lt;/number&gt;&lt;dates&gt;&lt;year&gt;1993&lt;/year&gt;&lt;/dates&gt;&lt;isbn&gt;0895-4356&lt;/isbn&gt;&lt;urls&gt;&lt;/urls&gt;&lt;/record&gt;&lt;/Cite&gt;&lt;/EndNote&gt;</w:instrText>
      </w:r>
      <w:r w:rsidR="008B5EAC" w:rsidRPr="00266B37">
        <w:rPr>
          <w:rFonts w:ascii="Arial" w:eastAsia="Times New Roman" w:hAnsi="Arial" w:cs="Arial"/>
          <w:sz w:val="24"/>
          <w:szCs w:val="24"/>
        </w:rPr>
        <w:fldChar w:fldCharType="separate"/>
      </w:r>
      <w:r w:rsidR="008B5EAC" w:rsidRPr="00266B37">
        <w:rPr>
          <w:rFonts w:ascii="Arial" w:eastAsia="Times New Roman" w:hAnsi="Arial" w:cs="Arial"/>
          <w:noProof/>
          <w:sz w:val="24"/>
          <w:szCs w:val="24"/>
        </w:rPr>
        <w:t>(Washburn et al., 1993)</w:t>
      </w:r>
      <w:r w:rsidR="008B5EAC" w:rsidRPr="00266B37">
        <w:rPr>
          <w:rFonts w:ascii="Arial" w:eastAsia="Times New Roman" w:hAnsi="Arial" w:cs="Arial"/>
          <w:sz w:val="24"/>
          <w:szCs w:val="24"/>
        </w:rPr>
        <w:fldChar w:fldCharType="end"/>
      </w:r>
      <w:r w:rsidRPr="00266B37">
        <w:rPr>
          <w:rFonts w:ascii="Arial" w:eastAsia="Times New Roman" w:hAnsi="Arial" w:cs="Arial"/>
          <w:sz w:val="24"/>
          <w:szCs w:val="24"/>
        </w:rPr>
        <w:t>.</w:t>
      </w:r>
    </w:p>
    <w:p w:rsidR="001702D3" w:rsidRPr="00266B37" w:rsidRDefault="00266B37" w:rsidP="00266B37">
      <w:pPr>
        <w:pStyle w:val="Heading2"/>
      </w:pPr>
      <w:bookmarkStart w:id="12" w:name="_Toc161058206"/>
      <w:r>
        <w:lastRenderedPageBreak/>
        <w:t>4.1</w:t>
      </w:r>
      <w:r>
        <w:tab/>
        <w:t xml:space="preserve">PUBLIC HEALTH </w:t>
      </w:r>
      <w:r w:rsidRPr="00266B37">
        <w:t>LEGISLATION</w:t>
      </w:r>
      <w:bookmarkEnd w:id="12"/>
    </w:p>
    <w:p w:rsidR="0005391C" w:rsidRPr="00266B37" w:rsidRDefault="001E40E0" w:rsidP="0005391C">
      <w:p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In 2010, the </w:t>
      </w:r>
      <w:r w:rsidR="0005391C" w:rsidRPr="00266B37">
        <w:rPr>
          <w:rFonts w:ascii="Arial" w:eastAsia="Times New Roman" w:hAnsi="Arial" w:cs="Arial"/>
          <w:sz w:val="24"/>
          <w:szCs w:val="24"/>
        </w:rPr>
        <w:t>Centers</w:t>
      </w:r>
      <w:r w:rsidRPr="00266B37">
        <w:rPr>
          <w:rFonts w:ascii="Arial" w:eastAsia="Times New Roman" w:hAnsi="Arial" w:cs="Arial"/>
          <w:sz w:val="24"/>
          <w:szCs w:val="24"/>
        </w:rPr>
        <w:t xml:space="preserve"> for Disease Control and Prevention (CDC) and the Arthritis Foundation (AF) collaborated with university researchers to highlight particular public health guidelines pertaining to osteoarthritis, in response to the increasing number of cases of this condition and its impact on public health. </w:t>
      </w:r>
    </w:p>
    <w:p w:rsidR="0005391C" w:rsidRPr="00266B37" w:rsidRDefault="001E40E0" w:rsidP="0005391C">
      <w:p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Following three primary themes, "A National Health Agenda for Osteoarthritis 2010" proposes ten concrete suggestions for public health policy.</w:t>
      </w:r>
      <w:r w:rsidR="0005391C" w:rsidRPr="00266B37">
        <w:rPr>
          <w:rFonts w:ascii="Arial" w:eastAsia="Times New Roman" w:hAnsi="Arial" w:cs="Arial"/>
          <w:sz w:val="24"/>
          <w:szCs w:val="24"/>
        </w:rPr>
        <w:t xml:space="preserve"> </w:t>
      </w:r>
    </w:p>
    <w:p w:rsidR="0005391C" w:rsidRPr="00266B37" w:rsidRDefault="001E40E0" w:rsidP="00266B37">
      <w:pPr>
        <w:pStyle w:val="ListParagraph"/>
        <w:numPr>
          <w:ilvl w:val="0"/>
          <w:numId w:val="2"/>
        </w:num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Create OA-friendly policies, communication campaigns, and partnerships to help with the diseas</w:t>
      </w:r>
      <w:r w:rsidR="0005391C" w:rsidRPr="00266B37">
        <w:rPr>
          <w:rFonts w:ascii="Arial" w:eastAsia="Times New Roman" w:hAnsi="Arial" w:cs="Arial"/>
          <w:sz w:val="24"/>
          <w:szCs w:val="24"/>
        </w:rPr>
        <w:t xml:space="preserve">e's management and prevention; </w:t>
      </w:r>
    </w:p>
    <w:p w:rsidR="0005391C" w:rsidRPr="00266B37" w:rsidRDefault="001E40E0" w:rsidP="00266B37">
      <w:pPr>
        <w:pStyle w:val="ListParagraph"/>
        <w:numPr>
          <w:ilvl w:val="0"/>
          <w:numId w:val="2"/>
        </w:num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Launch necessary studies to learn more about OA's impact, risk factors,</w:t>
      </w:r>
      <w:r w:rsidR="0005391C" w:rsidRPr="00266B37">
        <w:rPr>
          <w:rFonts w:ascii="Arial" w:eastAsia="Times New Roman" w:hAnsi="Arial" w:cs="Arial"/>
          <w:sz w:val="24"/>
          <w:szCs w:val="24"/>
        </w:rPr>
        <w:t xml:space="preserve"> and intervention methods; and </w:t>
      </w:r>
    </w:p>
    <w:p w:rsidR="001E40E0" w:rsidRPr="00266B37" w:rsidRDefault="001E40E0" w:rsidP="00266B37">
      <w:pPr>
        <w:pStyle w:val="ListParagraph"/>
        <w:numPr>
          <w:ilvl w:val="0"/>
          <w:numId w:val="2"/>
        </w:num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Every </w:t>
      </w:r>
      <w:r w:rsidR="008B5EAC" w:rsidRPr="00266B37">
        <w:rPr>
          <w:rFonts w:ascii="Arial" w:eastAsia="Times New Roman" w:hAnsi="Arial" w:cs="Arial"/>
          <w:sz w:val="24"/>
          <w:szCs w:val="24"/>
        </w:rPr>
        <w:t>UK</w:t>
      </w:r>
      <w:r w:rsidRPr="00266B37">
        <w:rPr>
          <w:rFonts w:ascii="Arial" w:eastAsia="Times New Roman" w:hAnsi="Arial" w:cs="Arial"/>
          <w:sz w:val="24"/>
          <w:szCs w:val="24"/>
        </w:rPr>
        <w:t xml:space="preserve"> living with osteoarthritis should have access to evidence-based intervention options like self-management education, regular physical exercise, injury prevention, weight control, and good nutrition</w:t>
      </w:r>
      <w:r w:rsidR="008B5EAC" w:rsidRPr="00266B37">
        <w:rPr>
          <w:rFonts w:ascii="Arial" w:eastAsia="Times New Roman" w:hAnsi="Arial" w:cs="Arial"/>
          <w:sz w:val="24"/>
          <w:szCs w:val="24"/>
        </w:rPr>
        <w:t xml:space="preserve"> </w:t>
      </w:r>
      <w:r w:rsidR="008B5EAC" w:rsidRPr="00266B37">
        <w:rPr>
          <w:rFonts w:ascii="Arial" w:eastAsia="Times New Roman" w:hAnsi="Arial" w:cs="Arial"/>
          <w:sz w:val="24"/>
          <w:szCs w:val="24"/>
        </w:rPr>
        <w:fldChar w:fldCharType="begin"/>
      </w:r>
      <w:r w:rsidR="008B5EAC" w:rsidRPr="00266B37">
        <w:rPr>
          <w:rFonts w:ascii="Arial" w:eastAsia="Times New Roman" w:hAnsi="Arial" w:cs="Arial"/>
          <w:sz w:val="24"/>
          <w:szCs w:val="24"/>
        </w:rPr>
        <w:instrText xml:space="preserve"> ADDIN EN.CITE &lt;EndNote&gt;&lt;Cite&gt;&lt;Author&gt;Suber&lt;/Author&gt;&lt;Year&gt;2006&lt;/Year&gt;&lt;RecNum&gt;191&lt;/RecNum&gt;&lt;DisplayText&gt;(Suber, 2006)&lt;/DisplayText&gt;&lt;record&gt;&lt;rec-number&gt;191&lt;/rec-number&gt;&lt;foreign-keys&gt;&lt;key app="EN" db-id="efzt5stfrp29tqe5afxpatza2wa55xt99sxd" timestamp="1710146671"&gt;191&lt;/key&gt;&lt;/foreign-keys&gt;&lt;ref-type name="Book Section"&gt;5&lt;/ref-type&gt;&lt;contributors&gt;&lt;authors&gt;&lt;author&gt;Suber, Peter&lt;/author&gt;&lt;/authors&gt;&lt;/contributors&gt;&lt;titles&gt;&lt;title&gt;Open access in the United States&lt;/title&gt;&lt;secondary-title&gt;Open access: Key strategic, technical and economic aspects&lt;/secondary-title&gt;&lt;/titles&gt;&lt;dates&gt;&lt;year&gt;2006&lt;/year&gt;&lt;/dates&gt;&lt;publisher&gt;Chandos Publishing&lt;/publisher&gt;&lt;urls&gt;&lt;/urls&gt;&lt;/record&gt;&lt;/Cite&gt;&lt;/EndNote&gt;</w:instrText>
      </w:r>
      <w:r w:rsidR="008B5EAC" w:rsidRPr="00266B37">
        <w:rPr>
          <w:rFonts w:ascii="Arial" w:eastAsia="Times New Roman" w:hAnsi="Arial" w:cs="Arial"/>
          <w:sz w:val="24"/>
          <w:szCs w:val="24"/>
        </w:rPr>
        <w:fldChar w:fldCharType="separate"/>
      </w:r>
      <w:r w:rsidR="008B5EAC" w:rsidRPr="00266B37">
        <w:rPr>
          <w:rFonts w:ascii="Arial" w:eastAsia="Times New Roman" w:hAnsi="Arial" w:cs="Arial"/>
          <w:noProof/>
          <w:sz w:val="24"/>
          <w:szCs w:val="24"/>
        </w:rPr>
        <w:t>(Suber, 2006)</w:t>
      </w:r>
      <w:r w:rsidR="008B5EAC" w:rsidRPr="00266B37">
        <w:rPr>
          <w:rFonts w:ascii="Arial" w:eastAsia="Times New Roman" w:hAnsi="Arial" w:cs="Arial"/>
          <w:sz w:val="24"/>
          <w:szCs w:val="24"/>
        </w:rPr>
        <w:fldChar w:fldCharType="end"/>
      </w:r>
      <w:r w:rsidRPr="00266B37">
        <w:rPr>
          <w:rFonts w:ascii="Arial" w:eastAsia="Times New Roman" w:hAnsi="Arial" w:cs="Arial"/>
          <w:sz w:val="24"/>
          <w:szCs w:val="24"/>
        </w:rPr>
        <w:t xml:space="preserve">. </w:t>
      </w:r>
    </w:p>
    <w:p w:rsidR="001702D3" w:rsidRPr="00266B37" w:rsidRDefault="00266B37" w:rsidP="00266B37">
      <w:pPr>
        <w:pStyle w:val="Heading2"/>
      </w:pPr>
      <w:bookmarkStart w:id="13" w:name="_Toc161058207"/>
      <w:r>
        <w:t>4.2</w:t>
      </w:r>
      <w:r>
        <w:tab/>
      </w:r>
      <w:r w:rsidRPr="00266B37">
        <w:t>EDUCATION AND ADVOCACY</w:t>
      </w:r>
      <w:bookmarkEnd w:id="13"/>
    </w:p>
    <w:p w:rsidR="001702D3" w:rsidRPr="00266B37" w:rsidRDefault="00266B37" w:rsidP="00266B37">
      <w:pPr>
        <w:rPr>
          <w:rFonts w:ascii="Arial" w:hAnsi="Arial" w:cs="Arial"/>
          <w:b/>
          <w:sz w:val="24"/>
          <w:szCs w:val="24"/>
        </w:rPr>
      </w:pPr>
      <w:r w:rsidRPr="00266B37">
        <w:rPr>
          <w:rFonts w:ascii="Arial" w:hAnsi="Arial" w:cs="Arial"/>
          <w:b/>
          <w:sz w:val="24"/>
          <w:szCs w:val="24"/>
        </w:rPr>
        <w:t>EDUCATION</w:t>
      </w:r>
    </w:p>
    <w:p w:rsidR="0043329E" w:rsidRPr="00266B37" w:rsidRDefault="001E40E0" w:rsidP="0005391C">
      <w:pPr>
        <w:spacing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The primary goal of the </w:t>
      </w:r>
      <w:r w:rsidR="0005391C" w:rsidRPr="00266B37">
        <w:rPr>
          <w:rFonts w:ascii="Arial" w:eastAsia="Times New Roman" w:hAnsi="Arial" w:cs="Arial"/>
          <w:sz w:val="24"/>
          <w:szCs w:val="24"/>
        </w:rPr>
        <w:t>Centers</w:t>
      </w:r>
      <w:r w:rsidRPr="00266B37">
        <w:rPr>
          <w:rFonts w:ascii="Arial" w:eastAsia="Times New Roman" w:hAnsi="Arial" w:cs="Arial"/>
          <w:sz w:val="24"/>
          <w:szCs w:val="24"/>
        </w:rPr>
        <w:t xml:space="preserve"> for Disease Control and Prevention's arthritis programme is to enhance the standard of living for American arthritis patients. When it comes to arthritis, the Arthritis Programme at the CDC suggests programmes that have been shown to enhance the quality of life for those who suffer from it. Together, the AF and the CDC are able to spread vital information, improve people's access to healthcare, promote scientific knowledge, and strengthen community ties. </w:t>
      </w:r>
      <w:r w:rsidR="0043329E" w:rsidRPr="00266B37">
        <w:rPr>
          <w:rFonts w:ascii="Arial" w:eastAsia="Times New Roman" w:hAnsi="Arial" w:cs="Arial"/>
          <w:sz w:val="24"/>
          <w:szCs w:val="24"/>
        </w:rPr>
        <w:t>A toll-free arthritis information and referral hotline is one of the specific projects in which partners are involved. Another is the promotion and marketing of evidence-based online arthritis and chronic disease self-management education programmes in partnership with the National Council on Ageing. As for the AF's Walk with Ease programme, it is being disseminated through large and multisite work site systems. Lastly, the Osteoarthritis Action Alliance is facilitating national public health action against osteoarthritis, in partnership with the University of North Carolina and others.</w:t>
      </w:r>
    </w:p>
    <w:p w:rsidR="001702D3" w:rsidRPr="00266B37" w:rsidRDefault="00266B37" w:rsidP="0005391C">
      <w:pPr>
        <w:spacing w:after="0" w:line="360" w:lineRule="auto"/>
        <w:jc w:val="both"/>
        <w:rPr>
          <w:rFonts w:ascii="Arial" w:hAnsi="Arial" w:cs="Arial"/>
          <w:b/>
          <w:sz w:val="24"/>
          <w:szCs w:val="24"/>
        </w:rPr>
      </w:pPr>
      <w:r w:rsidRPr="00266B37">
        <w:rPr>
          <w:rFonts w:ascii="Arial" w:hAnsi="Arial" w:cs="Arial"/>
          <w:b/>
          <w:sz w:val="24"/>
          <w:szCs w:val="24"/>
        </w:rPr>
        <w:lastRenderedPageBreak/>
        <w:t>ADVOCACY</w:t>
      </w:r>
    </w:p>
    <w:p w:rsidR="0005391C" w:rsidRPr="00266B37" w:rsidRDefault="001E40E0" w:rsidP="0005391C">
      <w:p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High treatment costs, pharmaceutical accessibility issues, expert shortages, and coinsurance all work together to make it hard for people with arthritis to get the care they need. Fighting this fight on one's own is challenging for any patient. When it comes to shaping health policy and bringing more attention to the patient experience, advoc</w:t>
      </w:r>
      <w:r w:rsidR="0005391C" w:rsidRPr="00266B37">
        <w:rPr>
          <w:rFonts w:ascii="Arial" w:eastAsia="Times New Roman" w:hAnsi="Arial" w:cs="Arial"/>
          <w:sz w:val="24"/>
          <w:szCs w:val="24"/>
        </w:rPr>
        <w:t xml:space="preserve">acy may make a big difference. </w:t>
      </w:r>
    </w:p>
    <w:p w:rsidR="0005391C" w:rsidRPr="00266B37" w:rsidRDefault="001E40E0" w:rsidP="0005391C">
      <w:p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Lawmakers are reevaluating their ties to the people they represent since health care is frequently a political as well as a medical issue.52 If public health advocates truly care about their patients, they would listen to and relay each patient's story from the perspect</w:t>
      </w:r>
      <w:r w:rsidR="0005391C" w:rsidRPr="00266B37">
        <w:rPr>
          <w:rFonts w:ascii="Arial" w:eastAsia="Times New Roman" w:hAnsi="Arial" w:cs="Arial"/>
          <w:sz w:val="24"/>
          <w:szCs w:val="24"/>
        </w:rPr>
        <w:t xml:space="preserve">ive of the patient themselves. </w:t>
      </w:r>
    </w:p>
    <w:p w:rsidR="001E40E0" w:rsidRPr="00266B37" w:rsidRDefault="001E40E0" w:rsidP="0005391C">
      <w:p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Arthritis sufferers, their loved ones, healthcare providers, and advocates can gain a voice by participating in the Arthritis Foundation's annual events and connecting with the organization's dedicated network of advocates around the country. By working together, we can end arthritis in all its forms and improve the lives of people who suffer from it by enacting legislation and policies that expand access to medical care. </w:t>
      </w:r>
    </w:p>
    <w:p w:rsidR="00000AB5" w:rsidRPr="00266B37" w:rsidRDefault="00266B37" w:rsidP="00266B37">
      <w:pPr>
        <w:pStyle w:val="Heading1"/>
      </w:pPr>
      <w:bookmarkStart w:id="14" w:name="_Toc161058208"/>
      <w:r w:rsidRPr="00266B37">
        <w:t>CONCLUSION</w:t>
      </w:r>
      <w:bookmarkEnd w:id="14"/>
    </w:p>
    <w:p w:rsidR="0005391C" w:rsidRPr="00266B37" w:rsidRDefault="00490A81" w:rsidP="0005391C">
      <w:p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Every individual undergoes the process of ageing, but, the manner in which it occurs varies among people. Being aware of age-related physiological changes, such as decreased visual and auditory acuity, slower reaction time, and impaired balance, can help patients effectively manage risks, make informed decisions, and potentially prevent prescription side effects and fal</w:t>
      </w:r>
      <w:r w:rsidR="0005391C" w:rsidRPr="00266B37">
        <w:rPr>
          <w:rFonts w:ascii="Arial" w:eastAsia="Times New Roman" w:hAnsi="Arial" w:cs="Arial"/>
          <w:sz w:val="24"/>
          <w:szCs w:val="24"/>
        </w:rPr>
        <w:t xml:space="preserve">ls. </w:t>
      </w:r>
    </w:p>
    <w:p w:rsidR="0005391C" w:rsidRPr="00266B37" w:rsidRDefault="00490A81" w:rsidP="0005391C">
      <w:p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Psychosocial and cognitive health difficulties can also result in a decrease in functioning abilities among older individuals. Being cognizant of these concerns is crucial for mitigating age-related deterioration, including the heightened susceptibility to suicide and depression among men within the initial year following the loss of a spouse or after experien</w:t>
      </w:r>
      <w:r w:rsidR="0005391C" w:rsidRPr="00266B37">
        <w:rPr>
          <w:rFonts w:ascii="Arial" w:eastAsia="Times New Roman" w:hAnsi="Arial" w:cs="Arial"/>
          <w:sz w:val="24"/>
          <w:szCs w:val="24"/>
        </w:rPr>
        <w:t xml:space="preserve">cing a hip fracture or stroke. </w:t>
      </w:r>
    </w:p>
    <w:p w:rsidR="00490A81" w:rsidRPr="00266B37" w:rsidRDefault="00490A81" w:rsidP="0005391C">
      <w:p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Prior to prescribing medications or doing screening tests, it is important to carefully evaluate treatment goals, burden, risks, and the time it takes to see benefits. A greater </w:t>
      </w:r>
      <w:r w:rsidRPr="00266B37">
        <w:rPr>
          <w:rFonts w:ascii="Arial" w:eastAsia="Times New Roman" w:hAnsi="Arial" w:cs="Arial"/>
          <w:sz w:val="24"/>
          <w:szCs w:val="24"/>
        </w:rPr>
        <w:lastRenderedPageBreak/>
        <w:t xml:space="preserve">number of adults aged 85 and over will soon have access to home-based services and technologies, cutting-edge housing and transportation options, opportunities to participate in social activities, and programmes that support family cares. </w:t>
      </w:r>
    </w:p>
    <w:p w:rsidR="00D428CF" w:rsidRPr="00266B37" w:rsidRDefault="00266B37" w:rsidP="00266B37">
      <w:pPr>
        <w:pStyle w:val="Heading1"/>
      </w:pPr>
      <w:bookmarkStart w:id="15" w:name="_Toc161058209"/>
      <w:r w:rsidRPr="00266B37">
        <w:t>RECOMMENDATIONS</w:t>
      </w:r>
      <w:bookmarkEnd w:id="15"/>
      <w:r w:rsidR="00D428CF" w:rsidRPr="00266B37">
        <w:t xml:space="preserve"> </w:t>
      </w:r>
    </w:p>
    <w:p w:rsidR="001E40E0" w:rsidRPr="00266B37" w:rsidRDefault="001E40E0" w:rsidP="0005391C">
      <w:pPr>
        <w:spacing w:after="240" w:line="360" w:lineRule="auto"/>
        <w:jc w:val="both"/>
        <w:rPr>
          <w:rFonts w:ascii="Arial" w:eastAsia="Times New Roman" w:hAnsi="Arial" w:cs="Arial"/>
          <w:sz w:val="24"/>
          <w:szCs w:val="24"/>
        </w:rPr>
      </w:pPr>
      <w:r w:rsidRPr="00266B37">
        <w:rPr>
          <w:rFonts w:ascii="Arial" w:eastAsia="Times New Roman" w:hAnsi="Arial" w:cs="Arial"/>
          <w:sz w:val="24"/>
          <w:szCs w:val="24"/>
        </w:rPr>
        <w:t xml:space="preserve">Modifications to one's way of life, along with medication and social support, are necessary for the management of ageing and arthritis. Seek the counsel of medical experts for tailored recommendations. Maintain your flexibility and strength in your joints by engaging in low-impact activities such as walking, swimming, or cycling. For optimal health, stick to a well-rounded diet that includes plenty of fresh produce, whole grains, lean proteins, and healthy fats. Think about eating almonds, fatty salmon, and olive oil, which are all anti-inflammatory. </w:t>
      </w:r>
      <w:r w:rsidRPr="00266B37">
        <w:rPr>
          <w:rFonts w:ascii="Arial" w:eastAsia="Times New Roman" w:hAnsi="Arial" w:cs="Arial"/>
          <w:sz w:val="24"/>
          <w:szCs w:val="24"/>
        </w:rPr>
        <w:br/>
        <w:t xml:space="preserve">Keep your weight in check to ease pressure on your hips and knees, which bear the brunt of your body weight. Put less strain on your joints by making use of walking aids like canes or walkers. Put add ramps and handrails to make your house more accessible. For the right painkillers and anti-inflammatory drugs, talk to your doctor. Be sure to notify your doctor if you have any side effects while taking your medicine. </w:t>
      </w:r>
    </w:p>
    <w:p w:rsidR="001702D3" w:rsidRPr="00266B37" w:rsidRDefault="001702D3" w:rsidP="0005391C">
      <w:pPr>
        <w:spacing w:line="360" w:lineRule="auto"/>
        <w:jc w:val="both"/>
        <w:rPr>
          <w:rFonts w:ascii="Arial" w:hAnsi="Arial" w:cs="Arial"/>
          <w:sz w:val="24"/>
          <w:szCs w:val="24"/>
        </w:rPr>
      </w:pPr>
    </w:p>
    <w:p w:rsidR="00A7141C" w:rsidRPr="00266B37" w:rsidRDefault="00A7141C" w:rsidP="0005391C">
      <w:pPr>
        <w:spacing w:line="360" w:lineRule="auto"/>
        <w:jc w:val="both"/>
        <w:rPr>
          <w:rFonts w:ascii="Arial" w:hAnsi="Arial" w:cs="Arial"/>
          <w:sz w:val="24"/>
          <w:szCs w:val="24"/>
        </w:rPr>
      </w:pPr>
    </w:p>
    <w:p w:rsidR="0014641B" w:rsidRPr="00266B37" w:rsidRDefault="0014641B" w:rsidP="0005391C">
      <w:pPr>
        <w:spacing w:after="0" w:line="360" w:lineRule="auto"/>
        <w:jc w:val="both"/>
        <w:rPr>
          <w:rFonts w:ascii="Arial" w:eastAsia="Times New Roman" w:hAnsi="Arial" w:cs="Arial"/>
          <w:sz w:val="24"/>
          <w:szCs w:val="24"/>
        </w:rPr>
      </w:pPr>
    </w:p>
    <w:p w:rsidR="00AB7CB8" w:rsidRPr="00266B37" w:rsidRDefault="00AB7CB8" w:rsidP="0005391C">
      <w:pPr>
        <w:spacing w:line="360" w:lineRule="auto"/>
        <w:jc w:val="both"/>
        <w:rPr>
          <w:rFonts w:ascii="Arial" w:hAnsi="Arial" w:cs="Arial"/>
          <w:sz w:val="24"/>
          <w:szCs w:val="24"/>
        </w:rPr>
      </w:pPr>
    </w:p>
    <w:p w:rsidR="00792914" w:rsidRPr="00266B37" w:rsidRDefault="00792914" w:rsidP="0005391C">
      <w:pPr>
        <w:spacing w:line="360" w:lineRule="auto"/>
        <w:jc w:val="both"/>
        <w:rPr>
          <w:rFonts w:ascii="Arial" w:hAnsi="Arial" w:cs="Arial"/>
          <w:sz w:val="24"/>
          <w:szCs w:val="24"/>
        </w:rPr>
      </w:pPr>
    </w:p>
    <w:p w:rsidR="00266B37" w:rsidRDefault="00266B37" w:rsidP="0005391C">
      <w:pPr>
        <w:spacing w:line="360" w:lineRule="auto"/>
        <w:jc w:val="both"/>
        <w:rPr>
          <w:rFonts w:ascii="Arial" w:hAnsi="Arial" w:cs="Arial"/>
          <w:sz w:val="24"/>
          <w:szCs w:val="24"/>
        </w:rPr>
      </w:pPr>
      <w:r>
        <w:rPr>
          <w:rFonts w:ascii="Arial" w:hAnsi="Arial" w:cs="Arial"/>
          <w:sz w:val="24"/>
          <w:szCs w:val="24"/>
        </w:rPr>
        <w:br w:type="page"/>
      </w:r>
    </w:p>
    <w:p w:rsidR="00792914" w:rsidRPr="00266B37" w:rsidRDefault="00266B37" w:rsidP="00266B37">
      <w:pPr>
        <w:pStyle w:val="Heading1"/>
      </w:pPr>
      <w:bookmarkStart w:id="16" w:name="_Toc161058210"/>
      <w:r>
        <w:lastRenderedPageBreak/>
        <w:t>REFERENCES</w:t>
      </w:r>
      <w:bookmarkEnd w:id="16"/>
    </w:p>
    <w:p w:rsidR="008B5EAC" w:rsidRPr="00266B37" w:rsidRDefault="00792914" w:rsidP="008B5EAC">
      <w:pPr>
        <w:pStyle w:val="EndNoteBibliography"/>
        <w:spacing w:after="0"/>
        <w:ind w:left="720" w:hanging="720"/>
        <w:rPr>
          <w:rFonts w:ascii="Arial" w:hAnsi="Arial" w:cs="Arial"/>
          <w:sz w:val="24"/>
          <w:szCs w:val="24"/>
        </w:rPr>
      </w:pPr>
      <w:r w:rsidRPr="00266B37">
        <w:rPr>
          <w:rFonts w:ascii="Arial" w:hAnsi="Arial" w:cs="Arial"/>
          <w:sz w:val="24"/>
          <w:szCs w:val="24"/>
        </w:rPr>
        <w:fldChar w:fldCharType="begin"/>
      </w:r>
      <w:r w:rsidRPr="00266B37">
        <w:rPr>
          <w:rFonts w:ascii="Arial" w:hAnsi="Arial" w:cs="Arial"/>
          <w:sz w:val="24"/>
          <w:szCs w:val="24"/>
        </w:rPr>
        <w:instrText xml:space="preserve"> ADDIN EN.REFLIST </w:instrText>
      </w:r>
      <w:r w:rsidRPr="00266B37">
        <w:rPr>
          <w:rFonts w:ascii="Arial" w:hAnsi="Arial" w:cs="Arial"/>
          <w:sz w:val="24"/>
          <w:szCs w:val="24"/>
        </w:rPr>
        <w:fldChar w:fldCharType="separate"/>
      </w:r>
      <w:r w:rsidR="008B5EAC" w:rsidRPr="00266B37">
        <w:rPr>
          <w:rFonts w:ascii="Arial" w:hAnsi="Arial" w:cs="Arial"/>
          <w:sz w:val="24"/>
          <w:szCs w:val="24"/>
        </w:rPr>
        <w:t xml:space="preserve">Boots, A. M., Maier, A. B., Stinissen, P., Masson, P., Lories, R. J., &amp; De Keyser, F. (2013). The influence of ageing on the development and management of rheumatoid arthritis. </w:t>
      </w:r>
      <w:r w:rsidR="008B5EAC" w:rsidRPr="00266B37">
        <w:rPr>
          <w:rFonts w:ascii="Arial" w:hAnsi="Arial" w:cs="Arial"/>
          <w:i/>
          <w:sz w:val="24"/>
          <w:szCs w:val="24"/>
        </w:rPr>
        <w:t>Nature Reviews Rheumatology</w:t>
      </w:r>
      <w:r w:rsidR="008B5EAC" w:rsidRPr="00266B37">
        <w:rPr>
          <w:rFonts w:ascii="Arial" w:hAnsi="Arial" w:cs="Arial"/>
          <w:sz w:val="24"/>
          <w:szCs w:val="24"/>
        </w:rPr>
        <w:t>,</w:t>
      </w:r>
      <w:r w:rsidR="008B5EAC" w:rsidRPr="00266B37">
        <w:rPr>
          <w:rFonts w:ascii="Arial" w:hAnsi="Arial" w:cs="Arial"/>
          <w:i/>
          <w:sz w:val="24"/>
          <w:szCs w:val="24"/>
        </w:rPr>
        <w:t xml:space="preserve"> 9</w:t>
      </w:r>
      <w:r w:rsidR="008B5EAC" w:rsidRPr="00266B37">
        <w:rPr>
          <w:rFonts w:ascii="Arial" w:hAnsi="Arial" w:cs="Arial"/>
          <w:sz w:val="24"/>
          <w:szCs w:val="24"/>
        </w:rPr>
        <w:t xml:space="preserve">(10), 604-613.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Brawley, L. R., Rejeski, W. J., &amp; Lutes, L. (2000). A group</w:t>
      </w:r>
      <w:r w:rsidRPr="00266B37">
        <w:rPr>
          <w:rFonts w:ascii="Cambria Math" w:hAnsi="Cambria Math" w:cs="Cambria Math"/>
          <w:sz w:val="24"/>
          <w:szCs w:val="24"/>
        </w:rPr>
        <w:t>‐</w:t>
      </w:r>
      <w:r w:rsidRPr="00266B37">
        <w:rPr>
          <w:rFonts w:ascii="Arial" w:hAnsi="Arial" w:cs="Arial"/>
          <w:sz w:val="24"/>
          <w:szCs w:val="24"/>
        </w:rPr>
        <w:t>mediated cognitive</w:t>
      </w:r>
      <w:r w:rsidRPr="00266B37">
        <w:rPr>
          <w:rFonts w:ascii="Cambria Math" w:hAnsi="Cambria Math" w:cs="Cambria Math"/>
          <w:sz w:val="24"/>
          <w:szCs w:val="24"/>
        </w:rPr>
        <w:t>‐</w:t>
      </w:r>
      <w:r w:rsidRPr="00266B37">
        <w:rPr>
          <w:rFonts w:ascii="Arial" w:hAnsi="Arial" w:cs="Arial"/>
          <w:sz w:val="24"/>
          <w:szCs w:val="24"/>
        </w:rPr>
        <w:t xml:space="preserve">behavioral intervention for increasing adherence to physical activity in older adults 1. </w:t>
      </w:r>
      <w:r w:rsidRPr="00266B37">
        <w:rPr>
          <w:rFonts w:ascii="Arial" w:hAnsi="Arial" w:cs="Arial"/>
          <w:i/>
          <w:sz w:val="24"/>
          <w:szCs w:val="24"/>
        </w:rPr>
        <w:t>Journal of Applied Biobehavioral Research</w:t>
      </w:r>
      <w:r w:rsidRPr="00266B37">
        <w:rPr>
          <w:rFonts w:ascii="Arial" w:hAnsi="Arial" w:cs="Arial"/>
          <w:sz w:val="24"/>
          <w:szCs w:val="24"/>
        </w:rPr>
        <w:t>,</w:t>
      </w:r>
      <w:r w:rsidRPr="00266B37">
        <w:rPr>
          <w:rFonts w:ascii="Arial" w:hAnsi="Arial" w:cs="Arial"/>
          <w:i/>
          <w:sz w:val="24"/>
          <w:szCs w:val="24"/>
        </w:rPr>
        <w:t xml:space="preserve"> 5</w:t>
      </w:r>
      <w:r w:rsidRPr="00266B37">
        <w:rPr>
          <w:rFonts w:ascii="Arial" w:hAnsi="Arial" w:cs="Arial"/>
          <w:sz w:val="24"/>
          <w:szCs w:val="24"/>
        </w:rPr>
        <w:t xml:space="preserve">(1), 47-65.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Chand, M., &amp; Tung, R. L. (2014). The aging of the world's population and its effects on global business. </w:t>
      </w:r>
      <w:r w:rsidRPr="00266B37">
        <w:rPr>
          <w:rFonts w:ascii="Arial" w:hAnsi="Arial" w:cs="Arial"/>
          <w:i/>
          <w:sz w:val="24"/>
          <w:szCs w:val="24"/>
        </w:rPr>
        <w:t>Academy of Management Perspectives</w:t>
      </w:r>
      <w:r w:rsidRPr="00266B37">
        <w:rPr>
          <w:rFonts w:ascii="Arial" w:hAnsi="Arial" w:cs="Arial"/>
          <w:sz w:val="24"/>
          <w:szCs w:val="24"/>
        </w:rPr>
        <w:t>,</w:t>
      </w:r>
      <w:r w:rsidRPr="00266B37">
        <w:rPr>
          <w:rFonts w:ascii="Arial" w:hAnsi="Arial" w:cs="Arial"/>
          <w:i/>
          <w:sz w:val="24"/>
          <w:szCs w:val="24"/>
        </w:rPr>
        <w:t xml:space="preserve"> 28</w:t>
      </w:r>
      <w:r w:rsidRPr="00266B37">
        <w:rPr>
          <w:rFonts w:ascii="Arial" w:hAnsi="Arial" w:cs="Arial"/>
          <w:sz w:val="24"/>
          <w:szCs w:val="24"/>
        </w:rPr>
        <w:t xml:space="preserve">(4), 409-429.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Cylus, J., Richardson, E., Findley, L., Longley, M., O'Neill, C., Steel, D., &amp; Organization, W. H. (2015). United Kingdom: health system review.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Diener, E., &amp; Chan, M. Y. (2011). Happy people live longer: Subjective well</w:t>
      </w:r>
      <w:r w:rsidRPr="00266B37">
        <w:rPr>
          <w:rFonts w:ascii="Cambria Math" w:hAnsi="Cambria Math" w:cs="Cambria Math"/>
          <w:sz w:val="24"/>
          <w:szCs w:val="24"/>
        </w:rPr>
        <w:t>‐</w:t>
      </w:r>
      <w:r w:rsidRPr="00266B37">
        <w:rPr>
          <w:rFonts w:ascii="Arial" w:hAnsi="Arial" w:cs="Arial"/>
          <w:sz w:val="24"/>
          <w:szCs w:val="24"/>
        </w:rPr>
        <w:t xml:space="preserve">being contributes to health and longevity. </w:t>
      </w:r>
      <w:r w:rsidRPr="00266B37">
        <w:rPr>
          <w:rFonts w:ascii="Arial" w:hAnsi="Arial" w:cs="Arial"/>
          <w:i/>
          <w:sz w:val="24"/>
          <w:szCs w:val="24"/>
        </w:rPr>
        <w:t>Applied Psychology: Health and Well</w:t>
      </w:r>
      <w:r w:rsidRPr="00266B37">
        <w:rPr>
          <w:rFonts w:ascii="Cambria Math" w:hAnsi="Cambria Math" w:cs="Cambria Math"/>
          <w:i/>
          <w:sz w:val="24"/>
          <w:szCs w:val="24"/>
        </w:rPr>
        <w:t>‐</w:t>
      </w:r>
      <w:r w:rsidRPr="00266B37">
        <w:rPr>
          <w:rFonts w:ascii="Arial" w:hAnsi="Arial" w:cs="Arial"/>
          <w:i/>
          <w:sz w:val="24"/>
          <w:szCs w:val="24"/>
        </w:rPr>
        <w:t>Being</w:t>
      </w:r>
      <w:r w:rsidRPr="00266B37">
        <w:rPr>
          <w:rFonts w:ascii="Arial" w:hAnsi="Arial" w:cs="Arial"/>
          <w:sz w:val="24"/>
          <w:szCs w:val="24"/>
        </w:rPr>
        <w:t>,</w:t>
      </w:r>
      <w:r w:rsidRPr="00266B37">
        <w:rPr>
          <w:rFonts w:ascii="Arial" w:hAnsi="Arial" w:cs="Arial"/>
          <w:i/>
          <w:sz w:val="24"/>
          <w:szCs w:val="24"/>
        </w:rPr>
        <w:t xml:space="preserve"> 3</w:t>
      </w:r>
      <w:r w:rsidRPr="00266B37">
        <w:rPr>
          <w:rFonts w:ascii="Arial" w:hAnsi="Arial" w:cs="Arial"/>
          <w:sz w:val="24"/>
          <w:szCs w:val="24"/>
        </w:rPr>
        <w:t xml:space="preserve">(1), 1-43.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Diener, E., &amp; Fujita, F. (2013). Social Comparisons and Subjective Weil-Being. In </w:t>
      </w:r>
      <w:r w:rsidRPr="00266B37">
        <w:rPr>
          <w:rFonts w:ascii="Arial" w:hAnsi="Arial" w:cs="Arial"/>
          <w:i/>
          <w:sz w:val="24"/>
          <w:szCs w:val="24"/>
        </w:rPr>
        <w:t>Health, coping, and well-being</w:t>
      </w:r>
      <w:r w:rsidRPr="00266B37">
        <w:rPr>
          <w:rFonts w:ascii="Arial" w:hAnsi="Arial" w:cs="Arial"/>
          <w:sz w:val="24"/>
          <w:szCs w:val="24"/>
        </w:rPr>
        <w:t xml:space="preserve"> (pp. 329-357). Psychology Press.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Dunnell, K. (2008). Ageing and mortality in the UK. </w:t>
      </w:r>
      <w:r w:rsidRPr="00266B37">
        <w:rPr>
          <w:rFonts w:ascii="Arial" w:hAnsi="Arial" w:cs="Arial"/>
          <w:i/>
          <w:sz w:val="24"/>
          <w:szCs w:val="24"/>
        </w:rPr>
        <w:t>Popul Trends</w:t>
      </w:r>
      <w:r w:rsidRPr="00266B37">
        <w:rPr>
          <w:rFonts w:ascii="Arial" w:hAnsi="Arial" w:cs="Arial"/>
          <w:sz w:val="24"/>
          <w:szCs w:val="24"/>
        </w:rPr>
        <w:t>,</w:t>
      </w:r>
      <w:r w:rsidRPr="00266B37">
        <w:rPr>
          <w:rFonts w:ascii="Arial" w:hAnsi="Arial" w:cs="Arial"/>
          <w:i/>
          <w:sz w:val="24"/>
          <w:szCs w:val="24"/>
        </w:rPr>
        <w:t xml:space="preserve"> 134</w:t>
      </w:r>
      <w:r w:rsidRPr="00266B37">
        <w:rPr>
          <w:rFonts w:ascii="Arial" w:hAnsi="Arial" w:cs="Arial"/>
          <w:sz w:val="24"/>
          <w:szCs w:val="24"/>
        </w:rPr>
        <w:t xml:space="preserve">, 6-23.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Fillenbaum, G. G. (2013). </w:t>
      </w:r>
      <w:r w:rsidRPr="00266B37">
        <w:rPr>
          <w:rFonts w:ascii="Arial" w:hAnsi="Arial" w:cs="Arial"/>
          <w:i/>
          <w:sz w:val="24"/>
          <w:szCs w:val="24"/>
        </w:rPr>
        <w:t>Multidimensional functional assessment of older adults: The Duke Older Americans Resources and Services procedures</w:t>
      </w:r>
      <w:r w:rsidRPr="00266B37">
        <w:rPr>
          <w:rFonts w:ascii="Arial" w:hAnsi="Arial" w:cs="Arial"/>
          <w:sz w:val="24"/>
          <w:szCs w:val="24"/>
        </w:rPr>
        <w:t xml:space="preserve">. Psychology Press.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Hadler, N. M. (2005). </w:t>
      </w:r>
      <w:r w:rsidRPr="00266B37">
        <w:rPr>
          <w:rFonts w:ascii="Arial" w:hAnsi="Arial" w:cs="Arial"/>
          <w:i/>
          <w:sz w:val="24"/>
          <w:szCs w:val="24"/>
        </w:rPr>
        <w:t>Occupational musculoskeletal disorders</w:t>
      </w:r>
      <w:r w:rsidRPr="00266B37">
        <w:rPr>
          <w:rFonts w:ascii="Arial" w:hAnsi="Arial" w:cs="Arial"/>
          <w:sz w:val="24"/>
          <w:szCs w:val="24"/>
        </w:rPr>
        <w:t xml:space="preserve">. Lippincott Williams &amp; Wilkins.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Han, G. M., Michaud, K., Yu, F., Watanabe</w:t>
      </w:r>
      <w:r w:rsidRPr="00266B37">
        <w:rPr>
          <w:rFonts w:ascii="Cambria Math" w:hAnsi="Cambria Math" w:cs="Cambria Math"/>
          <w:sz w:val="24"/>
          <w:szCs w:val="24"/>
        </w:rPr>
        <w:t>‐</w:t>
      </w:r>
      <w:r w:rsidRPr="00266B37">
        <w:rPr>
          <w:rFonts w:ascii="Arial" w:hAnsi="Arial" w:cs="Arial"/>
          <w:sz w:val="24"/>
          <w:szCs w:val="24"/>
        </w:rPr>
        <w:t xml:space="preserve">Galloway, S., &amp; Mikuls, T. R. (2016). Increasing public health burden of arthritis and other rheumatic conditions and comorbidity: results from a Statewide Health Surveillance System, 2007–2012. </w:t>
      </w:r>
      <w:r w:rsidRPr="00266B37">
        <w:rPr>
          <w:rFonts w:ascii="Arial" w:hAnsi="Arial" w:cs="Arial"/>
          <w:i/>
          <w:sz w:val="24"/>
          <w:szCs w:val="24"/>
        </w:rPr>
        <w:t>Arthritis care &amp; research</w:t>
      </w:r>
      <w:r w:rsidRPr="00266B37">
        <w:rPr>
          <w:rFonts w:ascii="Arial" w:hAnsi="Arial" w:cs="Arial"/>
          <w:sz w:val="24"/>
          <w:szCs w:val="24"/>
        </w:rPr>
        <w:t>,</w:t>
      </w:r>
      <w:r w:rsidRPr="00266B37">
        <w:rPr>
          <w:rFonts w:ascii="Arial" w:hAnsi="Arial" w:cs="Arial"/>
          <w:i/>
          <w:sz w:val="24"/>
          <w:szCs w:val="24"/>
        </w:rPr>
        <w:t xml:space="preserve"> 68</w:t>
      </w:r>
      <w:r w:rsidRPr="00266B37">
        <w:rPr>
          <w:rFonts w:ascii="Arial" w:hAnsi="Arial" w:cs="Arial"/>
          <w:sz w:val="24"/>
          <w:szCs w:val="24"/>
        </w:rPr>
        <w:t xml:space="preserve">(10), 1417-1427.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Hovey, H. A. (1999). State spending for higher education in the next decade: The battle to sustain current support.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Jenson, J., &amp; Jacobzone, S. (2000). Care allowances for the frail elderly and their impact on women care-givers.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Jump, G. V. (1980). Interest rates, inflation expectations, and spurious elements in measured real income and saving. </w:t>
      </w:r>
      <w:r w:rsidRPr="00266B37">
        <w:rPr>
          <w:rFonts w:ascii="Arial" w:hAnsi="Arial" w:cs="Arial"/>
          <w:i/>
          <w:sz w:val="24"/>
          <w:szCs w:val="24"/>
        </w:rPr>
        <w:t>The American Economic Review</w:t>
      </w:r>
      <w:r w:rsidRPr="00266B37">
        <w:rPr>
          <w:rFonts w:ascii="Arial" w:hAnsi="Arial" w:cs="Arial"/>
          <w:sz w:val="24"/>
          <w:szCs w:val="24"/>
        </w:rPr>
        <w:t>,</w:t>
      </w:r>
      <w:r w:rsidRPr="00266B37">
        <w:rPr>
          <w:rFonts w:ascii="Arial" w:hAnsi="Arial" w:cs="Arial"/>
          <w:i/>
          <w:sz w:val="24"/>
          <w:szCs w:val="24"/>
        </w:rPr>
        <w:t xml:space="preserve"> 70</w:t>
      </w:r>
      <w:r w:rsidRPr="00266B37">
        <w:rPr>
          <w:rFonts w:ascii="Arial" w:hAnsi="Arial" w:cs="Arial"/>
          <w:sz w:val="24"/>
          <w:szCs w:val="24"/>
        </w:rPr>
        <w:t xml:space="preserve">(5), 990-1004.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Kampshoff, C. S., Chinapaw, M. J., Brug, J., Twisk, J. W., Schep, G., Nijziel, M. R., van Mechelen, W., &amp; Buffart, L. M. (2015). Randomized controlled trial of the effects of high intensity and low-to-moderate intensity exercise on physical fitness and fatigue in cancer survivors: results of the Resistance and Endurance exercise After ChemoTherapy (REACT) study. </w:t>
      </w:r>
      <w:r w:rsidRPr="00266B37">
        <w:rPr>
          <w:rFonts w:ascii="Arial" w:hAnsi="Arial" w:cs="Arial"/>
          <w:i/>
          <w:sz w:val="24"/>
          <w:szCs w:val="24"/>
        </w:rPr>
        <w:t>BMC medicine</w:t>
      </w:r>
      <w:r w:rsidRPr="00266B37">
        <w:rPr>
          <w:rFonts w:ascii="Arial" w:hAnsi="Arial" w:cs="Arial"/>
          <w:sz w:val="24"/>
          <w:szCs w:val="24"/>
        </w:rPr>
        <w:t>,</w:t>
      </w:r>
      <w:r w:rsidRPr="00266B37">
        <w:rPr>
          <w:rFonts w:ascii="Arial" w:hAnsi="Arial" w:cs="Arial"/>
          <w:i/>
          <w:sz w:val="24"/>
          <w:szCs w:val="24"/>
        </w:rPr>
        <w:t xml:space="preserve"> 13</w:t>
      </w:r>
      <w:r w:rsidRPr="00266B37">
        <w:rPr>
          <w:rFonts w:ascii="Arial" w:hAnsi="Arial" w:cs="Arial"/>
          <w:sz w:val="24"/>
          <w:szCs w:val="24"/>
        </w:rPr>
        <w:t xml:space="preserve">, 1-12.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Kinsella, K. G., &amp; Phillips, D. R. (2005). </w:t>
      </w:r>
      <w:r w:rsidRPr="00266B37">
        <w:rPr>
          <w:rFonts w:ascii="Arial" w:hAnsi="Arial" w:cs="Arial"/>
          <w:i/>
          <w:sz w:val="24"/>
          <w:szCs w:val="24"/>
        </w:rPr>
        <w:t>Global aging: The challenge of success</w:t>
      </w:r>
      <w:r w:rsidRPr="00266B37">
        <w:rPr>
          <w:rFonts w:ascii="Arial" w:hAnsi="Arial" w:cs="Arial"/>
          <w:sz w:val="24"/>
          <w:szCs w:val="24"/>
        </w:rPr>
        <w:t xml:space="preserve"> (Vol. 60). Population Reference Bureau Washington, DC.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Lindh, T., &amp; Malmberg, B. (2000). Can age structure forecast inflation trends? </w:t>
      </w:r>
      <w:r w:rsidRPr="00266B37">
        <w:rPr>
          <w:rFonts w:ascii="Arial" w:hAnsi="Arial" w:cs="Arial"/>
          <w:i/>
          <w:sz w:val="24"/>
          <w:szCs w:val="24"/>
        </w:rPr>
        <w:t>Journal of economics and business</w:t>
      </w:r>
      <w:r w:rsidRPr="00266B37">
        <w:rPr>
          <w:rFonts w:ascii="Arial" w:hAnsi="Arial" w:cs="Arial"/>
          <w:sz w:val="24"/>
          <w:szCs w:val="24"/>
        </w:rPr>
        <w:t>,</w:t>
      </w:r>
      <w:r w:rsidRPr="00266B37">
        <w:rPr>
          <w:rFonts w:ascii="Arial" w:hAnsi="Arial" w:cs="Arial"/>
          <w:i/>
          <w:sz w:val="24"/>
          <w:szCs w:val="24"/>
        </w:rPr>
        <w:t xml:space="preserve"> 52</w:t>
      </w:r>
      <w:r w:rsidRPr="00266B37">
        <w:rPr>
          <w:rFonts w:ascii="Arial" w:hAnsi="Arial" w:cs="Arial"/>
          <w:sz w:val="24"/>
          <w:szCs w:val="24"/>
        </w:rPr>
        <w:t xml:space="preserve">(1-2), 31-49.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Miles, D. K., Stedman, M., &amp; Heald, A. H. (2021). “Stay at Home, Protect the National Health Service, Save Lives”: A cost benefit analysis of the lockdown in the United Kingdom. </w:t>
      </w:r>
      <w:r w:rsidRPr="00266B37">
        <w:rPr>
          <w:rFonts w:ascii="Arial" w:hAnsi="Arial" w:cs="Arial"/>
          <w:i/>
          <w:sz w:val="24"/>
          <w:szCs w:val="24"/>
        </w:rPr>
        <w:t>International Journal of Clinical Practice</w:t>
      </w:r>
      <w:r w:rsidRPr="00266B37">
        <w:rPr>
          <w:rFonts w:ascii="Arial" w:hAnsi="Arial" w:cs="Arial"/>
          <w:sz w:val="24"/>
          <w:szCs w:val="24"/>
        </w:rPr>
        <w:t>,</w:t>
      </w:r>
      <w:r w:rsidRPr="00266B37">
        <w:rPr>
          <w:rFonts w:ascii="Arial" w:hAnsi="Arial" w:cs="Arial"/>
          <w:i/>
          <w:sz w:val="24"/>
          <w:szCs w:val="24"/>
        </w:rPr>
        <w:t xml:space="preserve"> 75</w:t>
      </w:r>
      <w:r w:rsidRPr="00266B37">
        <w:rPr>
          <w:rFonts w:ascii="Arial" w:hAnsi="Arial" w:cs="Arial"/>
          <w:sz w:val="24"/>
          <w:szCs w:val="24"/>
        </w:rPr>
        <w:t xml:space="preserve">(3), e13674.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lastRenderedPageBreak/>
        <w:t xml:space="preserve">Murphy, L. B., Cisternas, M. G., Pasta, D. J., Helmick, C. G., &amp; Yelin, E. H. (2018). Medical expenditures and earnings losses among US adults with arthritis in 2013. </w:t>
      </w:r>
      <w:r w:rsidRPr="00266B37">
        <w:rPr>
          <w:rFonts w:ascii="Arial" w:hAnsi="Arial" w:cs="Arial"/>
          <w:i/>
          <w:sz w:val="24"/>
          <w:szCs w:val="24"/>
        </w:rPr>
        <w:t>Arthritis care &amp; research</w:t>
      </w:r>
      <w:r w:rsidRPr="00266B37">
        <w:rPr>
          <w:rFonts w:ascii="Arial" w:hAnsi="Arial" w:cs="Arial"/>
          <w:sz w:val="24"/>
          <w:szCs w:val="24"/>
        </w:rPr>
        <w:t>,</w:t>
      </w:r>
      <w:r w:rsidRPr="00266B37">
        <w:rPr>
          <w:rFonts w:ascii="Arial" w:hAnsi="Arial" w:cs="Arial"/>
          <w:i/>
          <w:sz w:val="24"/>
          <w:szCs w:val="24"/>
        </w:rPr>
        <w:t xml:space="preserve"> 70</w:t>
      </w:r>
      <w:r w:rsidRPr="00266B37">
        <w:rPr>
          <w:rFonts w:ascii="Arial" w:hAnsi="Arial" w:cs="Arial"/>
          <w:sz w:val="24"/>
          <w:szCs w:val="24"/>
        </w:rPr>
        <w:t xml:space="preserve">(6), 869-876.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O'boyle, C. A. (1997). Measuring the quality of later life. </w:t>
      </w:r>
      <w:r w:rsidRPr="00266B37">
        <w:rPr>
          <w:rFonts w:ascii="Arial" w:hAnsi="Arial" w:cs="Arial"/>
          <w:i/>
          <w:sz w:val="24"/>
          <w:szCs w:val="24"/>
        </w:rPr>
        <w:t>Philosophical Transactions of the Royal Society of London. Series B: Biological Sciences</w:t>
      </w:r>
      <w:r w:rsidRPr="00266B37">
        <w:rPr>
          <w:rFonts w:ascii="Arial" w:hAnsi="Arial" w:cs="Arial"/>
          <w:sz w:val="24"/>
          <w:szCs w:val="24"/>
        </w:rPr>
        <w:t>,</w:t>
      </w:r>
      <w:r w:rsidRPr="00266B37">
        <w:rPr>
          <w:rFonts w:ascii="Arial" w:hAnsi="Arial" w:cs="Arial"/>
          <w:i/>
          <w:sz w:val="24"/>
          <w:szCs w:val="24"/>
        </w:rPr>
        <w:t xml:space="preserve"> 352</w:t>
      </w:r>
      <w:r w:rsidRPr="00266B37">
        <w:rPr>
          <w:rFonts w:ascii="Arial" w:hAnsi="Arial" w:cs="Arial"/>
          <w:sz w:val="24"/>
          <w:szCs w:val="24"/>
        </w:rPr>
        <w:t xml:space="preserve">(1363), 1871-1879.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Pedersen, B. K., &amp; Hoffman-Goetz, L. (2000). Exercise and the immune system: regulation, integration, and adaptation. </w:t>
      </w:r>
      <w:r w:rsidRPr="00266B37">
        <w:rPr>
          <w:rFonts w:ascii="Arial" w:hAnsi="Arial" w:cs="Arial"/>
          <w:i/>
          <w:sz w:val="24"/>
          <w:szCs w:val="24"/>
        </w:rPr>
        <w:t>Physiological reviews</w:t>
      </w:r>
      <w:r w:rsidRPr="00266B37">
        <w:rPr>
          <w:rFonts w:ascii="Arial" w:hAnsi="Arial" w:cs="Arial"/>
          <w:sz w:val="24"/>
          <w:szCs w:val="24"/>
        </w:rPr>
        <w:t xml:space="preserve">.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Sheaff, R., Charles, N., Mahon, A., Chambers, N., Morando, V., Exworthy, M., Byng, R., Mannion, R., &amp; Llewellyn, S. (2015). NHS commissioning practice and health system governance: a mixed-methods realistic evaluation.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Stuck, A. E., Walthert, J. M., Nikolaus, T., Büla, C. J., Hohmann, C., &amp; Beck, J. C. (1999). Risk factors for functional status decline in community-living elderly people: a systematic literature review. </w:t>
      </w:r>
      <w:r w:rsidRPr="00266B37">
        <w:rPr>
          <w:rFonts w:ascii="Arial" w:hAnsi="Arial" w:cs="Arial"/>
          <w:i/>
          <w:sz w:val="24"/>
          <w:szCs w:val="24"/>
        </w:rPr>
        <w:t>Social science &amp; medicine</w:t>
      </w:r>
      <w:r w:rsidRPr="00266B37">
        <w:rPr>
          <w:rFonts w:ascii="Arial" w:hAnsi="Arial" w:cs="Arial"/>
          <w:sz w:val="24"/>
          <w:szCs w:val="24"/>
        </w:rPr>
        <w:t>,</w:t>
      </w:r>
      <w:r w:rsidRPr="00266B37">
        <w:rPr>
          <w:rFonts w:ascii="Arial" w:hAnsi="Arial" w:cs="Arial"/>
          <w:i/>
          <w:sz w:val="24"/>
          <w:szCs w:val="24"/>
        </w:rPr>
        <w:t xml:space="preserve"> 48</w:t>
      </w:r>
      <w:r w:rsidRPr="00266B37">
        <w:rPr>
          <w:rFonts w:ascii="Arial" w:hAnsi="Arial" w:cs="Arial"/>
          <w:sz w:val="24"/>
          <w:szCs w:val="24"/>
        </w:rPr>
        <w:t xml:space="preserve">(4), 445-469.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Suber, P. (2006). Open access in the United States. In </w:t>
      </w:r>
      <w:r w:rsidRPr="00266B37">
        <w:rPr>
          <w:rFonts w:ascii="Arial" w:hAnsi="Arial" w:cs="Arial"/>
          <w:i/>
          <w:sz w:val="24"/>
          <w:szCs w:val="24"/>
        </w:rPr>
        <w:t>Open access: Key strategic, technical and economic aspects</w:t>
      </w:r>
      <w:r w:rsidRPr="00266B37">
        <w:rPr>
          <w:rFonts w:ascii="Arial" w:hAnsi="Arial" w:cs="Arial"/>
          <w:sz w:val="24"/>
          <w:szCs w:val="24"/>
        </w:rPr>
        <w:t xml:space="preserve">. Chandos Publishing.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Turkiewicz, A., Petersson, I. F., Björk, J., Hawker, G., Dahlberg, L. E., Lohmander, L. S., &amp; Englund, M. (2014). Current and future impact of osteoarthritis on health care: a population-based study with projections to year 2032. </w:t>
      </w:r>
      <w:r w:rsidRPr="00266B37">
        <w:rPr>
          <w:rFonts w:ascii="Arial" w:hAnsi="Arial" w:cs="Arial"/>
          <w:i/>
          <w:sz w:val="24"/>
          <w:szCs w:val="24"/>
        </w:rPr>
        <w:t>Osteoarthritis and cartilage</w:t>
      </w:r>
      <w:r w:rsidRPr="00266B37">
        <w:rPr>
          <w:rFonts w:ascii="Arial" w:hAnsi="Arial" w:cs="Arial"/>
          <w:sz w:val="24"/>
          <w:szCs w:val="24"/>
        </w:rPr>
        <w:t>,</w:t>
      </w:r>
      <w:r w:rsidRPr="00266B37">
        <w:rPr>
          <w:rFonts w:ascii="Arial" w:hAnsi="Arial" w:cs="Arial"/>
          <w:i/>
          <w:sz w:val="24"/>
          <w:szCs w:val="24"/>
        </w:rPr>
        <w:t xml:space="preserve"> 22</w:t>
      </w:r>
      <w:r w:rsidRPr="00266B37">
        <w:rPr>
          <w:rFonts w:ascii="Arial" w:hAnsi="Arial" w:cs="Arial"/>
          <w:sz w:val="24"/>
          <w:szCs w:val="24"/>
        </w:rPr>
        <w:t xml:space="preserve">(11), 1826-1832. </w:t>
      </w:r>
    </w:p>
    <w:p w:rsidR="008B5EAC" w:rsidRPr="00266B37" w:rsidRDefault="008B5EAC" w:rsidP="008B5EAC">
      <w:pPr>
        <w:pStyle w:val="EndNoteBibliography"/>
        <w:spacing w:after="0"/>
        <w:ind w:left="720" w:hanging="720"/>
        <w:rPr>
          <w:rFonts w:ascii="Arial" w:hAnsi="Arial" w:cs="Arial"/>
          <w:sz w:val="24"/>
          <w:szCs w:val="24"/>
        </w:rPr>
      </w:pPr>
      <w:r w:rsidRPr="00266B37">
        <w:rPr>
          <w:rFonts w:ascii="Arial" w:hAnsi="Arial" w:cs="Arial"/>
          <w:sz w:val="24"/>
          <w:szCs w:val="24"/>
        </w:rPr>
        <w:t xml:space="preserve">Washburn, R. A., McAuley, E., Katula, J., Mihalko, S. L., &amp; Boileau, R. A. (1999). The physical activity scale for the elderly (PASE): evidence for validity. </w:t>
      </w:r>
      <w:r w:rsidRPr="00266B37">
        <w:rPr>
          <w:rFonts w:ascii="Arial" w:hAnsi="Arial" w:cs="Arial"/>
          <w:i/>
          <w:sz w:val="24"/>
          <w:szCs w:val="24"/>
        </w:rPr>
        <w:t>Journal of clinical epidemiology</w:t>
      </w:r>
      <w:r w:rsidRPr="00266B37">
        <w:rPr>
          <w:rFonts w:ascii="Arial" w:hAnsi="Arial" w:cs="Arial"/>
          <w:sz w:val="24"/>
          <w:szCs w:val="24"/>
        </w:rPr>
        <w:t>,</w:t>
      </w:r>
      <w:r w:rsidRPr="00266B37">
        <w:rPr>
          <w:rFonts w:ascii="Arial" w:hAnsi="Arial" w:cs="Arial"/>
          <w:i/>
          <w:sz w:val="24"/>
          <w:szCs w:val="24"/>
        </w:rPr>
        <w:t xml:space="preserve"> 52</w:t>
      </w:r>
      <w:r w:rsidRPr="00266B37">
        <w:rPr>
          <w:rFonts w:ascii="Arial" w:hAnsi="Arial" w:cs="Arial"/>
          <w:sz w:val="24"/>
          <w:szCs w:val="24"/>
        </w:rPr>
        <w:t xml:space="preserve">(7), 643-651. </w:t>
      </w:r>
    </w:p>
    <w:p w:rsidR="008B5EAC" w:rsidRPr="00266B37" w:rsidRDefault="008B5EAC" w:rsidP="008B5EAC">
      <w:pPr>
        <w:pStyle w:val="EndNoteBibliography"/>
        <w:ind w:left="720" w:hanging="720"/>
        <w:rPr>
          <w:rFonts w:ascii="Arial" w:hAnsi="Arial" w:cs="Arial"/>
          <w:sz w:val="24"/>
          <w:szCs w:val="24"/>
        </w:rPr>
      </w:pPr>
      <w:r w:rsidRPr="00266B37">
        <w:rPr>
          <w:rFonts w:ascii="Arial" w:hAnsi="Arial" w:cs="Arial"/>
          <w:sz w:val="24"/>
          <w:szCs w:val="24"/>
        </w:rPr>
        <w:t xml:space="preserve">Washburn, R. A., Smith, K. W., Jette, A. M., &amp; Janney, C. A. (1993). The Physical Activity Scale for the Elderly (PASE): development and evaluation. </w:t>
      </w:r>
      <w:r w:rsidRPr="00266B37">
        <w:rPr>
          <w:rFonts w:ascii="Arial" w:hAnsi="Arial" w:cs="Arial"/>
          <w:i/>
          <w:sz w:val="24"/>
          <w:szCs w:val="24"/>
        </w:rPr>
        <w:t>Journal of clinical epidemiology</w:t>
      </w:r>
      <w:r w:rsidRPr="00266B37">
        <w:rPr>
          <w:rFonts w:ascii="Arial" w:hAnsi="Arial" w:cs="Arial"/>
          <w:sz w:val="24"/>
          <w:szCs w:val="24"/>
        </w:rPr>
        <w:t>,</w:t>
      </w:r>
      <w:r w:rsidRPr="00266B37">
        <w:rPr>
          <w:rFonts w:ascii="Arial" w:hAnsi="Arial" w:cs="Arial"/>
          <w:i/>
          <w:sz w:val="24"/>
          <w:szCs w:val="24"/>
        </w:rPr>
        <w:t xml:space="preserve"> 46</w:t>
      </w:r>
      <w:r w:rsidRPr="00266B37">
        <w:rPr>
          <w:rFonts w:ascii="Arial" w:hAnsi="Arial" w:cs="Arial"/>
          <w:sz w:val="24"/>
          <w:szCs w:val="24"/>
        </w:rPr>
        <w:t xml:space="preserve">(2), 153-162. </w:t>
      </w:r>
    </w:p>
    <w:p w:rsidR="00AB7CB8" w:rsidRPr="00266B37" w:rsidRDefault="00792914" w:rsidP="0005391C">
      <w:pPr>
        <w:spacing w:line="360" w:lineRule="auto"/>
        <w:jc w:val="both"/>
        <w:rPr>
          <w:rFonts w:ascii="Arial" w:hAnsi="Arial" w:cs="Arial"/>
          <w:sz w:val="24"/>
          <w:szCs w:val="24"/>
        </w:rPr>
      </w:pPr>
      <w:r w:rsidRPr="00266B37">
        <w:rPr>
          <w:rFonts w:ascii="Arial" w:hAnsi="Arial" w:cs="Arial"/>
          <w:sz w:val="24"/>
          <w:szCs w:val="24"/>
        </w:rPr>
        <w:fldChar w:fldCharType="end"/>
      </w:r>
    </w:p>
    <w:sectPr w:rsidR="00AB7CB8" w:rsidRPr="00266B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03D"/>
    <w:multiLevelType w:val="hybridMultilevel"/>
    <w:tmpl w:val="DEF4B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A13E0E"/>
    <w:multiLevelType w:val="hybridMultilevel"/>
    <w:tmpl w:val="C3064B66"/>
    <w:lvl w:ilvl="0" w:tplc="37E6C95E">
      <w:start w:val="1"/>
      <w:numFmt w:val="decimal"/>
      <w:pStyle w:val="Heading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80422187">
    <w:abstractNumId w:val="1"/>
  </w:num>
  <w:num w:numId="2" w16cid:durableId="1598322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efzt5stfrp29tqe5afxpatza2wa55xt99sxd&quot;&gt;My EndNote Library&lt;record-ids&gt;&lt;item&gt;180&lt;/item&gt;&lt;item&gt;181&lt;/item&gt;&lt;item&gt;182&lt;/item&gt;&lt;item&gt;183&lt;/item&gt;&lt;item&gt;184&lt;/item&gt;&lt;item&gt;185&lt;/item&gt;&lt;item&gt;186&lt;/item&gt;&lt;item&gt;187&lt;/item&gt;&lt;item&gt;188&lt;/item&gt;&lt;item&gt;189&lt;/item&gt;&lt;item&gt;190&lt;/item&gt;&lt;item&gt;191&lt;/item&gt;&lt;/record-ids&gt;&lt;/item&gt;&lt;/Libraries&gt;"/>
  </w:docVars>
  <w:rsids>
    <w:rsidRoot w:val="00AB7CB8"/>
    <w:rsid w:val="00000AB5"/>
    <w:rsid w:val="000418C1"/>
    <w:rsid w:val="0005391C"/>
    <w:rsid w:val="000D7FB4"/>
    <w:rsid w:val="001130CC"/>
    <w:rsid w:val="0014641B"/>
    <w:rsid w:val="001702D3"/>
    <w:rsid w:val="001A03D6"/>
    <w:rsid w:val="001E40E0"/>
    <w:rsid w:val="00266B37"/>
    <w:rsid w:val="00322A10"/>
    <w:rsid w:val="00402D1E"/>
    <w:rsid w:val="0043329E"/>
    <w:rsid w:val="00490A81"/>
    <w:rsid w:val="004B41D0"/>
    <w:rsid w:val="005458DA"/>
    <w:rsid w:val="00577C5C"/>
    <w:rsid w:val="006610F5"/>
    <w:rsid w:val="00672708"/>
    <w:rsid w:val="006B05D4"/>
    <w:rsid w:val="006F4EA5"/>
    <w:rsid w:val="00792914"/>
    <w:rsid w:val="008254CB"/>
    <w:rsid w:val="008B5EAC"/>
    <w:rsid w:val="009572C4"/>
    <w:rsid w:val="009C59A8"/>
    <w:rsid w:val="00A7141C"/>
    <w:rsid w:val="00AB7CB8"/>
    <w:rsid w:val="00AE2302"/>
    <w:rsid w:val="00B7469A"/>
    <w:rsid w:val="00BF33C2"/>
    <w:rsid w:val="00C42B20"/>
    <w:rsid w:val="00C82DD9"/>
    <w:rsid w:val="00CE16BB"/>
    <w:rsid w:val="00D428CF"/>
    <w:rsid w:val="00D5490D"/>
    <w:rsid w:val="00D93799"/>
    <w:rsid w:val="00F428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FE053"/>
  <w15:chartTrackingRefBased/>
  <w15:docId w15:val="{3DCBC79F-1DDC-4E4B-9049-D965A1D0F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B37"/>
    <w:pPr>
      <w:keepNext/>
      <w:keepLines/>
      <w:numPr>
        <w:numId w:val="1"/>
      </w:numPr>
      <w:spacing w:before="240" w:after="0" w:line="360" w:lineRule="auto"/>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266B37"/>
    <w:pPr>
      <w:keepNext/>
      <w:keepLines/>
      <w:spacing w:before="40" w:after="0" w:line="360" w:lineRule="auto"/>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uiPriority w:val="9"/>
    <w:semiHidden/>
    <w:unhideWhenUsed/>
    <w:qFormat/>
    <w:rsid w:val="001702D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6B37"/>
    <w:rPr>
      <w:rFonts w:ascii="Arial" w:eastAsiaTheme="majorEastAsia" w:hAnsi="Arial" w:cstheme="majorBidi"/>
      <w:b/>
      <w:color w:val="000000" w:themeColor="text1"/>
      <w:sz w:val="24"/>
      <w:szCs w:val="26"/>
    </w:rPr>
  </w:style>
  <w:style w:type="character" w:customStyle="1" w:styleId="Heading1Char">
    <w:name w:val="Heading 1 Char"/>
    <w:basedOn w:val="DefaultParagraphFont"/>
    <w:link w:val="Heading1"/>
    <w:uiPriority w:val="9"/>
    <w:rsid w:val="00266B37"/>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1702D3"/>
    <w:rPr>
      <w:rFonts w:asciiTheme="majorHAnsi" w:eastAsiaTheme="majorEastAsia" w:hAnsiTheme="majorHAnsi" w:cstheme="majorBidi"/>
      <w:color w:val="1F4D78" w:themeColor="accent1" w:themeShade="7F"/>
      <w:sz w:val="24"/>
      <w:szCs w:val="24"/>
    </w:rPr>
  </w:style>
  <w:style w:type="paragraph" w:customStyle="1" w:styleId="EndNoteBibliographyTitle">
    <w:name w:val="EndNote Bibliography Title"/>
    <w:basedOn w:val="Normal"/>
    <w:link w:val="EndNoteBibliographyTitleChar"/>
    <w:rsid w:val="00792914"/>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792914"/>
    <w:rPr>
      <w:rFonts w:ascii="Calibri" w:hAnsi="Calibri" w:cs="Calibri"/>
      <w:noProof/>
    </w:rPr>
  </w:style>
  <w:style w:type="paragraph" w:customStyle="1" w:styleId="EndNoteBibliography">
    <w:name w:val="EndNote Bibliography"/>
    <w:basedOn w:val="Normal"/>
    <w:link w:val="EndNoteBibliographyChar"/>
    <w:rsid w:val="00792914"/>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792914"/>
    <w:rPr>
      <w:rFonts w:ascii="Calibri" w:hAnsi="Calibri" w:cs="Calibri"/>
      <w:noProof/>
    </w:rPr>
  </w:style>
  <w:style w:type="paragraph" w:styleId="ListParagraph">
    <w:name w:val="List Paragraph"/>
    <w:basedOn w:val="Normal"/>
    <w:uiPriority w:val="34"/>
    <w:qFormat/>
    <w:rsid w:val="00266B37"/>
    <w:pPr>
      <w:ind w:left="720"/>
      <w:contextualSpacing/>
    </w:pPr>
  </w:style>
  <w:style w:type="paragraph" w:styleId="Caption">
    <w:name w:val="caption"/>
    <w:basedOn w:val="Normal"/>
    <w:next w:val="Normal"/>
    <w:uiPriority w:val="35"/>
    <w:unhideWhenUsed/>
    <w:qFormat/>
    <w:rsid w:val="00D5490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02D1E"/>
    <w:pPr>
      <w:numPr>
        <w:numId w:val="0"/>
      </w:num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02D1E"/>
    <w:pPr>
      <w:spacing w:after="100"/>
    </w:pPr>
  </w:style>
  <w:style w:type="paragraph" w:styleId="TOC2">
    <w:name w:val="toc 2"/>
    <w:basedOn w:val="Normal"/>
    <w:next w:val="Normal"/>
    <w:autoRedefine/>
    <w:uiPriority w:val="39"/>
    <w:unhideWhenUsed/>
    <w:rsid w:val="00402D1E"/>
    <w:pPr>
      <w:spacing w:after="100"/>
      <w:ind w:left="220"/>
    </w:pPr>
  </w:style>
  <w:style w:type="character" w:styleId="Hyperlink">
    <w:name w:val="Hyperlink"/>
    <w:basedOn w:val="DefaultParagraphFont"/>
    <w:uiPriority w:val="99"/>
    <w:unhideWhenUsed/>
    <w:rsid w:val="00402D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17228">
      <w:bodyDiv w:val="1"/>
      <w:marLeft w:val="0"/>
      <w:marRight w:val="0"/>
      <w:marTop w:val="0"/>
      <w:marBottom w:val="0"/>
      <w:divBdr>
        <w:top w:val="none" w:sz="0" w:space="0" w:color="auto"/>
        <w:left w:val="none" w:sz="0" w:space="0" w:color="auto"/>
        <w:bottom w:val="none" w:sz="0" w:space="0" w:color="auto"/>
        <w:right w:val="none" w:sz="0" w:space="0" w:color="auto"/>
      </w:divBdr>
    </w:div>
    <w:div w:id="158278665">
      <w:bodyDiv w:val="1"/>
      <w:marLeft w:val="0"/>
      <w:marRight w:val="0"/>
      <w:marTop w:val="0"/>
      <w:marBottom w:val="0"/>
      <w:divBdr>
        <w:top w:val="none" w:sz="0" w:space="0" w:color="auto"/>
        <w:left w:val="none" w:sz="0" w:space="0" w:color="auto"/>
        <w:bottom w:val="none" w:sz="0" w:space="0" w:color="auto"/>
        <w:right w:val="none" w:sz="0" w:space="0" w:color="auto"/>
      </w:divBdr>
    </w:div>
    <w:div w:id="201524021">
      <w:bodyDiv w:val="1"/>
      <w:marLeft w:val="0"/>
      <w:marRight w:val="0"/>
      <w:marTop w:val="0"/>
      <w:marBottom w:val="0"/>
      <w:divBdr>
        <w:top w:val="none" w:sz="0" w:space="0" w:color="auto"/>
        <w:left w:val="none" w:sz="0" w:space="0" w:color="auto"/>
        <w:bottom w:val="none" w:sz="0" w:space="0" w:color="auto"/>
        <w:right w:val="none" w:sz="0" w:space="0" w:color="auto"/>
      </w:divBdr>
    </w:div>
    <w:div w:id="251202155">
      <w:bodyDiv w:val="1"/>
      <w:marLeft w:val="0"/>
      <w:marRight w:val="0"/>
      <w:marTop w:val="0"/>
      <w:marBottom w:val="0"/>
      <w:divBdr>
        <w:top w:val="none" w:sz="0" w:space="0" w:color="auto"/>
        <w:left w:val="none" w:sz="0" w:space="0" w:color="auto"/>
        <w:bottom w:val="none" w:sz="0" w:space="0" w:color="auto"/>
        <w:right w:val="none" w:sz="0" w:space="0" w:color="auto"/>
      </w:divBdr>
    </w:div>
    <w:div w:id="422996599">
      <w:bodyDiv w:val="1"/>
      <w:marLeft w:val="0"/>
      <w:marRight w:val="0"/>
      <w:marTop w:val="0"/>
      <w:marBottom w:val="0"/>
      <w:divBdr>
        <w:top w:val="none" w:sz="0" w:space="0" w:color="auto"/>
        <w:left w:val="none" w:sz="0" w:space="0" w:color="auto"/>
        <w:bottom w:val="none" w:sz="0" w:space="0" w:color="auto"/>
        <w:right w:val="none" w:sz="0" w:space="0" w:color="auto"/>
      </w:divBdr>
    </w:div>
    <w:div w:id="527379090">
      <w:bodyDiv w:val="1"/>
      <w:marLeft w:val="0"/>
      <w:marRight w:val="0"/>
      <w:marTop w:val="0"/>
      <w:marBottom w:val="0"/>
      <w:divBdr>
        <w:top w:val="none" w:sz="0" w:space="0" w:color="auto"/>
        <w:left w:val="none" w:sz="0" w:space="0" w:color="auto"/>
        <w:bottom w:val="none" w:sz="0" w:space="0" w:color="auto"/>
        <w:right w:val="none" w:sz="0" w:space="0" w:color="auto"/>
      </w:divBdr>
    </w:div>
    <w:div w:id="576016707">
      <w:bodyDiv w:val="1"/>
      <w:marLeft w:val="0"/>
      <w:marRight w:val="0"/>
      <w:marTop w:val="0"/>
      <w:marBottom w:val="0"/>
      <w:divBdr>
        <w:top w:val="none" w:sz="0" w:space="0" w:color="auto"/>
        <w:left w:val="none" w:sz="0" w:space="0" w:color="auto"/>
        <w:bottom w:val="none" w:sz="0" w:space="0" w:color="auto"/>
        <w:right w:val="none" w:sz="0" w:space="0" w:color="auto"/>
      </w:divBdr>
    </w:div>
    <w:div w:id="592476964">
      <w:bodyDiv w:val="1"/>
      <w:marLeft w:val="0"/>
      <w:marRight w:val="0"/>
      <w:marTop w:val="0"/>
      <w:marBottom w:val="0"/>
      <w:divBdr>
        <w:top w:val="none" w:sz="0" w:space="0" w:color="auto"/>
        <w:left w:val="none" w:sz="0" w:space="0" w:color="auto"/>
        <w:bottom w:val="none" w:sz="0" w:space="0" w:color="auto"/>
        <w:right w:val="none" w:sz="0" w:space="0" w:color="auto"/>
      </w:divBdr>
    </w:div>
    <w:div w:id="601304304">
      <w:bodyDiv w:val="1"/>
      <w:marLeft w:val="0"/>
      <w:marRight w:val="0"/>
      <w:marTop w:val="0"/>
      <w:marBottom w:val="0"/>
      <w:divBdr>
        <w:top w:val="none" w:sz="0" w:space="0" w:color="auto"/>
        <w:left w:val="none" w:sz="0" w:space="0" w:color="auto"/>
        <w:bottom w:val="none" w:sz="0" w:space="0" w:color="auto"/>
        <w:right w:val="none" w:sz="0" w:space="0" w:color="auto"/>
      </w:divBdr>
    </w:div>
    <w:div w:id="677730448">
      <w:bodyDiv w:val="1"/>
      <w:marLeft w:val="0"/>
      <w:marRight w:val="0"/>
      <w:marTop w:val="0"/>
      <w:marBottom w:val="0"/>
      <w:divBdr>
        <w:top w:val="none" w:sz="0" w:space="0" w:color="auto"/>
        <w:left w:val="none" w:sz="0" w:space="0" w:color="auto"/>
        <w:bottom w:val="none" w:sz="0" w:space="0" w:color="auto"/>
        <w:right w:val="none" w:sz="0" w:space="0" w:color="auto"/>
      </w:divBdr>
    </w:div>
    <w:div w:id="801388100">
      <w:bodyDiv w:val="1"/>
      <w:marLeft w:val="0"/>
      <w:marRight w:val="0"/>
      <w:marTop w:val="0"/>
      <w:marBottom w:val="0"/>
      <w:divBdr>
        <w:top w:val="none" w:sz="0" w:space="0" w:color="auto"/>
        <w:left w:val="none" w:sz="0" w:space="0" w:color="auto"/>
        <w:bottom w:val="none" w:sz="0" w:space="0" w:color="auto"/>
        <w:right w:val="none" w:sz="0" w:space="0" w:color="auto"/>
      </w:divBdr>
    </w:div>
    <w:div w:id="832644386">
      <w:bodyDiv w:val="1"/>
      <w:marLeft w:val="0"/>
      <w:marRight w:val="0"/>
      <w:marTop w:val="0"/>
      <w:marBottom w:val="0"/>
      <w:divBdr>
        <w:top w:val="none" w:sz="0" w:space="0" w:color="auto"/>
        <w:left w:val="none" w:sz="0" w:space="0" w:color="auto"/>
        <w:bottom w:val="none" w:sz="0" w:space="0" w:color="auto"/>
        <w:right w:val="none" w:sz="0" w:space="0" w:color="auto"/>
      </w:divBdr>
    </w:div>
    <w:div w:id="895824245">
      <w:bodyDiv w:val="1"/>
      <w:marLeft w:val="0"/>
      <w:marRight w:val="0"/>
      <w:marTop w:val="0"/>
      <w:marBottom w:val="0"/>
      <w:divBdr>
        <w:top w:val="none" w:sz="0" w:space="0" w:color="auto"/>
        <w:left w:val="none" w:sz="0" w:space="0" w:color="auto"/>
        <w:bottom w:val="none" w:sz="0" w:space="0" w:color="auto"/>
        <w:right w:val="none" w:sz="0" w:space="0" w:color="auto"/>
      </w:divBdr>
    </w:div>
    <w:div w:id="906379966">
      <w:bodyDiv w:val="1"/>
      <w:marLeft w:val="0"/>
      <w:marRight w:val="0"/>
      <w:marTop w:val="0"/>
      <w:marBottom w:val="0"/>
      <w:divBdr>
        <w:top w:val="none" w:sz="0" w:space="0" w:color="auto"/>
        <w:left w:val="none" w:sz="0" w:space="0" w:color="auto"/>
        <w:bottom w:val="none" w:sz="0" w:space="0" w:color="auto"/>
        <w:right w:val="none" w:sz="0" w:space="0" w:color="auto"/>
      </w:divBdr>
      <w:divsChild>
        <w:div w:id="805901746">
          <w:marLeft w:val="0"/>
          <w:marRight w:val="0"/>
          <w:marTop w:val="0"/>
          <w:marBottom w:val="0"/>
          <w:divBdr>
            <w:top w:val="none" w:sz="0" w:space="0" w:color="auto"/>
            <w:left w:val="none" w:sz="0" w:space="0" w:color="auto"/>
            <w:bottom w:val="none" w:sz="0" w:space="0" w:color="auto"/>
            <w:right w:val="none" w:sz="0" w:space="0" w:color="auto"/>
          </w:divBdr>
        </w:div>
        <w:div w:id="1546915615">
          <w:marLeft w:val="0"/>
          <w:marRight w:val="0"/>
          <w:marTop w:val="0"/>
          <w:marBottom w:val="0"/>
          <w:divBdr>
            <w:top w:val="none" w:sz="0" w:space="0" w:color="auto"/>
            <w:left w:val="none" w:sz="0" w:space="0" w:color="auto"/>
            <w:bottom w:val="none" w:sz="0" w:space="0" w:color="auto"/>
            <w:right w:val="none" w:sz="0" w:space="0" w:color="auto"/>
          </w:divBdr>
        </w:div>
        <w:div w:id="763264891">
          <w:marLeft w:val="0"/>
          <w:marRight w:val="0"/>
          <w:marTop w:val="0"/>
          <w:marBottom w:val="0"/>
          <w:divBdr>
            <w:top w:val="none" w:sz="0" w:space="0" w:color="auto"/>
            <w:left w:val="none" w:sz="0" w:space="0" w:color="auto"/>
            <w:bottom w:val="none" w:sz="0" w:space="0" w:color="auto"/>
            <w:right w:val="none" w:sz="0" w:space="0" w:color="auto"/>
          </w:divBdr>
        </w:div>
        <w:div w:id="1295402017">
          <w:marLeft w:val="0"/>
          <w:marRight w:val="0"/>
          <w:marTop w:val="0"/>
          <w:marBottom w:val="0"/>
          <w:divBdr>
            <w:top w:val="none" w:sz="0" w:space="0" w:color="auto"/>
            <w:left w:val="none" w:sz="0" w:space="0" w:color="auto"/>
            <w:bottom w:val="none" w:sz="0" w:space="0" w:color="auto"/>
            <w:right w:val="none" w:sz="0" w:space="0" w:color="auto"/>
          </w:divBdr>
        </w:div>
      </w:divsChild>
    </w:div>
    <w:div w:id="972440197">
      <w:bodyDiv w:val="1"/>
      <w:marLeft w:val="0"/>
      <w:marRight w:val="0"/>
      <w:marTop w:val="0"/>
      <w:marBottom w:val="0"/>
      <w:divBdr>
        <w:top w:val="none" w:sz="0" w:space="0" w:color="auto"/>
        <w:left w:val="none" w:sz="0" w:space="0" w:color="auto"/>
        <w:bottom w:val="none" w:sz="0" w:space="0" w:color="auto"/>
        <w:right w:val="none" w:sz="0" w:space="0" w:color="auto"/>
      </w:divBdr>
    </w:div>
    <w:div w:id="1259756879">
      <w:bodyDiv w:val="1"/>
      <w:marLeft w:val="0"/>
      <w:marRight w:val="0"/>
      <w:marTop w:val="0"/>
      <w:marBottom w:val="0"/>
      <w:divBdr>
        <w:top w:val="none" w:sz="0" w:space="0" w:color="auto"/>
        <w:left w:val="none" w:sz="0" w:space="0" w:color="auto"/>
        <w:bottom w:val="none" w:sz="0" w:space="0" w:color="auto"/>
        <w:right w:val="none" w:sz="0" w:space="0" w:color="auto"/>
      </w:divBdr>
    </w:div>
    <w:div w:id="1278760724">
      <w:bodyDiv w:val="1"/>
      <w:marLeft w:val="0"/>
      <w:marRight w:val="0"/>
      <w:marTop w:val="0"/>
      <w:marBottom w:val="0"/>
      <w:divBdr>
        <w:top w:val="none" w:sz="0" w:space="0" w:color="auto"/>
        <w:left w:val="none" w:sz="0" w:space="0" w:color="auto"/>
        <w:bottom w:val="none" w:sz="0" w:space="0" w:color="auto"/>
        <w:right w:val="none" w:sz="0" w:space="0" w:color="auto"/>
      </w:divBdr>
    </w:div>
    <w:div w:id="1294823777">
      <w:bodyDiv w:val="1"/>
      <w:marLeft w:val="0"/>
      <w:marRight w:val="0"/>
      <w:marTop w:val="0"/>
      <w:marBottom w:val="0"/>
      <w:divBdr>
        <w:top w:val="none" w:sz="0" w:space="0" w:color="auto"/>
        <w:left w:val="none" w:sz="0" w:space="0" w:color="auto"/>
        <w:bottom w:val="none" w:sz="0" w:space="0" w:color="auto"/>
        <w:right w:val="none" w:sz="0" w:space="0" w:color="auto"/>
      </w:divBdr>
    </w:div>
    <w:div w:id="1300957301">
      <w:bodyDiv w:val="1"/>
      <w:marLeft w:val="0"/>
      <w:marRight w:val="0"/>
      <w:marTop w:val="0"/>
      <w:marBottom w:val="0"/>
      <w:divBdr>
        <w:top w:val="none" w:sz="0" w:space="0" w:color="auto"/>
        <w:left w:val="none" w:sz="0" w:space="0" w:color="auto"/>
        <w:bottom w:val="none" w:sz="0" w:space="0" w:color="auto"/>
        <w:right w:val="none" w:sz="0" w:space="0" w:color="auto"/>
      </w:divBdr>
    </w:div>
    <w:div w:id="1509129697">
      <w:bodyDiv w:val="1"/>
      <w:marLeft w:val="0"/>
      <w:marRight w:val="0"/>
      <w:marTop w:val="0"/>
      <w:marBottom w:val="0"/>
      <w:divBdr>
        <w:top w:val="none" w:sz="0" w:space="0" w:color="auto"/>
        <w:left w:val="none" w:sz="0" w:space="0" w:color="auto"/>
        <w:bottom w:val="none" w:sz="0" w:space="0" w:color="auto"/>
        <w:right w:val="none" w:sz="0" w:space="0" w:color="auto"/>
      </w:divBdr>
    </w:div>
    <w:div w:id="1553735206">
      <w:bodyDiv w:val="1"/>
      <w:marLeft w:val="0"/>
      <w:marRight w:val="0"/>
      <w:marTop w:val="0"/>
      <w:marBottom w:val="0"/>
      <w:divBdr>
        <w:top w:val="none" w:sz="0" w:space="0" w:color="auto"/>
        <w:left w:val="none" w:sz="0" w:space="0" w:color="auto"/>
        <w:bottom w:val="none" w:sz="0" w:space="0" w:color="auto"/>
        <w:right w:val="none" w:sz="0" w:space="0" w:color="auto"/>
      </w:divBdr>
    </w:div>
    <w:div w:id="1586307691">
      <w:bodyDiv w:val="1"/>
      <w:marLeft w:val="0"/>
      <w:marRight w:val="0"/>
      <w:marTop w:val="0"/>
      <w:marBottom w:val="0"/>
      <w:divBdr>
        <w:top w:val="none" w:sz="0" w:space="0" w:color="auto"/>
        <w:left w:val="none" w:sz="0" w:space="0" w:color="auto"/>
        <w:bottom w:val="none" w:sz="0" w:space="0" w:color="auto"/>
        <w:right w:val="none" w:sz="0" w:space="0" w:color="auto"/>
      </w:divBdr>
      <w:divsChild>
        <w:div w:id="809136315">
          <w:marLeft w:val="0"/>
          <w:marRight w:val="0"/>
          <w:marTop w:val="0"/>
          <w:marBottom w:val="0"/>
          <w:divBdr>
            <w:top w:val="none" w:sz="0" w:space="0" w:color="auto"/>
            <w:left w:val="none" w:sz="0" w:space="0" w:color="auto"/>
            <w:bottom w:val="none" w:sz="0" w:space="0" w:color="auto"/>
            <w:right w:val="none" w:sz="0" w:space="0" w:color="auto"/>
          </w:divBdr>
        </w:div>
        <w:div w:id="1640844050">
          <w:marLeft w:val="0"/>
          <w:marRight w:val="0"/>
          <w:marTop w:val="0"/>
          <w:marBottom w:val="0"/>
          <w:divBdr>
            <w:top w:val="none" w:sz="0" w:space="0" w:color="auto"/>
            <w:left w:val="none" w:sz="0" w:space="0" w:color="auto"/>
            <w:bottom w:val="none" w:sz="0" w:space="0" w:color="auto"/>
            <w:right w:val="none" w:sz="0" w:space="0" w:color="auto"/>
          </w:divBdr>
        </w:div>
        <w:div w:id="255789443">
          <w:marLeft w:val="0"/>
          <w:marRight w:val="0"/>
          <w:marTop w:val="0"/>
          <w:marBottom w:val="0"/>
          <w:divBdr>
            <w:top w:val="none" w:sz="0" w:space="0" w:color="auto"/>
            <w:left w:val="none" w:sz="0" w:space="0" w:color="auto"/>
            <w:bottom w:val="none" w:sz="0" w:space="0" w:color="auto"/>
            <w:right w:val="none" w:sz="0" w:space="0" w:color="auto"/>
          </w:divBdr>
        </w:div>
      </w:divsChild>
    </w:div>
    <w:div w:id="1635524702">
      <w:bodyDiv w:val="1"/>
      <w:marLeft w:val="0"/>
      <w:marRight w:val="0"/>
      <w:marTop w:val="0"/>
      <w:marBottom w:val="0"/>
      <w:divBdr>
        <w:top w:val="none" w:sz="0" w:space="0" w:color="auto"/>
        <w:left w:val="none" w:sz="0" w:space="0" w:color="auto"/>
        <w:bottom w:val="none" w:sz="0" w:space="0" w:color="auto"/>
        <w:right w:val="none" w:sz="0" w:space="0" w:color="auto"/>
      </w:divBdr>
    </w:div>
    <w:div w:id="1654601447">
      <w:bodyDiv w:val="1"/>
      <w:marLeft w:val="0"/>
      <w:marRight w:val="0"/>
      <w:marTop w:val="0"/>
      <w:marBottom w:val="0"/>
      <w:divBdr>
        <w:top w:val="none" w:sz="0" w:space="0" w:color="auto"/>
        <w:left w:val="none" w:sz="0" w:space="0" w:color="auto"/>
        <w:bottom w:val="none" w:sz="0" w:space="0" w:color="auto"/>
        <w:right w:val="none" w:sz="0" w:space="0" w:color="auto"/>
      </w:divBdr>
    </w:div>
    <w:div w:id="1724015527">
      <w:bodyDiv w:val="1"/>
      <w:marLeft w:val="0"/>
      <w:marRight w:val="0"/>
      <w:marTop w:val="0"/>
      <w:marBottom w:val="0"/>
      <w:divBdr>
        <w:top w:val="none" w:sz="0" w:space="0" w:color="auto"/>
        <w:left w:val="none" w:sz="0" w:space="0" w:color="auto"/>
        <w:bottom w:val="none" w:sz="0" w:space="0" w:color="auto"/>
        <w:right w:val="none" w:sz="0" w:space="0" w:color="auto"/>
      </w:divBdr>
    </w:div>
    <w:div w:id="1750929100">
      <w:bodyDiv w:val="1"/>
      <w:marLeft w:val="0"/>
      <w:marRight w:val="0"/>
      <w:marTop w:val="0"/>
      <w:marBottom w:val="0"/>
      <w:divBdr>
        <w:top w:val="none" w:sz="0" w:space="0" w:color="auto"/>
        <w:left w:val="none" w:sz="0" w:space="0" w:color="auto"/>
        <w:bottom w:val="none" w:sz="0" w:space="0" w:color="auto"/>
        <w:right w:val="none" w:sz="0" w:space="0" w:color="auto"/>
      </w:divBdr>
    </w:div>
    <w:div w:id="1765147054">
      <w:bodyDiv w:val="1"/>
      <w:marLeft w:val="0"/>
      <w:marRight w:val="0"/>
      <w:marTop w:val="0"/>
      <w:marBottom w:val="0"/>
      <w:divBdr>
        <w:top w:val="none" w:sz="0" w:space="0" w:color="auto"/>
        <w:left w:val="none" w:sz="0" w:space="0" w:color="auto"/>
        <w:bottom w:val="none" w:sz="0" w:space="0" w:color="auto"/>
        <w:right w:val="none" w:sz="0" w:space="0" w:color="auto"/>
      </w:divBdr>
    </w:div>
    <w:div w:id="1789470462">
      <w:bodyDiv w:val="1"/>
      <w:marLeft w:val="0"/>
      <w:marRight w:val="0"/>
      <w:marTop w:val="0"/>
      <w:marBottom w:val="0"/>
      <w:divBdr>
        <w:top w:val="none" w:sz="0" w:space="0" w:color="auto"/>
        <w:left w:val="none" w:sz="0" w:space="0" w:color="auto"/>
        <w:bottom w:val="none" w:sz="0" w:space="0" w:color="auto"/>
        <w:right w:val="none" w:sz="0" w:space="0" w:color="auto"/>
      </w:divBdr>
    </w:div>
    <w:div w:id="1799564288">
      <w:bodyDiv w:val="1"/>
      <w:marLeft w:val="0"/>
      <w:marRight w:val="0"/>
      <w:marTop w:val="0"/>
      <w:marBottom w:val="0"/>
      <w:divBdr>
        <w:top w:val="none" w:sz="0" w:space="0" w:color="auto"/>
        <w:left w:val="none" w:sz="0" w:space="0" w:color="auto"/>
        <w:bottom w:val="none" w:sz="0" w:space="0" w:color="auto"/>
        <w:right w:val="none" w:sz="0" w:space="0" w:color="auto"/>
      </w:divBdr>
    </w:div>
    <w:div w:id="1857503083">
      <w:bodyDiv w:val="1"/>
      <w:marLeft w:val="0"/>
      <w:marRight w:val="0"/>
      <w:marTop w:val="0"/>
      <w:marBottom w:val="0"/>
      <w:divBdr>
        <w:top w:val="none" w:sz="0" w:space="0" w:color="auto"/>
        <w:left w:val="none" w:sz="0" w:space="0" w:color="auto"/>
        <w:bottom w:val="none" w:sz="0" w:space="0" w:color="auto"/>
        <w:right w:val="none" w:sz="0" w:space="0" w:color="auto"/>
      </w:divBdr>
    </w:div>
    <w:div w:id="2005012066">
      <w:bodyDiv w:val="1"/>
      <w:marLeft w:val="0"/>
      <w:marRight w:val="0"/>
      <w:marTop w:val="0"/>
      <w:marBottom w:val="0"/>
      <w:divBdr>
        <w:top w:val="none" w:sz="0" w:space="0" w:color="auto"/>
        <w:left w:val="none" w:sz="0" w:space="0" w:color="auto"/>
        <w:bottom w:val="none" w:sz="0" w:space="0" w:color="auto"/>
        <w:right w:val="none" w:sz="0" w:space="0" w:color="auto"/>
      </w:divBdr>
      <w:divsChild>
        <w:div w:id="214007644">
          <w:marLeft w:val="0"/>
          <w:marRight w:val="0"/>
          <w:marTop w:val="0"/>
          <w:marBottom w:val="0"/>
          <w:divBdr>
            <w:top w:val="none" w:sz="0" w:space="0" w:color="auto"/>
            <w:left w:val="none" w:sz="0" w:space="0" w:color="auto"/>
            <w:bottom w:val="none" w:sz="0" w:space="0" w:color="auto"/>
            <w:right w:val="none" w:sz="0" w:space="0" w:color="auto"/>
          </w:divBdr>
        </w:div>
        <w:div w:id="199056397">
          <w:marLeft w:val="0"/>
          <w:marRight w:val="0"/>
          <w:marTop w:val="0"/>
          <w:marBottom w:val="0"/>
          <w:divBdr>
            <w:top w:val="none" w:sz="0" w:space="0" w:color="auto"/>
            <w:left w:val="none" w:sz="0" w:space="0" w:color="auto"/>
            <w:bottom w:val="none" w:sz="0" w:space="0" w:color="auto"/>
            <w:right w:val="none" w:sz="0" w:space="0" w:color="auto"/>
          </w:divBdr>
        </w:div>
        <w:div w:id="128672129">
          <w:marLeft w:val="0"/>
          <w:marRight w:val="0"/>
          <w:marTop w:val="0"/>
          <w:marBottom w:val="0"/>
          <w:divBdr>
            <w:top w:val="none" w:sz="0" w:space="0" w:color="auto"/>
            <w:left w:val="none" w:sz="0" w:space="0" w:color="auto"/>
            <w:bottom w:val="none" w:sz="0" w:space="0" w:color="auto"/>
            <w:right w:val="none" w:sz="0" w:space="0" w:color="auto"/>
          </w:divBdr>
        </w:div>
        <w:div w:id="845439260">
          <w:marLeft w:val="0"/>
          <w:marRight w:val="0"/>
          <w:marTop w:val="0"/>
          <w:marBottom w:val="0"/>
          <w:divBdr>
            <w:top w:val="none" w:sz="0" w:space="0" w:color="auto"/>
            <w:left w:val="none" w:sz="0" w:space="0" w:color="auto"/>
            <w:bottom w:val="none" w:sz="0" w:space="0" w:color="auto"/>
            <w:right w:val="none" w:sz="0" w:space="0" w:color="auto"/>
          </w:divBdr>
        </w:div>
        <w:div w:id="309754264">
          <w:marLeft w:val="0"/>
          <w:marRight w:val="0"/>
          <w:marTop w:val="0"/>
          <w:marBottom w:val="0"/>
          <w:divBdr>
            <w:top w:val="none" w:sz="0" w:space="0" w:color="auto"/>
            <w:left w:val="none" w:sz="0" w:space="0" w:color="auto"/>
            <w:bottom w:val="none" w:sz="0" w:space="0" w:color="auto"/>
            <w:right w:val="none" w:sz="0" w:space="0" w:color="auto"/>
          </w:divBdr>
        </w:div>
        <w:div w:id="1733504130">
          <w:marLeft w:val="0"/>
          <w:marRight w:val="0"/>
          <w:marTop w:val="0"/>
          <w:marBottom w:val="0"/>
          <w:divBdr>
            <w:top w:val="none" w:sz="0" w:space="0" w:color="auto"/>
            <w:left w:val="none" w:sz="0" w:space="0" w:color="auto"/>
            <w:bottom w:val="none" w:sz="0" w:space="0" w:color="auto"/>
            <w:right w:val="none" w:sz="0" w:space="0" w:color="auto"/>
          </w:divBdr>
        </w:div>
        <w:div w:id="116072584">
          <w:marLeft w:val="0"/>
          <w:marRight w:val="0"/>
          <w:marTop w:val="0"/>
          <w:marBottom w:val="0"/>
          <w:divBdr>
            <w:top w:val="none" w:sz="0" w:space="0" w:color="auto"/>
            <w:left w:val="none" w:sz="0" w:space="0" w:color="auto"/>
            <w:bottom w:val="none" w:sz="0" w:space="0" w:color="auto"/>
            <w:right w:val="none" w:sz="0" w:space="0" w:color="auto"/>
          </w:divBdr>
        </w:div>
        <w:div w:id="147678311">
          <w:marLeft w:val="0"/>
          <w:marRight w:val="0"/>
          <w:marTop w:val="0"/>
          <w:marBottom w:val="0"/>
          <w:divBdr>
            <w:top w:val="none" w:sz="0" w:space="0" w:color="auto"/>
            <w:left w:val="none" w:sz="0" w:space="0" w:color="auto"/>
            <w:bottom w:val="none" w:sz="0" w:space="0" w:color="auto"/>
            <w:right w:val="none" w:sz="0" w:space="0" w:color="auto"/>
          </w:divBdr>
        </w:div>
        <w:div w:id="1492912430">
          <w:marLeft w:val="0"/>
          <w:marRight w:val="0"/>
          <w:marTop w:val="0"/>
          <w:marBottom w:val="0"/>
          <w:divBdr>
            <w:top w:val="none" w:sz="0" w:space="0" w:color="auto"/>
            <w:left w:val="none" w:sz="0" w:space="0" w:color="auto"/>
            <w:bottom w:val="none" w:sz="0" w:space="0" w:color="auto"/>
            <w:right w:val="none" w:sz="0" w:space="0" w:color="auto"/>
          </w:divBdr>
        </w:div>
        <w:div w:id="677120096">
          <w:marLeft w:val="0"/>
          <w:marRight w:val="0"/>
          <w:marTop w:val="0"/>
          <w:marBottom w:val="0"/>
          <w:divBdr>
            <w:top w:val="none" w:sz="0" w:space="0" w:color="auto"/>
            <w:left w:val="none" w:sz="0" w:space="0" w:color="auto"/>
            <w:bottom w:val="none" w:sz="0" w:space="0" w:color="auto"/>
            <w:right w:val="none" w:sz="0" w:space="0" w:color="auto"/>
          </w:divBdr>
        </w:div>
        <w:div w:id="1352491893">
          <w:marLeft w:val="0"/>
          <w:marRight w:val="0"/>
          <w:marTop w:val="0"/>
          <w:marBottom w:val="0"/>
          <w:divBdr>
            <w:top w:val="none" w:sz="0" w:space="0" w:color="auto"/>
            <w:left w:val="none" w:sz="0" w:space="0" w:color="auto"/>
            <w:bottom w:val="none" w:sz="0" w:space="0" w:color="auto"/>
            <w:right w:val="none" w:sz="0" w:space="0" w:color="auto"/>
          </w:divBdr>
        </w:div>
        <w:div w:id="797531811">
          <w:marLeft w:val="0"/>
          <w:marRight w:val="0"/>
          <w:marTop w:val="0"/>
          <w:marBottom w:val="0"/>
          <w:divBdr>
            <w:top w:val="none" w:sz="0" w:space="0" w:color="auto"/>
            <w:left w:val="none" w:sz="0" w:space="0" w:color="auto"/>
            <w:bottom w:val="none" w:sz="0" w:space="0" w:color="auto"/>
            <w:right w:val="none" w:sz="0" w:space="0" w:color="auto"/>
          </w:divBdr>
        </w:div>
        <w:div w:id="988945363">
          <w:marLeft w:val="0"/>
          <w:marRight w:val="0"/>
          <w:marTop w:val="0"/>
          <w:marBottom w:val="0"/>
          <w:divBdr>
            <w:top w:val="none" w:sz="0" w:space="0" w:color="auto"/>
            <w:left w:val="none" w:sz="0" w:space="0" w:color="auto"/>
            <w:bottom w:val="none" w:sz="0" w:space="0" w:color="auto"/>
            <w:right w:val="none" w:sz="0" w:space="0" w:color="auto"/>
          </w:divBdr>
        </w:div>
        <w:div w:id="2118939415">
          <w:marLeft w:val="0"/>
          <w:marRight w:val="0"/>
          <w:marTop w:val="0"/>
          <w:marBottom w:val="0"/>
          <w:divBdr>
            <w:top w:val="none" w:sz="0" w:space="0" w:color="auto"/>
            <w:left w:val="none" w:sz="0" w:space="0" w:color="auto"/>
            <w:bottom w:val="none" w:sz="0" w:space="0" w:color="auto"/>
            <w:right w:val="none" w:sz="0" w:space="0" w:color="auto"/>
          </w:divBdr>
        </w:div>
        <w:div w:id="1384210682">
          <w:marLeft w:val="0"/>
          <w:marRight w:val="0"/>
          <w:marTop w:val="0"/>
          <w:marBottom w:val="0"/>
          <w:divBdr>
            <w:top w:val="none" w:sz="0" w:space="0" w:color="auto"/>
            <w:left w:val="none" w:sz="0" w:space="0" w:color="auto"/>
            <w:bottom w:val="none" w:sz="0" w:space="0" w:color="auto"/>
            <w:right w:val="none" w:sz="0" w:space="0" w:color="auto"/>
          </w:divBdr>
        </w:div>
        <w:div w:id="30304223">
          <w:marLeft w:val="0"/>
          <w:marRight w:val="0"/>
          <w:marTop w:val="0"/>
          <w:marBottom w:val="0"/>
          <w:divBdr>
            <w:top w:val="none" w:sz="0" w:space="0" w:color="auto"/>
            <w:left w:val="none" w:sz="0" w:space="0" w:color="auto"/>
            <w:bottom w:val="none" w:sz="0" w:space="0" w:color="auto"/>
            <w:right w:val="none" w:sz="0" w:space="0" w:color="auto"/>
          </w:divBdr>
        </w:div>
        <w:div w:id="160505810">
          <w:marLeft w:val="0"/>
          <w:marRight w:val="0"/>
          <w:marTop w:val="0"/>
          <w:marBottom w:val="0"/>
          <w:divBdr>
            <w:top w:val="none" w:sz="0" w:space="0" w:color="auto"/>
            <w:left w:val="none" w:sz="0" w:space="0" w:color="auto"/>
            <w:bottom w:val="none" w:sz="0" w:space="0" w:color="auto"/>
            <w:right w:val="none" w:sz="0" w:space="0" w:color="auto"/>
          </w:divBdr>
        </w:div>
        <w:div w:id="1564292960">
          <w:marLeft w:val="0"/>
          <w:marRight w:val="0"/>
          <w:marTop w:val="0"/>
          <w:marBottom w:val="0"/>
          <w:divBdr>
            <w:top w:val="none" w:sz="0" w:space="0" w:color="auto"/>
            <w:left w:val="none" w:sz="0" w:space="0" w:color="auto"/>
            <w:bottom w:val="none" w:sz="0" w:space="0" w:color="auto"/>
            <w:right w:val="none" w:sz="0" w:space="0" w:color="auto"/>
          </w:divBdr>
        </w:div>
        <w:div w:id="2114469323">
          <w:marLeft w:val="0"/>
          <w:marRight w:val="0"/>
          <w:marTop w:val="0"/>
          <w:marBottom w:val="0"/>
          <w:divBdr>
            <w:top w:val="none" w:sz="0" w:space="0" w:color="auto"/>
            <w:left w:val="none" w:sz="0" w:space="0" w:color="auto"/>
            <w:bottom w:val="none" w:sz="0" w:space="0" w:color="auto"/>
            <w:right w:val="none" w:sz="0" w:space="0" w:color="auto"/>
          </w:divBdr>
        </w:div>
        <w:div w:id="1030180596">
          <w:marLeft w:val="0"/>
          <w:marRight w:val="0"/>
          <w:marTop w:val="0"/>
          <w:marBottom w:val="0"/>
          <w:divBdr>
            <w:top w:val="none" w:sz="0" w:space="0" w:color="auto"/>
            <w:left w:val="none" w:sz="0" w:space="0" w:color="auto"/>
            <w:bottom w:val="none" w:sz="0" w:space="0" w:color="auto"/>
            <w:right w:val="none" w:sz="0" w:space="0" w:color="auto"/>
          </w:divBdr>
        </w:div>
      </w:divsChild>
    </w:div>
    <w:div w:id="2033021783">
      <w:bodyDiv w:val="1"/>
      <w:marLeft w:val="0"/>
      <w:marRight w:val="0"/>
      <w:marTop w:val="0"/>
      <w:marBottom w:val="0"/>
      <w:divBdr>
        <w:top w:val="none" w:sz="0" w:space="0" w:color="auto"/>
        <w:left w:val="none" w:sz="0" w:space="0" w:color="auto"/>
        <w:bottom w:val="none" w:sz="0" w:space="0" w:color="auto"/>
        <w:right w:val="none" w:sz="0" w:space="0" w:color="auto"/>
      </w:divBdr>
    </w:div>
    <w:div w:id="2050492031">
      <w:bodyDiv w:val="1"/>
      <w:marLeft w:val="0"/>
      <w:marRight w:val="0"/>
      <w:marTop w:val="0"/>
      <w:marBottom w:val="0"/>
      <w:divBdr>
        <w:top w:val="none" w:sz="0" w:space="0" w:color="auto"/>
        <w:left w:val="none" w:sz="0" w:space="0" w:color="auto"/>
        <w:bottom w:val="none" w:sz="0" w:space="0" w:color="auto"/>
        <w:right w:val="none" w:sz="0" w:space="0" w:color="auto"/>
      </w:divBdr>
    </w:div>
    <w:div w:id="2052414278">
      <w:bodyDiv w:val="1"/>
      <w:marLeft w:val="0"/>
      <w:marRight w:val="0"/>
      <w:marTop w:val="0"/>
      <w:marBottom w:val="0"/>
      <w:divBdr>
        <w:top w:val="none" w:sz="0" w:space="0" w:color="auto"/>
        <w:left w:val="none" w:sz="0" w:space="0" w:color="auto"/>
        <w:bottom w:val="none" w:sz="0" w:space="0" w:color="auto"/>
        <w:right w:val="none" w:sz="0" w:space="0" w:color="auto"/>
      </w:divBdr>
    </w:div>
    <w:div w:id="2076278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1B86E6-2F15-44AE-8FF0-5881B3DE93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7335</Words>
  <Characters>41815</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vimi keenoo</cp:lastModifiedBy>
  <cp:revision>7</cp:revision>
  <dcterms:created xsi:type="dcterms:W3CDTF">2024-03-25T10:23:00Z</dcterms:created>
  <dcterms:modified xsi:type="dcterms:W3CDTF">2024-03-25T10:27:00Z</dcterms:modified>
</cp:coreProperties>
</file>