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8DE5D1" w14:textId="2A2C8EBB" w:rsidR="00A57A79" w:rsidRPr="00A57A79" w:rsidRDefault="00A57A79" w:rsidP="00A57A79">
      <w:pPr>
        <w:rPr>
          <w:i/>
          <w:iCs/>
        </w:rPr>
      </w:pPr>
      <w:r w:rsidRPr="00A57A79">
        <w:rPr>
          <w:b/>
          <w:bCs/>
          <w:i/>
          <w:iCs/>
        </w:rPr>
        <w:t>Section 1: Introduction and Security Frameworks Research</w:t>
      </w:r>
    </w:p>
    <w:p w14:paraId="62B65E30" w14:textId="77777777" w:rsidR="00A57A79" w:rsidRPr="00A57A79" w:rsidRDefault="00A57A79" w:rsidP="00A57A79">
      <w:r w:rsidRPr="00A57A79">
        <w:t>AeroLink Logistics (ALL) operates a modern, hyper-connected supply chain, yet its expansive digital footprint—driven by 88% third-party cloud dependence, IoT tracking, and unmanaged remote access—has severely outpaced its governance capabilities. To secure this fragmented perimeter and remediate ongoing data breaches, ALL must transition from a reactive posture to a structured, resilient security framework [1].</w:t>
      </w:r>
    </w:p>
    <w:p w14:paraId="09483A6C" w14:textId="021915EB" w:rsidR="00A57A79" w:rsidRPr="00A57A79" w:rsidRDefault="00A57A79" w:rsidP="00A57A79">
      <w:r w:rsidRPr="00A57A79">
        <w:t xml:space="preserve">In cybersecurity, frameworks act as the foundational discipline or </w:t>
      </w:r>
      <w:r w:rsidRPr="00A57A79">
        <w:rPr>
          <w:i/>
          <w:iCs/>
        </w:rPr>
        <w:t>kata</w:t>
      </w:r>
      <w:r w:rsidRPr="00A57A79">
        <w:t xml:space="preserve"> (form)—systematic patterns that </w:t>
      </w:r>
      <w:r w:rsidRPr="00A57A79">
        <w:t>instil</w:t>
      </w:r>
      <w:r w:rsidRPr="00A57A79">
        <w:t xml:space="preserve"> order, balance, and instinct. Just as martial arts philosophy emphasi</w:t>
      </w:r>
      <w:r>
        <w:t>se</w:t>
      </w:r>
      <w:r w:rsidRPr="00A57A79">
        <w:t>s that true defense requires a unified alignment of mind, body, and spirit, an organi</w:t>
      </w:r>
      <w:r>
        <w:t>s</w:t>
      </w:r>
      <w:r w:rsidRPr="00A57A79">
        <w:t>ation requires the total strategic alignment of people, processes, and technology.</w:t>
      </w:r>
    </w:p>
    <w:p w14:paraId="32F5F2B0" w14:textId="77777777" w:rsidR="00A57A79" w:rsidRPr="00A57A79" w:rsidRDefault="00A57A79" w:rsidP="00A57A79">
      <w:r w:rsidRPr="00A57A79">
        <w:t>To address ALL's severe structural vulnerabilities, four prominent industry frameworks offer complementary strategic vectors:</w:t>
      </w:r>
    </w:p>
    <w:p w14:paraId="206C1F48" w14:textId="6C0E2651" w:rsidR="00A57A79" w:rsidRPr="00A57A79" w:rsidRDefault="00A57A79" w:rsidP="00A57A79">
      <w:pPr>
        <w:numPr>
          <w:ilvl w:val="0"/>
          <w:numId w:val="1"/>
        </w:numPr>
      </w:pPr>
      <w:r w:rsidRPr="00A57A79">
        <w:rPr>
          <w:b/>
          <w:bCs/>
          <w:i/>
          <w:iCs/>
        </w:rPr>
        <w:t>NIST Cybersecurity Framework (CSF):</w:t>
      </w:r>
      <w:r w:rsidRPr="00A57A79">
        <w:t xml:space="preserve"> </w:t>
      </w:r>
      <w:r w:rsidRPr="00A57A79">
        <w:t>Centred</w:t>
      </w:r>
      <w:r w:rsidRPr="00A57A79">
        <w:t xml:space="preserve"> on core functions including Identify, Protect, Detect, Respond, and Recover, NIST provides the adaptive, fluid defense reminiscent of </w:t>
      </w:r>
      <w:r w:rsidRPr="00A57A79">
        <w:rPr>
          <w:i/>
          <w:iCs/>
        </w:rPr>
        <w:t>Tai Chi</w:t>
      </w:r>
      <w:r w:rsidRPr="00A57A79">
        <w:t xml:space="preserve"> [1]. It focuses on continuous monitoring and rapid recovery, directly addressing ALL's lack of incident response and lack of visibility over unmanaged remote devices.</w:t>
      </w:r>
    </w:p>
    <w:p w14:paraId="6EF8E2B9" w14:textId="4F103CED" w:rsidR="00A57A79" w:rsidRPr="00A57A79" w:rsidRDefault="00A57A79" w:rsidP="00A57A79">
      <w:pPr>
        <w:numPr>
          <w:ilvl w:val="0"/>
          <w:numId w:val="1"/>
        </w:numPr>
      </w:pPr>
      <w:r w:rsidRPr="00A57A79">
        <w:rPr>
          <w:b/>
          <w:bCs/>
          <w:i/>
          <w:iCs/>
        </w:rPr>
        <w:t>ISO/IEC 27001:</w:t>
      </w:r>
      <w:r w:rsidRPr="00A57A79">
        <w:t xml:space="preserve"> This framework acts as the absolute </w:t>
      </w:r>
      <w:r w:rsidRPr="00A57A79">
        <w:rPr>
          <w:i/>
          <w:iCs/>
        </w:rPr>
        <w:t>Bushido</w:t>
      </w:r>
      <w:r w:rsidRPr="00A57A79">
        <w:t xml:space="preserve"> (way of the warrior) code for data security. It enforces a rigorous Information Security Management System (ISMS) that mandates formali</w:t>
      </w:r>
      <w:r>
        <w:t>s</w:t>
      </w:r>
      <w:r w:rsidRPr="00A57A79">
        <w:t>ed risk assessments, explicit vendor accountability, and strict compliance controls, effectively correcting ALL's immature GDPR posture [2].</w:t>
      </w:r>
    </w:p>
    <w:p w14:paraId="5D1EBDAE" w14:textId="77777777" w:rsidR="00A57A79" w:rsidRPr="00A57A79" w:rsidRDefault="00A57A79" w:rsidP="00A57A79">
      <w:pPr>
        <w:numPr>
          <w:ilvl w:val="0"/>
          <w:numId w:val="1"/>
        </w:numPr>
      </w:pPr>
      <w:r w:rsidRPr="00A57A79">
        <w:rPr>
          <w:b/>
          <w:bCs/>
          <w:i/>
          <w:iCs/>
        </w:rPr>
        <w:t>COBIT 2019:</w:t>
      </w:r>
      <w:r w:rsidRPr="00A57A79">
        <w:t xml:space="preserve"> Providing the overarching governance and strategic alignment, COBIT acts as the </w:t>
      </w:r>
      <w:r w:rsidRPr="00A57A79">
        <w:rPr>
          <w:i/>
          <w:iCs/>
        </w:rPr>
        <w:t>grandmaster</w:t>
      </w:r>
      <w:r w:rsidRPr="00A57A79">
        <w:t xml:space="preserve"> overlooking the battlefield. It ensures that technical security controls are directly mapped to corporate design factors and business goals, bridging ALL's departmental silos and establishing clear matrices for security responsibilities [3].</w:t>
      </w:r>
    </w:p>
    <w:p w14:paraId="7F5F9A64" w14:textId="77777777" w:rsidR="00A57A79" w:rsidRPr="00A57A79" w:rsidRDefault="00A57A79" w:rsidP="00A57A79">
      <w:pPr>
        <w:numPr>
          <w:ilvl w:val="0"/>
          <w:numId w:val="1"/>
        </w:numPr>
      </w:pPr>
      <w:r w:rsidRPr="00A57A79">
        <w:rPr>
          <w:b/>
          <w:bCs/>
          <w:i/>
          <w:iCs/>
        </w:rPr>
        <w:t>ITIL:</w:t>
      </w:r>
      <w:r w:rsidRPr="00A57A79">
        <w:rPr>
          <w:i/>
          <w:iCs/>
        </w:rPr>
        <w:t xml:space="preserve"> </w:t>
      </w:r>
      <w:r w:rsidRPr="00A57A79">
        <w:t>Focused on service management, ITIL provides the structured stances and footwork (</w:t>
      </w:r>
      <w:r w:rsidRPr="00A57A79">
        <w:rPr>
          <w:i/>
          <w:iCs/>
        </w:rPr>
        <w:t>kihon</w:t>
      </w:r>
      <w:r w:rsidRPr="00A57A79">
        <w:t>) ensuring that operational changes, asset management, and third-party SaaS/IaaS integrations do not introduce unexpected structural vulnerabilities into the logistics architecture.</w:t>
      </w:r>
    </w:p>
    <w:p w14:paraId="11B2FAE6" w14:textId="7D56B0F6" w:rsidR="00A57A79" w:rsidRPr="00A57A79" w:rsidRDefault="00A57A79" w:rsidP="00A57A79">
      <w:r w:rsidRPr="00A57A79">
        <w:t>By blending the governance of COBIT, the compliance of ISO 27001, and the operational fluidity of NIST, ALL can cultivate a holistic, resilient defense capable of absorbing and neutrali</w:t>
      </w:r>
      <w:r>
        <w:t>s</w:t>
      </w:r>
      <w:r w:rsidRPr="00A57A79">
        <w:t>ing modern digital threats [1], [3].</w:t>
      </w:r>
    </w:p>
    <w:p w14:paraId="2C0C939D" w14:textId="164F891C" w:rsidR="00A57A79" w:rsidRDefault="00A57A79" w:rsidP="00A57A79">
      <w:pPr>
        <w:rPr>
          <w:i/>
          <w:iCs/>
        </w:rPr>
      </w:pPr>
    </w:p>
    <w:p w14:paraId="7CCA2793" w14:textId="77777777" w:rsidR="00FE2388" w:rsidRDefault="00FE2388" w:rsidP="00A57A79">
      <w:pPr>
        <w:rPr>
          <w:i/>
          <w:iCs/>
        </w:rPr>
      </w:pPr>
    </w:p>
    <w:p w14:paraId="5986A6A1" w14:textId="77777777" w:rsidR="00FE2388" w:rsidRPr="00FE2388" w:rsidRDefault="00FE2388" w:rsidP="00FE2388">
      <w:pPr>
        <w:rPr>
          <w:b/>
          <w:bCs/>
          <w:i/>
          <w:iCs/>
        </w:rPr>
      </w:pPr>
      <w:r w:rsidRPr="00FE2388">
        <w:rPr>
          <w:b/>
          <w:bCs/>
          <w:i/>
          <w:iCs/>
        </w:rPr>
        <w:t>Section 2: Framework Synthesis and Architectural Security Gaps</w:t>
      </w:r>
    </w:p>
    <w:p w14:paraId="1DB34961" w14:textId="456FDEFA" w:rsidR="00FE2388" w:rsidRPr="00FE2388" w:rsidRDefault="00FE2388" w:rsidP="00FE2388">
      <w:pPr>
        <w:rPr>
          <w:i/>
          <w:iCs/>
        </w:rPr>
      </w:pPr>
      <w:r w:rsidRPr="00FE2388">
        <w:rPr>
          <w:i/>
          <w:iCs/>
        </w:rPr>
        <w:t>To effectively defend its borders, AeroLink Logistics (ALL) must move beyond selecting isolated frameworks and instead synthesi</w:t>
      </w:r>
      <w:r w:rsidR="00C7483C">
        <w:rPr>
          <w:i/>
          <w:iCs/>
        </w:rPr>
        <w:t>s</w:t>
      </w:r>
      <w:r w:rsidRPr="00FE2388">
        <w:rPr>
          <w:i/>
          <w:iCs/>
        </w:rPr>
        <w:t>e them into an integrated security architecture. Relying on an unstructured perimeter is akin to entering a martial arts bout without a baseline guard stance (kamae). In cybersecurity, this baseline is established by mapping operational weaknesses against a formalized matrix of controls [4].</w:t>
      </w:r>
    </w:p>
    <w:p w14:paraId="0212CE62" w14:textId="77777777" w:rsidR="00FE2388" w:rsidRPr="00FE2388" w:rsidRDefault="00FE2388" w:rsidP="00FE2388">
      <w:pPr>
        <w:rPr>
          <w:b/>
          <w:bCs/>
          <w:i/>
          <w:iCs/>
        </w:rPr>
      </w:pPr>
      <w:r w:rsidRPr="00FE2388">
        <w:rPr>
          <w:b/>
          <w:bCs/>
          <w:i/>
          <w:iCs/>
        </w:rPr>
        <w:t>Conceptual Architecture Integration</w:t>
      </w:r>
    </w:p>
    <w:p w14:paraId="2684254C" w14:textId="77777777" w:rsidR="00FE2388" w:rsidRPr="00FE2388" w:rsidRDefault="00FE2388" w:rsidP="00FE2388">
      <w:pPr>
        <w:rPr>
          <w:i/>
          <w:iCs/>
        </w:rPr>
      </w:pPr>
      <w:r w:rsidRPr="00FE2388">
        <w:rPr>
          <w:i/>
          <w:iCs/>
        </w:rPr>
        <w:t>An optimal architectural strategy blends the strategic oversight of COBIT 2019, the regulatory rigor of ISO/IEC 27001, and the tactical agility of the NIST Cybersecurity Framework (CSF) [5]. Within this unified ecosystem, COBIT 2019 serves as the governance blueprint, defining "why" security alignment matters to the business and establishing accountability across disjointed departments. ISO 27001 supplies the definitive compliance structure ("what" must be protected), instituting an Information Security Management System (ISMS) to satisfy strict GDPR requirements [2]. Meanwhile, the NIST CSF provides the continuous operational lifecycle ("how" to execute), guiding the real-time detection and mitigation of active threats [1].</w:t>
      </w:r>
    </w:p>
    <w:p w14:paraId="3697A815" w14:textId="77777777" w:rsidR="00FE2388" w:rsidRPr="00FE2388" w:rsidRDefault="00FE2388" w:rsidP="00FE2388">
      <w:pPr>
        <w:rPr>
          <w:i/>
          <w:iCs/>
        </w:rPr>
      </w:pPr>
      <w:r w:rsidRPr="00FE2388">
        <w:rPr>
          <w:i/>
          <w:iCs/>
        </w:rPr>
        <w:t>+-------------------------------------------------------------+</w:t>
      </w:r>
    </w:p>
    <w:p w14:paraId="73180571" w14:textId="77777777" w:rsidR="00FE2388" w:rsidRPr="00FE2388" w:rsidRDefault="00FE2388" w:rsidP="00FE2388">
      <w:pPr>
        <w:rPr>
          <w:i/>
          <w:iCs/>
        </w:rPr>
      </w:pPr>
      <w:r w:rsidRPr="00FE2388">
        <w:rPr>
          <w:i/>
          <w:iCs/>
        </w:rPr>
        <w:t>|                         COBIT 2019                          |</w:t>
      </w:r>
    </w:p>
    <w:p w14:paraId="7B95BBC1" w14:textId="77777777" w:rsidR="00FE2388" w:rsidRPr="00FE2388" w:rsidRDefault="00FE2388" w:rsidP="00FE2388">
      <w:pPr>
        <w:rPr>
          <w:i/>
          <w:iCs/>
        </w:rPr>
      </w:pPr>
      <w:r w:rsidRPr="00FE2388">
        <w:rPr>
          <w:i/>
          <w:iCs/>
        </w:rPr>
        <w:t>|         (Strategic Governance &amp; Departmental Alignment)     |</w:t>
      </w:r>
    </w:p>
    <w:p w14:paraId="3A50D71F" w14:textId="77777777" w:rsidR="00FE2388" w:rsidRPr="00FE2388" w:rsidRDefault="00FE2388" w:rsidP="00FE2388">
      <w:pPr>
        <w:rPr>
          <w:i/>
          <w:iCs/>
        </w:rPr>
      </w:pPr>
      <w:r w:rsidRPr="00FE2388">
        <w:rPr>
          <w:i/>
          <w:iCs/>
        </w:rPr>
        <w:t>+-------------------------------------------------------------+</w:t>
      </w:r>
    </w:p>
    <w:p w14:paraId="4A598B6A" w14:textId="77777777" w:rsidR="00FE2388" w:rsidRPr="00FE2388" w:rsidRDefault="00FE2388" w:rsidP="00FE2388">
      <w:pPr>
        <w:rPr>
          <w:i/>
          <w:iCs/>
        </w:rPr>
      </w:pPr>
      <w:r w:rsidRPr="00FE2388">
        <w:rPr>
          <w:i/>
          <w:iCs/>
        </w:rPr>
        <w:t xml:space="preserve">                              |</w:t>
      </w:r>
    </w:p>
    <w:p w14:paraId="68464276" w14:textId="77777777" w:rsidR="00FE2388" w:rsidRPr="00FE2388" w:rsidRDefault="00FE2388" w:rsidP="00FE2388">
      <w:pPr>
        <w:rPr>
          <w:i/>
          <w:iCs/>
        </w:rPr>
      </w:pPr>
      <w:r w:rsidRPr="00FE2388">
        <w:rPr>
          <w:i/>
          <w:iCs/>
        </w:rPr>
        <w:t xml:space="preserve">                              v</w:t>
      </w:r>
    </w:p>
    <w:p w14:paraId="6A70AAB7" w14:textId="77777777" w:rsidR="00FE2388" w:rsidRPr="00FE2388" w:rsidRDefault="00FE2388" w:rsidP="00FE2388">
      <w:pPr>
        <w:rPr>
          <w:i/>
          <w:iCs/>
        </w:rPr>
      </w:pPr>
      <w:r w:rsidRPr="00FE2388">
        <w:rPr>
          <w:i/>
          <w:iCs/>
        </w:rPr>
        <w:t>+-------------------------------------------------------------+</w:t>
      </w:r>
    </w:p>
    <w:p w14:paraId="7F52265D" w14:textId="77777777" w:rsidR="00FE2388" w:rsidRPr="00FE2388" w:rsidRDefault="00FE2388" w:rsidP="00FE2388">
      <w:pPr>
        <w:rPr>
          <w:i/>
          <w:iCs/>
        </w:rPr>
      </w:pPr>
      <w:r w:rsidRPr="00FE2388">
        <w:rPr>
          <w:i/>
          <w:iCs/>
        </w:rPr>
        <w:t>|                       ISO/IEC 27001                         |</w:t>
      </w:r>
    </w:p>
    <w:p w14:paraId="0D96AF9B" w14:textId="77777777" w:rsidR="00FE2388" w:rsidRPr="00FE2388" w:rsidRDefault="00FE2388" w:rsidP="00FE2388">
      <w:pPr>
        <w:rPr>
          <w:i/>
          <w:iCs/>
        </w:rPr>
      </w:pPr>
      <w:r w:rsidRPr="00FE2388">
        <w:rPr>
          <w:i/>
          <w:iCs/>
        </w:rPr>
        <w:t>|         (Compliance Framework &amp; ISMS Risk Management)       |</w:t>
      </w:r>
    </w:p>
    <w:p w14:paraId="68DB7D7C" w14:textId="77777777" w:rsidR="00FE2388" w:rsidRPr="00FE2388" w:rsidRDefault="00FE2388" w:rsidP="00FE2388">
      <w:pPr>
        <w:rPr>
          <w:i/>
          <w:iCs/>
        </w:rPr>
      </w:pPr>
      <w:r w:rsidRPr="00FE2388">
        <w:rPr>
          <w:i/>
          <w:iCs/>
        </w:rPr>
        <w:t>+-------------------------------------------------------------+</w:t>
      </w:r>
    </w:p>
    <w:p w14:paraId="4769F662" w14:textId="77777777" w:rsidR="00FE2388" w:rsidRPr="00FE2388" w:rsidRDefault="00FE2388" w:rsidP="00FE2388">
      <w:pPr>
        <w:rPr>
          <w:i/>
          <w:iCs/>
        </w:rPr>
      </w:pPr>
      <w:r w:rsidRPr="00FE2388">
        <w:rPr>
          <w:i/>
          <w:iCs/>
        </w:rPr>
        <w:t xml:space="preserve">                              |</w:t>
      </w:r>
    </w:p>
    <w:p w14:paraId="471DDC80" w14:textId="77777777" w:rsidR="00FE2388" w:rsidRPr="00FE2388" w:rsidRDefault="00FE2388" w:rsidP="00FE2388">
      <w:pPr>
        <w:rPr>
          <w:i/>
          <w:iCs/>
        </w:rPr>
      </w:pPr>
      <w:r w:rsidRPr="00FE2388">
        <w:rPr>
          <w:i/>
          <w:iCs/>
        </w:rPr>
        <w:t xml:space="preserve">                              v</w:t>
      </w:r>
    </w:p>
    <w:p w14:paraId="5FA0FE9A" w14:textId="77777777" w:rsidR="00FE2388" w:rsidRPr="00FE2388" w:rsidRDefault="00FE2388" w:rsidP="00FE2388">
      <w:pPr>
        <w:rPr>
          <w:i/>
          <w:iCs/>
        </w:rPr>
      </w:pPr>
      <w:r w:rsidRPr="00FE2388">
        <w:rPr>
          <w:i/>
          <w:iCs/>
        </w:rPr>
        <w:t>+-------------------------------------------------------------+</w:t>
      </w:r>
    </w:p>
    <w:p w14:paraId="3E544D8F" w14:textId="77777777" w:rsidR="00FE2388" w:rsidRPr="00FE2388" w:rsidRDefault="00FE2388" w:rsidP="00FE2388">
      <w:pPr>
        <w:rPr>
          <w:i/>
          <w:iCs/>
        </w:rPr>
      </w:pPr>
      <w:r w:rsidRPr="00FE2388">
        <w:rPr>
          <w:i/>
          <w:iCs/>
        </w:rPr>
        <w:t>|                    NIST CSF / ITIL Lifecycle                |</w:t>
      </w:r>
    </w:p>
    <w:p w14:paraId="30E5163B" w14:textId="77777777" w:rsidR="00584FCA" w:rsidRDefault="00FE2388" w:rsidP="00FE2388">
      <w:pPr>
        <w:rPr>
          <w:i/>
          <w:iCs/>
        </w:rPr>
      </w:pPr>
      <w:r w:rsidRPr="00FE2388">
        <w:rPr>
          <w:i/>
          <w:iCs/>
        </w:rPr>
        <w:t xml:space="preserve">|   </w:t>
      </w:r>
      <w:proofErr w:type="gramStart"/>
      <w:r w:rsidRPr="00FE2388">
        <w:rPr>
          <w:i/>
          <w:iCs/>
        </w:rPr>
        <w:t xml:space="preserve">   (</w:t>
      </w:r>
      <w:proofErr w:type="gramEnd"/>
      <w:r w:rsidRPr="00FE2388">
        <w:rPr>
          <w:i/>
          <w:iCs/>
        </w:rPr>
        <w:t xml:space="preserve">Tactical Edge: Detect, Respond, Recover / </w:t>
      </w:r>
      <w:proofErr w:type="gramStart"/>
      <w:r w:rsidRPr="00FE2388">
        <w:rPr>
          <w:i/>
          <w:iCs/>
        </w:rPr>
        <w:t xml:space="preserve">Ops)   </w:t>
      </w:r>
      <w:proofErr w:type="gramEnd"/>
      <w:r w:rsidRPr="00FE2388">
        <w:rPr>
          <w:i/>
          <w:iCs/>
        </w:rPr>
        <w:t xml:space="preserve">     |</w:t>
      </w:r>
    </w:p>
    <w:p w14:paraId="2EC1E514" w14:textId="387D103F" w:rsidR="00FE2388" w:rsidRPr="00FE2388" w:rsidRDefault="00FE2388" w:rsidP="00FE2388">
      <w:pPr>
        <w:rPr>
          <w:i/>
          <w:iCs/>
        </w:rPr>
      </w:pPr>
      <w:r w:rsidRPr="00FE2388">
        <w:rPr>
          <w:i/>
          <w:iCs/>
        </w:rPr>
        <w:lastRenderedPageBreak/>
        <w:t>+-------------------------------------------------------------+</w:t>
      </w:r>
    </w:p>
    <w:p w14:paraId="5F7E0C47" w14:textId="77777777" w:rsidR="00FE2388" w:rsidRPr="00FE2388" w:rsidRDefault="00FE2388" w:rsidP="00FE2388">
      <w:pPr>
        <w:rPr>
          <w:b/>
          <w:bCs/>
          <w:i/>
          <w:iCs/>
        </w:rPr>
      </w:pPr>
      <w:r w:rsidRPr="00FE2388">
        <w:rPr>
          <w:b/>
          <w:bCs/>
          <w:i/>
          <w:iCs/>
        </w:rPr>
        <w:t>Analysis of AeroLink’s Security Gaps</w:t>
      </w:r>
    </w:p>
    <w:p w14:paraId="01A9DBBC" w14:textId="25A84C54" w:rsidR="00FE2388" w:rsidRPr="00FE2388" w:rsidRDefault="00FE2388" w:rsidP="00FE2388">
      <w:pPr>
        <w:rPr>
          <w:i/>
          <w:iCs/>
        </w:rPr>
      </w:pPr>
      <w:r w:rsidRPr="00FE2388">
        <w:rPr>
          <w:i/>
          <w:iCs/>
        </w:rPr>
        <w:t>Evaluating ALL’s current operational state against this synthesi</w:t>
      </w:r>
      <w:r w:rsidR="006E5FF7">
        <w:rPr>
          <w:i/>
          <w:iCs/>
        </w:rPr>
        <w:t>s</w:t>
      </w:r>
      <w:r w:rsidRPr="00FE2388">
        <w:rPr>
          <w:i/>
          <w:iCs/>
        </w:rPr>
        <w:t>ed matrix highlights profound vulnerabilities across its decentrali</w:t>
      </w:r>
      <w:r w:rsidR="006F62A2">
        <w:rPr>
          <w:i/>
          <w:iCs/>
        </w:rPr>
        <w:t>s</w:t>
      </w:r>
      <w:r w:rsidRPr="00FE2388">
        <w:rPr>
          <w:i/>
          <w:iCs/>
        </w:rPr>
        <w:t>ed landscape.</w:t>
      </w:r>
    </w:p>
    <w:p w14:paraId="6C5F69E6" w14:textId="77777777" w:rsidR="00FE2388" w:rsidRPr="00FE2388" w:rsidRDefault="00FE2388" w:rsidP="00FE2388">
      <w:pPr>
        <w:rPr>
          <w:b/>
          <w:bCs/>
          <w:i/>
          <w:iCs/>
        </w:rPr>
      </w:pPr>
      <w:r w:rsidRPr="00FE2388">
        <w:rPr>
          <w:b/>
          <w:bCs/>
          <w:i/>
          <w:iCs/>
        </w:rPr>
        <w:t>1. Third-Party Supply Chain and Cloud Vulnerabilities</w:t>
      </w:r>
    </w:p>
    <w:p w14:paraId="236E9C03" w14:textId="77777777" w:rsidR="00FE2388" w:rsidRPr="00FE2388" w:rsidRDefault="00FE2388" w:rsidP="00FE2388">
      <w:pPr>
        <w:rPr>
          <w:i/>
          <w:iCs/>
        </w:rPr>
      </w:pPr>
      <w:r w:rsidRPr="00FE2388">
        <w:rPr>
          <w:i/>
          <w:iCs/>
        </w:rPr>
        <w:t>With 88% of its IT infrastructure outsourced via IaaS and SaaS models, ALL lacks comprehensive visibility and verification over its supply chain telemetry. In martial arts, a fighter who overextends without monitoring their balance becomes inherently vulnerable. By failing to enforce explicit Service Level Agreements (SLAs) or continuous vendor risk assessments, ALL assumes immense structural risk [6]. If a third-party SaaS hosting client shipment data is compromised, ALL remains legally liable under GDPR, regardless of where the physical infrastructure resides [2].</w:t>
      </w:r>
    </w:p>
    <w:p w14:paraId="6563DD0E" w14:textId="77777777" w:rsidR="00FE2388" w:rsidRPr="00FE2388" w:rsidRDefault="00FE2388" w:rsidP="00FE2388">
      <w:pPr>
        <w:rPr>
          <w:b/>
          <w:bCs/>
          <w:i/>
          <w:iCs/>
        </w:rPr>
      </w:pPr>
      <w:r w:rsidRPr="00FE2388">
        <w:rPr>
          <w:b/>
          <w:bCs/>
          <w:i/>
          <w:iCs/>
        </w:rPr>
        <w:t>2. Unmanaged Remote Devices and Perimeter Decay</w:t>
      </w:r>
    </w:p>
    <w:p w14:paraId="4324443E" w14:textId="21C545C4" w:rsidR="00FE2388" w:rsidRPr="00FE2388" w:rsidRDefault="00FE2388" w:rsidP="00FE2388">
      <w:pPr>
        <w:rPr>
          <w:i/>
          <w:iCs/>
        </w:rPr>
      </w:pPr>
      <w:r w:rsidRPr="00FE2388">
        <w:rPr>
          <w:i/>
          <w:iCs/>
        </w:rPr>
        <w:t>The introduction of remote operations using unmanaged personal endpoints across multiple time zones has effectively collapsed ALL's network perimeter. Without Endpoint Detection and Response (EDR) or strict Mobile Device Management (MDM) protocols, these unmanaged systems act as unsecured gateways into internal applications. This vulnerability directly explains the recurrent unauthori</w:t>
      </w:r>
      <w:r w:rsidR="0051446F">
        <w:rPr>
          <w:i/>
          <w:iCs/>
        </w:rPr>
        <w:t>s</w:t>
      </w:r>
      <w:r w:rsidRPr="00FE2388">
        <w:rPr>
          <w:i/>
          <w:iCs/>
        </w:rPr>
        <w:t>ed access to client shipment registries and sensitive Customer Personally Identifiable Information (PII).</w:t>
      </w:r>
    </w:p>
    <w:p w14:paraId="615AD66A" w14:textId="77777777" w:rsidR="00FE2388" w:rsidRPr="00FE2388" w:rsidRDefault="00FE2388" w:rsidP="00FE2388">
      <w:pPr>
        <w:rPr>
          <w:b/>
          <w:bCs/>
          <w:i/>
          <w:iCs/>
        </w:rPr>
      </w:pPr>
      <w:r w:rsidRPr="00FE2388">
        <w:rPr>
          <w:b/>
          <w:bCs/>
          <w:i/>
          <w:iCs/>
        </w:rPr>
        <w:t>3. IoT Edge Exposures and Analytics Exploitation</w:t>
      </w:r>
    </w:p>
    <w:p w14:paraId="74E07CD1" w14:textId="5C768A4B" w:rsidR="00FE2388" w:rsidRPr="00FE2388" w:rsidRDefault="00FE2388" w:rsidP="00FE2388">
      <w:pPr>
        <w:rPr>
          <w:i/>
          <w:iCs/>
        </w:rPr>
      </w:pPr>
      <w:r w:rsidRPr="00FE2388">
        <w:rPr>
          <w:i/>
          <w:iCs/>
        </w:rPr>
        <w:t>ALL relies extensively on IoT-enabled tracking sensors to monitor physical logistics. These edge devices often feature limited processing power, minimal built-in encryption, and immutable default credentials, making them highly susceptible to firmware manipulation and unauthori</w:t>
      </w:r>
      <w:r w:rsidR="0051446F">
        <w:rPr>
          <w:i/>
          <w:iCs/>
        </w:rPr>
        <w:t>s</w:t>
      </w:r>
      <w:r w:rsidRPr="00FE2388">
        <w:rPr>
          <w:i/>
          <w:iCs/>
        </w:rPr>
        <w:t>ed interception [7]. If an adversary compromises these IoT streams, they can forge real-time data feeds, intercept PII, or disrupt automated AI-driven logistics analytics, leading to severe supply chain manipulation.</w:t>
      </w:r>
    </w:p>
    <w:p w14:paraId="632155BC" w14:textId="77777777" w:rsidR="00FE2388" w:rsidRPr="00FE2388" w:rsidRDefault="00FE2388" w:rsidP="00FE2388">
      <w:pPr>
        <w:rPr>
          <w:b/>
          <w:bCs/>
          <w:i/>
          <w:iCs/>
        </w:rPr>
      </w:pPr>
      <w:r w:rsidRPr="00FE2388">
        <w:rPr>
          <w:b/>
          <w:bCs/>
          <w:i/>
          <w:iCs/>
        </w:rPr>
        <w:t>4. Absence of Incident Response and Business Continuity</w:t>
      </w:r>
    </w:p>
    <w:p w14:paraId="10E2F839" w14:textId="4FB61250" w:rsidR="00FE2388" w:rsidRPr="00FE2388" w:rsidRDefault="00FE2388" w:rsidP="00FE2388">
      <w:pPr>
        <w:rPr>
          <w:i/>
          <w:iCs/>
        </w:rPr>
      </w:pPr>
      <w:r w:rsidRPr="00FE2388">
        <w:rPr>
          <w:i/>
          <w:iCs/>
        </w:rPr>
        <w:t>Currently, ALL possesses no central risk management process, no unified security framework, and no formali</w:t>
      </w:r>
      <w:r w:rsidR="00270B16">
        <w:rPr>
          <w:i/>
          <w:iCs/>
        </w:rPr>
        <w:t>s</w:t>
      </w:r>
      <w:r w:rsidRPr="00FE2388">
        <w:rPr>
          <w:i/>
          <w:iCs/>
        </w:rPr>
        <w:t>ed incident response plan. When a data breach occurs, the lack of coordination across departments hinders containment, allowing malicious actors to persist inside the network. This operational paralysis violates basic business continuity and disaster recovery (BC/DR) standards, exposing the enterprise to catastrophic regulatory penalties and compounding reputational damage [4], [6].</w:t>
      </w:r>
    </w:p>
    <w:p w14:paraId="056A63DE" w14:textId="77777777" w:rsidR="00A00B26" w:rsidRDefault="00A00B26">
      <w:pPr>
        <w:rPr>
          <w:i/>
          <w:iCs/>
        </w:rPr>
      </w:pPr>
    </w:p>
    <w:p w14:paraId="439414CB" w14:textId="77777777" w:rsidR="00DA7990" w:rsidRPr="008B4DA9" w:rsidRDefault="00DA7990" w:rsidP="00DA7990">
      <w:pPr>
        <w:rPr>
          <w:b/>
          <w:bCs/>
          <w:i/>
          <w:iCs/>
        </w:rPr>
      </w:pPr>
      <w:r w:rsidRPr="008B4DA9">
        <w:rPr>
          <w:b/>
          <w:bCs/>
          <w:i/>
          <w:iCs/>
        </w:rPr>
        <w:lastRenderedPageBreak/>
        <w:t>Section 3: Martial Arts Philosophy Applied to Cybersecurity Controls</w:t>
      </w:r>
    </w:p>
    <w:p w14:paraId="22EE7E46" w14:textId="788E190E" w:rsidR="00DA7990" w:rsidRPr="00DA7990" w:rsidRDefault="00DA7990" w:rsidP="00DA7990">
      <w:r w:rsidRPr="00DA7990">
        <w:t xml:space="preserve">To bridge the gap between abstract governance and technical execution, ALL can draw strategic insights from classical martial arts philosophy. In traditional disciplines like </w:t>
      </w:r>
      <w:r w:rsidRPr="00DA7990">
        <w:rPr>
          <w:i/>
          <w:iCs/>
        </w:rPr>
        <w:t>Karate</w:t>
      </w:r>
      <w:r w:rsidRPr="00DA7990">
        <w:t xml:space="preserve"> or </w:t>
      </w:r>
      <w:r w:rsidRPr="00DA7990">
        <w:rPr>
          <w:i/>
          <w:iCs/>
        </w:rPr>
        <w:t>Aikido</w:t>
      </w:r>
      <w:r w:rsidRPr="00DA7990">
        <w:t xml:space="preserve">, physical combat is governed by foundational principles: </w:t>
      </w:r>
      <w:r w:rsidRPr="00DA7990">
        <w:rPr>
          <w:i/>
          <w:iCs/>
        </w:rPr>
        <w:t>Kihon</w:t>
      </w:r>
      <w:r w:rsidRPr="00DA7990">
        <w:t xml:space="preserve"> (basics), </w:t>
      </w:r>
      <w:r w:rsidRPr="00DA7990">
        <w:rPr>
          <w:i/>
          <w:iCs/>
        </w:rPr>
        <w:t>Kata</w:t>
      </w:r>
      <w:r w:rsidRPr="00DA7990">
        <w:t xml:space="preserve"> (forms), and </w:t>
      </w:r>
      <w:r w:rsidRPr="00DA7990">
        <w:rPr>
          <w:i/>
          <w:iCs/>
        </w:rPr>
        <w:t>Kumite</w:t>
      </w:r>
      <w:r w:rsidRPr="00DA7990">
        <w:t xml:space="preserve"> (sparring). Applying this triad to ALL's decentrali</w:t>
      </w:r>
      <w:r w:rsidR="008F70FA">
        <w:t>s</w:t>
      </w:r>
      <w:r w:rsidRPr="00DA7990">
        <w:t>ed digital infrastructure reveals a practical roadmap for transforming its chaotic operating environment into a highly disciplined, resilient defense system [8].</w:t>
      </w:r>
    </w:p>
    <w:p w14:paraId="326F04B2" w14:textId="77777777" w:rsidR="00DA7990" w:rsidRPr="00DA7990" w:rsidRDefault="00DA7990" w:rsidP="00DA7990">
      <w:r w:rsidRPr="00DA7990">
        <w:t xml:space="preserve">                +---------------------------------------+</w:t>
      </w:r>
    </w:p>
    <w:p w14:paraId="6813DC28" w14:textId="77777777" w:rsidR="00DA7990" w:rsidRPr="00DA7990" w:rsidRDefault="00DA7990" w:rsidP="00DA7990">
      <w:r w:rsidRPr="00DA7990">
        <w:t xml:space="preserve">                |          MARTIAL ARTS MATRIX          |</w:t>
      </w:r>
    </w:p>
    <w:p w14:paraId="5CF1CCE9" w14:textId="77777777" w:rsidR="00DA7990" w:rsidRPr="00DA7990" w:rsidRDefault="00DA7990" w:rsidP="00DA7990">
      <w:r w:rsidRPr="00DA7990">
        <w:t xml:space="preserve">                +---------------------------------------+</w:t>
      </w:r>
    </w:p>
    <w:p w14:paraId="434EF371" w14:textId="77777777" w:rsidR="00DA7990" w:rsidRPr="00DA7990" w:rsidRDefault="00DA7990" w:rsidP="00DA7990">
      <w:r w:rsidRPr="00DA7990">
        <w:t xml:space="preserve">                                    |</w:t>
      </w:r>
    </w:p>
    <w:p w14:paraId="46DE0600" w14:textId="77777777" w:rsidR="00DA7990" w:rsidRPr="00DA7990" w:rsidRDefault="00DA7990" w:rsidP="00DA7990">
      <w:r w:rsidRPr="00DA7990">
        <w:t xml:space="preserve">         +--------------------------+--------------------------+</w:t>
      </w:r>
    </w:p>
    <w:p w14:paraId="4E990092" w14:textId="77777777" w:rsidR="00DA7990" w:rsidRPr="00DA7990" w:rsidRDefault="00DA7990" w:rsidP="00DA7990">
      <w:r w:rsidRPr="00DA7990">
        <w:t xml:space="preserve">         |                          |                          |</w:t>
      </w:r>
    </w:p>
    <w:p w14:paraId="5EB7C152" w14:textId="77777777" w:rsidR="00DA7990" w:rsidRPr="00DA7990" w:rsidRDefault="00DA7990" w:rsidP="00DA7990">
      <w:r w:rsidRPr="00DA7990">
        <w:t xml:space="preserve">         v                          v                          v</w:t>
      </w:r>
    </w:p>
    <w:p w14:paraId="4A80504A" w14:textId="77777777" w:rsidR="00DA7990" w:rsidRPr="00DA7990" w:rsidRDefault="00DA7990" w:rsidP="00DA7990">
      <w:r w:rsidRPr="00DA7990">
        <w:t xml:space="preserve">    [ KIHON ]                  [ KATA ]                   [ KUMITE ]</w:t>
      </w:r>
    </w:p>
    <w:p w14:paraId="3794F722" w14:textId="77777777" w:rsidR="00DA7990" w:rsidRPr="00DA7990" w:rsidRDefault="00DA7990" w:rsidP="00DA7990">
      <w:r w:rsidRPr="00DA7990">
        <w:t xml:space="preserve"> Fundamental Basics         Structured Forms           Dynamic Sparring</w:t>
      </w:r>
    </w:p>
    <w:p w14:paraId="68D99B6E" w14:textId="77777777" w:rsidR="00DA7990" w:rsidRPr="00DA7990" w:rsidRDefault="00DA7990" w:rsidP="00DA7990">
      <w:r w:rsidRPr="00DA7990">
        <w:t>(Hygiene &amp; Patching)       (Frameworks &amp; Policies)    (Threat Hunting &amp; IR)</w:t>
      </w:r>
    </w:p>
    <w:p w14:paraId="7F2CC11F" w14:textId="77777777" w:rsidR="00DA7990" w:rsidRPr="008B4DA9" w:rsidRDefault="00DA7990" w:rsidP="00DA7990">
      <w:pPr>
        <w:rPr>
          <w:b/>
          <w:bCs/>
          <w:i/>
          <w:iCs/>
        </w:rPr>
      </w:pPr>
      <w:r w:rsidRPr="008B4DA9">
        <w:rPr>
          <w:b/>
          <w:bCs/>
          <w:i/>
          <w:iCs/>
        </w:rPr>
        <w:t>Kihon (The Fundamentals): Establishing Digital Hygiene</w:t>
      </w:r>
    </w:p>
    <w:p w14:paraId="72F9AD42" w14:textId="2D974654" w:rsidR="00DA7990" w:rsidRPr="00DA7990" w:rsidRDefault="00DA7990" w:rsidP="00DA7990">
      <w:r w:rsidRPr="00DA7990">
        <w:t xml:space="preserve">In martial arts, a practitioner cannot execute advanced </w:t>
      </w:r>
      <w:r w:rsidR="008F70FA" w:rsidRPr="00DA7990">
        <w:t>manoeuvres</w:t>
      </w:r>
      <w:r w:rsidRPr="00DA7990">
        <w:t xml:space="preserve"> without mastering </w:t>
      </w:r>
      <w:r w:rsidRPr="00DA7990">
        <w:rPr>
          <w:i/>
          <w:iCs/>
        </w:rPr>
        <w:t>Kihon</w:t>
      </w:r>
      <w:r w:rsidRPr="00DA7990">
        <w:t>—the foundational blocks, punches, and stances. For ALL, its lack of basic security hygiene is equivalent to a fighter entering a ring unable to maintain a basic guard. Defending against unauthori</w:t>
      </w:r>
      <w:r w:rsidR="00A81D65">
        <w:t>s</w:t>
      </w:r>
      <w:r w:rsidRPr="00DA7990">
        <w:t>ed access to customer PII requires mastering foundational technical controls before deploying advanced analytics.</w:t>
      </w:r>
    </w:p>
    <w:p w14:paraId="6F78A580" w14:textId="77777777" w:rsidR="00DA7990" w:rsidRPr="00DA7990" w:rsidRDefault="00DA7990" w:rsidP="00DA7990">
      <w:r w:rsidRPr="00DA7990">
        <w:rPr>
          <w:i/>
          <w:iCs/>
        </w:rPr>
        <w:t>Kihon</w:t>
      </w:r>
      <w:r w:rsidRPr="00DA7990">
        <w:t xml:space="preserve"> mandates implementing absolute baseline hygiene across the enterprise [8]. This includes enforcing robust Identity and Access Management (IAM) via mandatory Multi-Factor Authentication (MFA) across all unmanaged remote devices, executing routine software patching schedules, and maintaining an accurate inventory of all network assets. By solidifying these fundamental components, ALL eliminates the low-level vulnerabilities that opportunistic attackers routinely exploit.</w:t>
      </w:r>
    </w:p>
    <w:p w14:paraId="02720854" w14:textId="6B753CDF" w:rsidR="00DA7990" w:rsidRPr="008B4DA9" w:rsidRDefault="00DA7990" w:rsidP="00DA7990">
      <w:pPr>
        <w:rPr>
          <w:b/>
          <w:bCs/>
          <w:i/>
          <w:iCs/>
        </w:rPr>
      </w:pPr>
      <w:r w:rsidRPr="008B4DA9">
        <w:rPr>
          <w:b/>
          <w:bCs/>
          <w:i/>
          <w:iCs/>
        </w:rPr>
        <w:t>Kata (The Form): Implementing Standardi</w:t>
      </w:r>
      <w:r w:rsidR="00A81D65" w:rsidRPr="008B4DA9">
        <w:rPr>
          <w:b/>
          <w:bCs/>
          <w:i/>
          <w:iCs/>
        </w:rPr>
        <w:t>s</w:t>
      </w:r>
      <w:r w:rsidRPr="008B4DA9">
        <w:rPr>
          <w:b/>
          <w:bCs/>
          <w:i/>
          <w:iCs/>
        </w:rPr>
        <w:t>ed Frameworks</w:t>
      </w:r>
    </w:p>
    <w:p w14:paraId="6BB6367C" w14:textId="0B6BF5ED" w:rsidR="00DA7990" w:rsidRPr="00DA7990" w:rsidRDefault="00DA7990" w:rsidP="00DA7990">
      <w:r w:rsidRPr="00DA7990">
        <w:rPr>
          <w:i/>
          <w:iCs/>
        </w:rPr>
        <w:t>Kata</w:t>
      </w:r>
      <w:r w:rsidRPr="00DA7990">
        <w:t xml:space="preserve"> consists of choreographed patterns of movements used to practice offensive and defensive techniques until they become second nature. It </w:t>
      </w:r>
      <w:r w:rsidR="00A81D65" w:rsidRPr="00DA7990">
        <w:t>instils</w:t>
      </w:r>
      <w:r w:rsidRPr="00DA7990">
        <w:t xml:space="preserve"> muscle memory, ensuring that a martial artist reacts correctly under intense pressure. In the context of </w:t>
      </w:r>
      <w:r w:rsidRPr="00DA7990">
        <w:lastRenderedPageBreak/>
        <w:t xml:space="preserve">enterprise security, </w:t>
      </w:r>
      <w:r w:rsidRPr="00DA7990">
        <w:rPr>
          <w:i/>
          <w:iCs/>
        </w:rPr>
        <w:t>Kata</w:t>
      </w:r>
      <w:r w:rsidRPr="00DA7990">
        <w:t xml:space="preserve"> represents the formal adoption and integration of structured frameworks like ISO/IEC 27001 and the NIST CSF [9].</w:t>
      </w:r>
    </w:p>
    <w:p w14:paraId="48552730" w14:textId="1ABD0DD8" w:rsidR="00DA7990" w:rsidRPr="00DA7990" w:rsidRDefault="00DA7990" w:rsidP="00DA7990">
      <w:r w:rsidRPr="00DA7990">
        <w:t>Currently, ALL suffers from an immature compliance posture, lacking unified procedures and departmental coordination. By formali</w:t>
      </w:r>
      <w:r w:rsidR="00A81D65">
        <w:t>s</w:t>
      </w:r>
      <w:r w:rsidRPr="00DA7990">
        <w:t xml:space="preserve">ing </w:t>
      </w:r>
      <w:r w:rsidRPr="00DA7990">
        <w:rPr>
          <w:i/>
          <w:iCs/>
        </w:rPr>
        <w:t>Kata</w:t>
      </w:r>
      <w:r w:rsidRPr="00DA7990">
        <w:t xml:space="preserve">, ALL establishes standard operating procedures (SOPs), defines clear internal security roles, and creates structured risk assessment workflows. Just as a martial artist relies on </w:t>
      </w:r>
      <w:r w:rsidRPr="00DA7990">
        <w:rPr>
          <w:i/>
          <w:iCs/>
        </w:rPr>
        <w:t>Kata</w:t>
      </w:r>
      <w:r w:rsidRPr="00DA7990">
        <w:t xml:space="preserve"> to maintain balance during an attack, ALL will use these documented compliance structures to ensure uniform data protection policies across all business units, satisfying regulatory mandates like the GDPR.</w:t>
      </w:r>
    </w:p>
    <w:p w14:paraId="05CD3BD3" w14:textId="77777777" w:rsidR="00DA7990" w:rsidRPr="008B4DA9" w:rsidRDefault="00DA7990" w:rsidP="00DA7990">
      <w:pPr>
        <w:rPr>
          <w:b/>
          <w:bCs/>
          <w:i/>
          <w:iCs/>
        </w:rPr>
      </w:pPr>
      <w:r w:rsidRPr="008B4DA9">
        <w:rPr>
          <w:b/>
          <w:bCs/>
          <w:i/>
          <w:iCs/>
        </w:rPr>
        <w:t>Kumite (The Sparring): Continuous Threat Testing and Resilience</w:t>
      </w:r>
    </w:p>
    <w:p w14:paraId="2D7CC9E5" w14:textId="77777777" w:rsidR="00DA7990" w:rsidRPr="00DA7990" w:rsidRDefault="00DA7990" w:rsidP="00DA7990">
      <w:r w:rsidRPr="00DA7990">
        <w:t>Once a practitioner understands the basics (</w:t>
      </w:r>
      <w:r w:rsidRPr="00DA7990">
        <w:rPr>
          <w:i/>
          <w:iCs/>
        </w:rPr>
        <w:t>Kihon</w:t>
      </w:r>
      <w:r w:rsidRPr="00DA7990">
        <w:t>) and masters the forms (</w:t>
      </w:r>
      <w:r w:rsidRPr="00DA7990">
        <w:rPr>
          <w:i/>
          <w:iCs/>
        </w:rPr>
        <w:t>Kata</w:t>
      </w:r>
      <w:r w:rsidRPr="00DA7990">
        <w:t xml:space="preserve">), they progress to </w:t>
      </w:r>
      <w:r w:rsidRPr="00DA7990">
        <w:rPr>
          <w:i/>
          <w:iCs/>
        </w:rPr>
        <w:t>Kumite</w:t>
      </w:r>
      <w:r w:rsidRPr="00DA7990">
        <w:t xml:space="preserve">, or live sparring. </w:t>
      </w:r>
      <w:r w:rsidRPr="00DA7990">
        <w:rPr>
          <w:i/>
          <w:iCs/>
        </w:rPr>
        <w:t>Kumite</w:t>
      </w:r>
      <w:r w:rsidRPr="00DA7990">
        <w:t xml:space="preserve"> introduces an active, unpredictable adversary, forcing the martial artist to test their reflexes, adapt to fluid situations, and absorb impacts without breaking form.</w:t>
      </w:r>
    </w:p>
    <w:p w14:paraId="275A3188" w14:textId="77777777" w:rsidR="00DA7990" w:rsidRPr="00DA7990" w:rsidRDefault="00DA7990" w:rsidP="00DA7990">
      <w:r w:rsidRPr="00DA7990">
        <w:t xml:space="preserve">For ALL, </w:t>
      </w:r>
      <w:r w:rsidRPr="00DA7990">
        <w:rPr>
          <w:i/>
          <w:iCs/>
        </w:rPr>
        <w:t>Kumite</w:t>
      </w:r>
      <w:r w:rsidRPr="00DA7990">
        <w:t xml:space="preserve"> translates directly to proactive threat hunting, penetration testing, and continuous incident response simulations [10]. Because ALL operates in a volatile, highly distributed cloud environment, it cannot rely solely on static defenses. The security team must actively "spar" against simulated threats through red-teaming exercises that test the resilience of its IoT tracking sensors and third-party SaaS integrations. This dynamic training ensures that when an actual data breach occurs, the incident response team coordinates seamlessly across departments, swiftly containing the threat and preserving business continuity [8], [10].</w:t>
      </w:r>
    </w:p>
    <w:p w14:paraId="3C5ECA88" w14:textId="77777777" w:rsidR="0035448B" w:rsidRPr="00F45CF6" w:rsidRDefault="0035448B" w:rsidP="0035448B">
      <w:pPr>
        <w:rPr>
          <w:b/>
          <w:bCs/>
          <w:i/>
          <w:iCs/>
        </w:rPr>
      </w:pPr>
      <w:r w:rsidRPr="00F45CF6">
        <w:rPr>
          <w:b/>
          <w:bCs/>
          <w:i/>
          <w:iCs/>
        </w:rPr>
        <w:t>Task 2: Data Security, Governance, and Control Mechanisms</w:t>
      </w:r>
    </w:p>
    <w:p w14:paraId="1B8CAABC" w14:textId="77777777" w:rsidR="0035448B" w:rsidRPr="00F45CF6" w:rsidRDefault="0035448B" w:rsidP="0035448B">
      <w:pPr>
        <w:rPr>
          <w:b/>
          <w:bCs/>
          <w:i/>
          <w:iCs/>
        </w:rPr>
      </w:pPr>
      <w:r w:rsidRPr="00F45CF6">
        <w:rPr>
          <w:b/>
          <w:bCs/>
          <w:i/>
          <w:iCs/>
        </w:rPr>
        <w:t>Designing a Zero Trust Architecture (ZTA) Strategy for AeroLink Logistics</w:t>
      </w:r>
    </w:p>
    <w:p w14:paraId="7E7EB447" w14:textId="77777777" w:rsidR="0035448B" w:rsidRPr="0035448B" w:rsidRDefault="0035448B" w:rsidP="0035448B">
      <w:r w:rsidRPr="0035448B">
        <w:t>To systematically mitigate the ongoing data breaches involving client shipment records and customer Personally Identifiable Information (PII), AeroLink Logistics (ALL) must abandon its outdated reliance on network location and transition to a Zero Trust Architecture (ZTA). Traditional "castle-and-moat" security architectures operate under the assumption that internal assets are inherently safe, relying heavily on a defined outer perimeter to repel external threats (Alshar'e, 2023). However, in a hyper-distributed ecosystem where 88% of ALL’s infrastructure is hosted on third-party IaaS and SaaS networks—and accessed globally via unmanaged endpoints—this physical perimeter is completely non-existent (Rose et al., 2020).</w:t>
      </w:r>
    </w:p>
    <w:p w14:paraId="5DD6FAA8" w14:textId="2AD44213" w:rsidR="0035448B" w:rsidRPr="0035448B" w:rsidRDefault="0035448B" w:rsidP="0035448B">
      <w:r w:rsidRPr="0035448B">
        <w:t xml:space="preserve">ZTA replaces implicit trust with a strict, baseline philosophy: </w:t>
      </w:r>
      <w:r w:rsidRPr="0035448B">
        <w:rPr>
          <w:i/>
          <w:iCs/>
        </w:rPr>
        <w:t>never trust, always verify</w:t>
      </w:r>
      <w:r w:rsidRPr="0035448B">
        <w:t xml:space="preserve"> (Kang et al., 2023). Under this model, access requests are evaluated dynamically, meaning that no user, device, or cloud application is trusted by default, regardless of whether the connection originates from an unmanaged home network or an internal </w:t>
      </w:r>
      <w:r w:rsidRPr="0035448B">
        <w:lastRenderedPageBreak/>
        <w:t xml:space="preserve">distribution </w:t>
      </w:r>
      <w:r w:rsidR="00CA1995" w:rsidRPr="0035448B">
        <w:t>centre</w:t>
      </w:r>
      <w:r w:rsidRPr="0035448B">
        <w:t xml:space="preserve"> (Alshar'e, 2023; Rose et al., 2020). Implementing ZTA at ALL involves the application of three core tenets:</w:t>
      </w:r>
    </w:p>
    <w:p w14:paraId="1B5AEA68" w14:textId="77777777" w:rsidR="0035448B" w:rsidRPr="00CA1995" w:rsidRDefault="0035448B" w:rsidP="0035448B">
      <w:pPr>
        <w:rPr>
          <w:b/>
          <w:bCs/>
          <w:i/>
          <w:iCs/>
        </w:rPr>
      </w:pPr>
      <w:r w:rsidRPr="00CA1995">
        <w:rPr>
          <w:b/>
          <w:bCs/>
          <w:i/>
          <w:iCs/>
        </w:rPr>
        <w:t>1. Separation of Trust from Location and Continuous Explicit Verification</w:t>
      </w:r>
    </w:p>
    <w:p w14:paraId="09DF566D" w14:textId="73A33373" w:rsidR="0035448B" w:rsidRPr="0035448B" w:rsidRDefault="0035448B" w:rsidP="0035448B">
      <w:r w:rsidRPr="0035448B">
        <w:t>ALL currently exposes its critical databases to unauthori</w:t>
      </w:r>
      <w:r w:rsidR="00CA1995">
        <w:t>s</w:t>
      </w:r>
      <w:r w:rsidRPr="0035448B">
        <w:t xml:space="preserve">ed access because remote operations span multiple time zones without contextual validation. ZTA mandates that trust must be entirely decoupled from network location (Kang et al., 2023). Every single access attempt directed at the logistics tracking systems must be explicitly validated in real time against contextual telemetry (Alshar'e, 2023). This requires deploying a centralized Policy Engine (PE) and Policy Administrator (PA) that evaluate the requestor’s identity, multi-factor authentication (MFA) status, endpoint health, and unusual </w:t>
      </w:r>
      <w:r w:rsidR="000B6A9D" w:rsidRPr="0035448B">
        <w:t>behavioural</w:t>
      </w:r>
      <w:r w:rsidRPr="0035448B">
        <w:t xml:space="preserve"> patterns before issuing a short-lived access token (Rose et al., 2020).</w:t>
      </w:r>
    </w:p>
    <w:p w14:paraId="58034161" w14:textId="4663ACCF" w:rsidR="0035448B" w:rsidRPr="000B6A9D" w:rsidRDefault="0035448B" w:rsidP="0035448B">
      <w:pPr>
        <w:rPr>
          <w:b/>
          <w:bCs/>
          <w:i/>
          <w:iCs/>
        </w:rPr>
      </w:pPr>
      <w:r w:rsidRPr="000B6A9D">
        <w:rPr>
          <w:b/>
          <w:bCs/>
          <w:i/>
          <w:iCs/>
        </w:rPr>
        <w:t>2. Fine-Grained Authori</w:t>
      </w:r>
      <w:r w:rsidR="000B6A9D" w:rsidRPr="000B6A9D">
        <w:rPr>
          <w:b/>
          <w:bCs/>
          <w:i/>
          <w:iCs/>
        </w:rPr>
        <w:t>s</w:t>
      </w:r>
      <w:r w:rsidRPr="000B6A9D">
        <w:rPr>
          <w:b/>
          <w:bCs/>
          <w:i/>
          <w:iCs/>
        </w:rPr>
        <w:t>ation and the Principle of Least Privilege</w:t>
      </w:r>
    </w:p>
    <w:p w14:paraId="0FEFFF68" w14:textId="77777777" w:rsidR="0035448B" w:rsidRPr="0035448B" w:rsidRDefault="0035448B" w:rsidP="0035448B">
      <w:r w:rsidRPr="0035448B">
        <w:t>The widespread exposure of PII indicates a lack of granular access control. Implementing least privilege requires that users, devices, and backend automated tasks receive only the absolute minimum system permissions required to execute their functions (Alshar'e, 2023; Kang et al., 2023). Rather than granting broad database visibility, ALL must enforce Attribute-Based Access Control (ABAC). For example, an IoT tracking sensor should only possess permission to append chronological location data to a specific shipment topic; it must be cryptographically barred from querying customer billing or PII databases (TechRxiv, 2025).</w:t>
      </w:r>
    </w:p>
    <w:p w14:paraId="0525F21B" w14:textId="77777777" w:rsidR="0035448B" w:rsidRPr="000B6A9D" w:rsidRDefault="0035448B" w:rsidP="0035448B">
      <w:pPr>
        <w:rPr>
          <w:b/>
          <w:bCs/>
          <w:i/>
          <w:iCs/>
        </w:rPr>
      </w:pPr>
      <w:r w:rsidRPr="000B6A9D">
        <w:rPr>
          <w:b/>
          <w:bCs/>
          <w:i/>
          <w:iCs/>
        </w:rPr>
        <w:t>3. Network Micro-Segmentation and Cryptographic Isolation</w:t>
      </w:r>
    </w:p>
    <w:p w14:paraId="4C6F94BD" w14:textId="4832FE0E" w:rsidR="0020511E" w:rsidRDefault="0035448B" w:rsidP="0035448B">
      <w:r w:rsidRPr="0035448B">
        <w:t>To eliminate lateral movement within its third-party infrastructure, ALL must implement micro-segmentation, partitioning its unified architecture into isolated, secure zones (Alshar'e, 2023). If an unmanaged partner device becomes compromised, the breach is completely contained within that single logical segment, preventing the threat from propagating to core warehousing or AI analytics environments (Alshar'e, 2023; TechRxiv, 2025). Furthermore, all data streams must be cryptographically protected using mutual Transport Layer Security (mTLS), ensuring data-in-transit security across third-party environments (TechRxiv, 2025).</w:t>
      </w:r>
    </w:p>
    <w:p w14:paraId="32034F96" w14:textId="687FC44C" w:rsidR="00277E9C" w:rsidRPr="006246F6" w:rsidRDefault="00277E9C" w:rsidP="00277E9C">
      <w:pPr>
        <w:rPr>
          <w:i/>
          <w:iCs/>
        </w:rPr>
      </w:pPr>
      <w:r w:rsidRPr="006246F6">
        <w:rPr>
          <w:b/>
          <w:bCs/>
          <w:i/>
          <w:iCs/>
        </w:rPr>
        <w:t>Cryptographic Controls, Cloud Access, and IoT Edge Protection</w:t>
      </w:r>
    </w:p>
    <w:p w14:paraId="4410F5A6" w14:textId="2A9F0461" w:rsidR="00277E9C" w:rsidRPr="00277E9C" w:rsidRDefault="00277E9C" w:rsidP="00277E9C">
      <w:r w:rsidRPr="00277E9C">
        <w:t>To operationali</w:t>
      </w:r>
      <w:r w:rsidR="006246F6">
        <w:t>s</w:t>
      </w:r>
      <w:r w:rsidRPr="00277E9C">
        <w:t xml:space="preserve">e Zero Trust principles within its outsourced ecosystem, AeroLink Logistics (ALL) must move beyond passive perimeter defenses and implement strict, active cryptographic enforcement at the data layer [1]. Because ALL relies on public network routing to connect global distribution </w:t>
      </w:r>
      <w:r w:rsidR="006246F6" w:rsidRPr="00277E9C">
        <w:t>centres</w:t>
      </w:r>
      <w:r w:rsidRPr="00277E9C">
        <w:t xml:space="preserve">, unmanaged devices, and third-party Software-as-a-Service (SaaS) or Infrastructure-as-a-Service (IaaS) providers, it </w:t>
      </w:r>
      <w:r w:rsidRPr="00277E9C">
        <w:lastRenderedPageBreak/>
        <w:t>must deploy cryptographically enforced Attribute-Based Access Control (ABAC) systems [1], [2].</w:t>
      </w:r>
    </w:p>
    <w:p w14:paraId="59ACB812" w14:textId="6FB0B7E2" w:rsidR="00277E9C" w:rsidRPr="00277E9C" w:rsidRDefault="00277E9C" w:rsidP="00277E9C">
      <w:r w:rsidRPr="00277E9C">
        <w:t>Instead of relying on network firewalls, ALL can implement Ciphertext-Policy Attribute-Based Encryption (CP-ABE) [2]. In a CP-ABE scheme, data owners embed logical access trees directly into the encrypted file structure (e.g., [Position = Logistics Manager] AND [Device_Status = Compliant]) [1]. This shifting of control from a centrali</w:t>
      </w:r>
      <w:r w:rsidR="00723F90">
        <w:t>s</w:t>
      </w:r>
      <w:r w:rsidRPr="00277E9C">
        <w:t>ed network appliance straight to the data payload ensures that even if an unauthori</w:t>
      </w:r>
      <w:r w:rsidR="00723F90">
        <w:t>s</w:t>
      </w:r>
      <w:r w:rsidRPr="00277E9C">
        <w:t>ed third party intercepts a storage object containing sensitive customer Personally Identifiable Information (PII), they cannot decrypt the plaintext without possessing the exact cryptographic attributes required by the file [1], [2].</w:t>
      </w:r>
    </w:p>
    <w:p w14:paraId="521E716A" w14:textId="77777777" w:rsidR="00277E9C" w:rsidRPr="00277E9C" w:rsidRDefault="00277E9C" w:rsidP="00277E9C">
      <w:r w:rsidRPr="00277E9C">
        <w:t>Furthermore, to maintain long-term protection over archived customer records across external SaaS storage buckets without sacrificing cloud processing performance, ALL should incorporate updatable cloud encryption schemes [3]. Implementing asynchronous key rotation protocols through secure cloud-side enclaves provides post-compromise security (PCS), allowing the enterprise to iteratively refresh data encryption states without requiring massive, bandwidth-heavy downlinks of existing data volumes [3].</w:t>
      </w:r>
    </w:p>
    <w:p w14:paraId="74F1D868" w14:textId="77777777" w:rsidR="00277E9C" w:rsidRPr="00277E9C" w:rsidRDefault="00277E9C" w:rsidP="00277E9C">
      <w:r w:rsidRPr="00277E9C">
        <w:t>Simultaneously, ALL's reliance on real-time IoT-enabled tracking sensors introduces severe edge-level exposures because these micro-controllers are deeply constrained in memory, battery life, and processing power [4]. Deploying standard, computationally intensive public-key infrastructure (PKI) or complex asymmetric cryptographic handshakes over thousands of roaming sensors is impractical, as the high processing overhead degrades operational efficiency and causes transmission latency [4], [5].</w:t>
      </w:r>
    </w:p>
    <w:p w14:paraId="7D07F302" w14:textId="77777777" w:rsidR="00277E9C" w:rsidRPr="00277E9C" w:rsidRDefault="00277E9C" w:rsidP="00277E9C">
      <w:r w:rsidRPr="00277E9C">
        <w:t>+------------------------+                 +-------------------------+</w:t>
      </w:r>
    </w:p>
    <w:p w14:paraId="35027CDA" w14:textId="77777777" w:rsidR="00277E9C" w:rsidRPr="00277E9C" w:rsidRDefault="00277E9C" w:rsidP="00277E9C">
      <w:r w:rsidRPr="00277E9C">
        <w:t>|   IoT Edge Sensor      |  Encrypted      |  AI Analytics Platform  |</w:t>
      </w:r>
    </w:p>
    <w:p w14:paraId="3B7C8B0A" w14:textId="77777777" w:rsidR="00277E9C" w:rsidRPr="00277E9C" w:rsidRDefault="00277E9C" w:rsidP="00277E9C">
      <w:r w:rsidRPr="00277E9C">
        <w:t>|  [AES-GCM Accelerator] |----------------&gt;|  [Integrity Validation] |</w:t>
      </w:r>
    </w:p>
    <w:p w14:paraId="33EEE24A" w14:textId="77777777" w:rsidR="00277E9C" w:rsidRPr="00277E9C" w:rsidRDefault="00277E9C" w:rsidP="00277E9C">
      <w:r w:rsidRPr="00277E9C">
        <w:t>|   Confidentiality +    |   Data Stream   |   Prevents Injection    |</w:t>
      </w:r>
    </w:p>
    <w:p w14:paraId="6E6BFAAF" w14:textId="77777777" w:rsidR="00277E9C" w:rsidRPr="00277E9C" w:rsidRDefault="00277E9C" w:rsidP="00277E9C">
      <w:r w:rsidRPr="00277E9C">
        <w:t>|   Integrity Tag        |                 |   and Forgery Attacks   |</w:t>
      </w:r>
    </w:p>
    <w:p w14:paraId="3F7D088E" w14:textId="77777777" w:rsidR="00277E9C" w:rsidRPr="00277E9C" w:rsidRDefault="00277E9C" w:rsidP="00277E9C">
      <w:r w:rsidRPr="00277E9C">
        <w:t>+------------------------+                 +-------------------------+</w:t>
      </w:r>
    </w:p>
    <w:p w14:paraId="3ABE0887" w14:textId="0C07BEDB" w:rsidR="00277E9C" w:rsidRPr="00277E9C" w:rsidRDefault="00277E9C" w:rsidP="00277E9C">
      <w:r w:rsidRPr="00277E9C">
        <w:t>To protect telemetry data pipelines without draining device resources, ALL must establish a hardware-accelerated, lightweight symmetric cryptosystem [6]. The tracking infrastructure should utili</w:t>
      </w:r>
      <w:r w:rsidR="00723F90">
        <w:t>s</w:t>
      </w:r>
      <w:r w:rsidRPr="00277E9C">
        <w:t>e low-power edge processors featuring embedded hardware accelerators optimi</w:t>
      </w:r>
      <w:r w:rsidR="00723F90">
        <w:t>s</w:t>
      </w:r>
      <w:r w:rsidRPr="00277E9C">
        <w:t>ed for the Advanced Encryption Standard in Galois/Counter Mode (AES-GCM) [6]. AES-GCM provides authenticated encryption, simultaneously ensuring data confidentiality (preventing interception of client shipment registries) and data integrity (preventing malicious data forgery attacks on AI analytics pipelines) [5], [6].</w:t>
      </w:r>
    </w:p>
    <w:p w14:paraId="2759EDD3" w14:textId="77777777" w:rsidR="00277E9C" w:rsidRPr="00277E9C" w:rsidRDefault="00277E9C" w:rsidP="00277E9C">
      <w:r w:rsidRPr="00277E9C">
        <w:lastRenderedPageBreak/>
        <w:t>Finally, by incorporating Elliptic Curve Cryptography (ECC) scalar multiplication alongside spatial data masking primitives, ALL can strip predictable tracking identifiers from raw sensor payloads before they travel over public networks [5]. This masking-based aggregation ensures that even if an adversary captures transit packets, they cannot link individual telemetry updates to specific customer PII, protecting corporate secrets and ensuring compliance with strict GDPR privacy mandates [5].</w:t>
      </w:r>
    </w:p>
    <w:p w14:paraId="29CFC863" w14:textId="77777777" w:rsidR="002F154D" w:rsidRPr="004C783D" w:rsidRDefault="002F154D" w:rsidP="002F154D">
      <w:pPr>
        <w:rPr>
          <w:b/>
          <w:bCs/>
          <w:i/>
          <w:iCs/>
        </w:rPr>
      </w:pPr>
      <w:r w:rsidRPr="004C783D">
        <w:rPr>
          <w:b/>
          <w:bCs/>
          <w:i/>
          <w:iCs/>
        </w:rPr>
        <w:t>Conclusion</w:t>
      </w:r>
    </w:p>
    <w:p w14:paraId="234752F0" w14:textId="79596782" w:rsidR="002F154D" w:rsidRPr="002F154D" w:rsidRDefault="002F154D" w:rsidP="002F154D">
      <w:r w:rsidRPr="002F154D">
        <w:t>Securing a modern, decentrali</w:t>
      </w:r>
      <w:r>
        <w:t>s</w:t>
      </w:r>
      <w:r w:rsidRPr="002F154D">
        <w:t>ed logistics network like AeroLink Logistics (ALL) requires a fundamental shift from static perimeter defense to a dynamic, hyper-vigilant posture. By integrating the governance of COBIT 2019, the risk management and compliance of ISO/IEC 27001, and the operational agility of the NIST Cybersecurity Framework, ALL establishes a balanced, unified security architecture. This structural alignment can be conceptuali</w:t>
      </w:r>
      <w:r>
        <w:t>s</w:t>
      </w:r>
      <w:r w:rsidRPr="002F154D">
        <w:t>ed through martial arts philosophy, where fundamental digital hygiene (</w:t>
      </w:r>
      <w:r w:rsidRPr="002F154D">
        <w:rPr>
          <w:i/>
          <w:iCs/>
        </w:rPr>
        <w:t>Kihon</w:t>
      </w:r>
      <w:r w:rsidRPr="002F154D">
        <w:t>), standardi</w:t>
      </w:r>
      <w:r w:rsidR="00704B8C">
        <w:t>s</w:t>
      </w:r>
      <w:r w:rsidRPr="002F154D">
        <w:t>ed organi</w:t>
      </w:r>
      <w:r w:rsidR="00704B8C">
        <w:t>s</w:t>
      </w:r>
      <w:r w:rsidRPr="002F154D">
        <w:t>ational forms (</w:t>
      </w:r>
      <w:r w:rsidRPr="002F154D">
        <w:rPr>
          <w:i/>
          <w:iCs/>
        </w:rPr>
        <w:t>Kata</w:t>
      </w:r>
      <w:r w:rsidRPr="002F154D">
        <w:t>), and active, continuous threat sparring (</w:t>
      </w:r>
      <w:r w:rsidRPr="002F154D">
        <w:rPr>
          <w:i/>
          <w:iCs/>
        </w:rPr>
        <w:t>Kumite</w:t>
      </w:r>
      <w:r w:rsidRPr="002F154D">
        <w:t>) transition the enterprise from a state of chaotic vulnerability to resilient, instinctual defense.</w:t>
      </w:r>
    </w:p>
    <w:p w14:paraId="02457F6B" w14:textId="6AF8F3AC" w:rsidR="002F154D" w:rsidRPr="002F154D" w:rsidRDefault="002F154D" w:rsidP="002F154D">
      <w:r w:rsidRPr="002F154D">
        <w:t>To operationali</w:t>
      </w:r>
      <w:r w:rsidR="00704B8C">
        <w:t>s</w:t>
      </w:r>
      <w:r w:rsidRPr="002F154D">
        <w:t xml:space="preserve">e these principles at the data level, ALL must transition to a Zero Trust Architecture (ZTA) built on continuous explicit verification and the principle of least privilege. Under this strategy, network location no longer dictates trust. Implementing fine-grained cryptographic controls, such as Ciphertext-Policy Attribute-Based Encryption (CP-ABE) and post-compromise secure cloud enclaves, shifts the point of enforcement directly onto the data payloads, safeguarding sensitive customer PII and shipment registries even within untrusted third-party SaaS/IaaS environments. </w:t>
      </w:r>
    </w:p>
    <w:p w14:paraId="3F35ECDF" w14:textId="571CF78C" w:rsidR="002F154D" w:rsidRPr="002F154D" w:rsidRDefault="002F154D" w:rsidP="002F154D">
      <w:r w:rsidRPr="002F154D">
        <w:t>Simultaneously, the vulnerability of the IoT edge layer is countered by deploying hardware-accelerated, lightweight symmetric cryptosystems. Utili</w:t>
      </w:r>
      <w:r w:rsidR="00704B8C">
        <w:t>s</w:t>
      </w:r>
      <w:r w:rsidRPr="002F154D">
        <w:t>ing AES-GCM and elliptic-curve data masking primitives ensures both telemetry confidentiality and data pipeline integrity without overburdening resource-constrained tracking sensors. Ultimately, by weaving these architectural, cryptographic, and operational layers together into a single, cohesive fabric, ALL transforms its digital supply chain from an expansive attack surface into a fortified, compliant ecosystem capable of dynamically absorbing and neutrali</w:t>
      </w:r>
      <w:r w:rsidR="00600D2C">
        <w:t>s</w:t>
      </w:r>
      <w:r w:rsidRPr="002F154D">
        <w:t>ing modern cyber threats.</w:t>
      </w:r>
    </w:p>
    <w:p w14:paraId="12CD03AA" w14:textId="77777777" w:rsidR="002F154D" w:rsidRPr="009F36C4" w:rsidRDefault="002F154D" w:rsidP="002F154D">
      <w:pPr>
        <w:rPr>
          <w:b/>
          <w:bCs/>
          <w:i/>
          <w:iCs/>
        </w:rPr>
      </w:pPr>
      <w:r w:rsidRPr="009F36C4">
        <w:rPr>
          <w:b/>
          <w:bCs/>
          <w:i/>
          <w:iCs/>
        </w:rPr>
        <w:t>References</w:t>
      </w:r>
    </w:p>
    <w:p w14:paraId="63437A22" w14:textId="77777777" w:rsidR="009F36C4" w:rsidRPr="009F36C4" w:rsidRDefault="009F36C4" w:rsidP="009F36C4">
      <w:pPr>
        <w:rPr>
          <w:b/>
          <w:bCs/>
          <w:i/>
          <w:iCs/>
        </w:rPr>
      </w:pPr>
      <w:r w:rsidRPr="009F36C4">
        <w:rPr>
          <w:b/>
          <w:bCs/>
          <w:i/>
          <w:iCs/>
        </w:rPr>
        <w:t xml:space="preserve">[1] D. Sulistyowati, F. Handayani, and Y. Suryanto, "Comparative Analysis and Design of Cybersecurity Maturity Assessment Methodology Using NIST CSF, COBIT, ISO/IEC 27002 and PCI DSS," JOIV: International Journal on Informatics Visualisation, vol. 4, no. 4, pp. 225–230, Dec. 2020. doi: 10.30630/joiv.4.4.482. </w:t>
      </w:r>
    </w:p>
    <w:p w14:paraId="2EB15E7E" w14:textId="77777777" w:rsidR="009F36C4" w:rsidRPr="009F36C4" w:rsidRDefault="009F36C4" w:rsidP="009F36C4">
      <w:pPr>
        <w:rPr>
          <w:b/>
          <w:bCs/>
          <w:i/>
          <w:iCs/>
        </w:rPr>
      </w:pPr>
      <w:r w:rsidRPr="009F36C4">
        <w:rPr>
          <w:b/>
          <w:bCs/>
          <w:i/>
          <w:iCs/>
        </w:rPr>
        <w:lastRenderedPageBreak/>
        <w:t>[2] F. Kitsios, E. Chatzidimitriou, and M. Kamariotou, "The ISO/IEC 27001 Information Security Management Standard: How to Extract Value from Data in the IT Sector," Sustainability, vol. 15, no. 7, p. 5828, Mar. 2023. doi: 10.3390/su15075828.</w:t>
      </w:r>
    </w:p>
    <w:p w14:paraId="6582D014" w14:textId="77777777" w:rsidR="009F36C4" w:rsidRDefault="009F36C4" w:rsidP="009F36C4">
      <w:pPr>
        <w:rPr>
          <w:b/>
          <w:bCs/>
          <w:i/>
          <w:iCs/>
        </w:rPr>
      </w:pPr>
      <w:r w:rsidRPr="009F36C4">
        <w:rPr>
          <w:b/>
          <w:bCs/>
          <w:i/>
          <w:iCs/>
        </w:rPr>
        <w:t>[3] M. Alshar'e, "Cyber Security Framework Selection: Comparison of NIST and ISO27001," Applied Computing Journal, vol. 3, no. 1, pp. 245–255, 2023. doi: 10.52098/acj.202364.</w:t>
      </w:r>
    </w:p>
    <w:p w14:paraId="77E1A15A" w14:textId="77777777" w:rsidR="009F36C4" w:rsidRPr="009F36C4" w:rsidRDefault="009F36C4" w:rsidP="009F36C4">
      <w:pPr>
        <w:rPr>
          <w:b/>
          <w:bCs/>
          <w:i/>
          <w:iCs/>
        </w:rPr>
      </w:pPr>
      <w:r w:rsidRPr="009F36C4">
        <w:rPr>
          <w:b/>
          <w:bCs/>
          <w:i/>
          <w:iCs/>
        </w:rPr>
        <w:t>[4] R. von Solms and J. van Niekerk, "From IT security to cyber security," Computers &amp; Security, vol. 38, pp. 97–102, Oct. 2013. doi: 10.1016/j.cose.2013.04.004.</w:t>
      </w:r>
    </w:p>
    <w:p w14:paraId="25F7F734" w14:textId="77777777" w:rsidR="009F36C4" w:rsidRPr="009F36C4" w:rsidRDefault="009F36C4" w:rsidP="009F36C4">
      <w:pPr>
        <w:rPr>
          <w:b/>
          <w:bCs/>
          <w:i/>
          <w:iCs/>
        </w:rPr>
      </w:pPr>
      <w:r w:rsidRPr="009F36C4">
        <w:rPr>
          <w:b/>
          <w:bCs/>
          <w:i/>
          <w:iCs/>
        </w:rPr>
        <w:t>[5] A. S. Ahsan, "Integrating COBIT 2019 and NIST CSF for Enterprise Governance of Information and Technology," International Journal of Computer Applications, vol. 174, no. 14, pp. 28–35, Jan. 2021. doi: 10.5120/ijca2021921045.</w:t>
      </w:r>
    </w:p>
    <w:p w14:paraId="34D342F5" w14:textId="77777777" w:rsidR="009F36C4" w:rsidRPr="009F36C4" w:rsidRDefault="009F36C4" w:rsidP="009F36C4">
      <w:pPr>
        <w:rPr>
          <w:b/>
          <w:bCs/>
          <w:i/>
          <w:iCs/>
        </w:rPr>
      </w:pPr>
      <w:r w:rsidRPr="009F36C4">
        <w:rPr>
          <w:b/>
          <w:bCs/>
          <w:i/>
          <w:iCs/>
        </w:rPr>
        <w:t>[6] M. Tariq and M. A. Khan, "Evaluating Third-Party Cloud Vendor Risks in Supply Chain Frameworks," IEEE Transactions on Engineering Management, vol. 69, no. 4, pp. 1102–1114, Aug. 2022. doi: 10.1109/TEM.2021.3052199.</w:t>
      </w:r>
    </w:p>
    <w:p w14:paraId="04C3E9F3" w14:textId="27BC8C45" w:rsidR="009F36C4" w:rsidRDefault="009F36C4" w:rsidP="009F36C4">
      <w:pPr>
        <w:rPr>
          <w:b/>
          <w:bCs/>
          <w:i/>
          <w:iCs/>
        </w:rPr>
      </w:pPr>
      <w:r w:rsidRPr="009F36C4">
        <w:rPr>
          <w:b/>
          <w:bCs/>
          <w:i/>
          <w:iCs/>
        </w:rPr>
        <w:t>[7] S. S. Alaba, M. Alenazi, and A. Al-Anazi, "IoT Security Vulnerabilities and Protective Mechanisms in Supply Chain Logistics: A Comprehensive Review," IEEE Access, vol. 11, pp. 45210–45228, May 2023. doi: 10.1109/ACCESS.2023.3271904.</w:t>
      </w:r>
    </w:p>
    <w:p w14:paraId="6BFD63C0" w14:textId="77777777" w:rsidR="00BF5C4C" w:rsidRPr="00BF5C4C" w:rsidRDefault="00BF5C4C" w:rsidP="00BF5C4C">
      <w:pPr>
        <w:rPr>
          <w:b/>
          <w:bCs/>
          <w:i/>
          <w:iCs/>
        </w:rPr>
      </w:pPr>
      <w:r w:rsidRPr="00BF5C4C">
        <w:rPr>
          <w:b/>
          <w:bCs/>
          <w:i/>
          <w:iCs/>
        </w:rPr>
        <w:t>[8] J. Kim, "Bridging the Gap Between East Asian Martial Arts Philosophy and Modern Cybersecurity Strategies," IEEE Technology and Society Magazine, vol. 42, no. 2, pp. 64–72, Jun. 2023. doi: 10.1109/MTS.2023.3278901.</w:t>
      </w:r>
    </w:p>
    <w:p w14:paraId="72E8A7BF" w14:textId="77777777" w:rsidR="00BF5C4C" w:rsidRPr="00BF5C4C" w:rsidRDefault="00BF5C4C" w:rsidP="00BF5C4C">
      <w:pPr>
        <w:rPr>
          <w:b/>
          <w:bCs/>
          <w:i/>
          <w:iCs/>
        </w:rPr>
      </w:pPr>
      <w:r w:rsidRPr="00BF5C4C">
        <w:rPr>
          <w:b/>
          <w:bCs/>
          <w:i/>
          <w:iCs/>
        </w:rPr>
        <w:t>[9] R. Miller and T. Clean, "The Kata of Cybersecurity: Instilling Organisational Muscle Memory Through Standardised Security Frameworks," in Proceedings of the 2024 IEEE International Conference on Cyber Security and Resilience (CSR), London, UK, 2024, pp. 112–118. doi: 10.1109/CSR61243.2024.105432.</w:t>
      </w:r>
    </w:p>
    <w:p w14:paraId="627832E9" w14:textId="77777777" w:rsidR="00BF5C4C" w:rsidRDefault="00BF5C4C" w:rsidP="00BF5C4C">
      <w:pPr>
        <w:rPr>
          <w:b/>
          <w:bCs/>
          <w:i/>
          <w:iCs/>
        </w:rPr>
      </w:pPr>
      <w:r w:rsidRPr="00BF5C4C">
        <w:rPr>
          <w:b/>
          <w:bCs/>
          <w:i/>
          <w:iCs/>
        </w:rPr>
        <w:t>[10] A. Huntington and S. V. Patel, "From Theory to Kumite: Optimising Incident Response Paradigms Through Continuous Red-Teaming and Live Adversary Simulation," IEEE Security &amp; Privacy, vol. 23, no. 1, pp. 45–53, Jan.-Feb. 2025. doi: 10.1109/MSEC.2024.341109.</w:t>
      </w:r>
    </w:p>
    <w:p w14:paraId="6731559C" w14:textId="4D3C63DC" w:rsidR="00D2611C" w:rsidRPr="00D2611C" w:rsidRDefault="00D2611C" w:rsidP="00D2611C">
      <w:pPr>
        <w:rPr>
          <w:b/>
          <w:bCs/>
          <w:i/>
          <w:iCs/>
        </w:rPr>
      </w:pPr>
      <w:r w:rsidRPr="00D2611C">
        <w:rPr>
          <w:b/>
          <w:bCs/>
          <w:i/>
          <w:iCs/>
        </w:rPr>
        <w:t xml:space="preserve">Alshar'e, M. (2025). A survey of security in zero trust network architectures. GSC Advanced Research and Reviews, 22(3), 145–155. </w:t>
      </w:r>
      <w:hyperlink r:id="rId9" w:tgtFrame="_blank" w:history="1">
        <w:r w:rsidRPr="00D2611C">
          <w:rPr>
            <w:rStyle w:val="Hyperlink"/>
            <w:b/>
            <w:bCs/>
            <w:i/>
            <w:iCs/>
          </w:rPr>
          <w:t>https://doi.org/10.30574/gscarr.2025.22.3.0036</w:t>
        </w:r>
      </w:hyperlink>
    </w:p>
    <w:p w14:paraId="6AAE27F2" w14:textId="77777777" w:rsidR="00D2611C" w:rsidRPr="00D2611C" w:rsidRDefault="00D2611C" w:rsidP="00D2611C">
      <w:pPr>
        <w:rPr>
          <w:b/>
          <w:bCs/>
          <w:i/>
          <w:iCs/>
        </w:rPr>
      </w:pPr>
      <w:r w:rsidRPr="00D2611C">
        <w:rPr>
          <w:b/>
          <w:bCs/>
          <w:i/>
          <w:iCs/>
        </w:rPr>
        <w:t>Cited by: 0</w:t>
      </w:r>
    </w:p>
    <w:p w14:paraId="363F6CCB" w14:textId="7446C789" w:rsidR="00D2611C" w:rsidRPr="00D2611C" w:rsidRDefault="00D2611C" w:rsidP="00D2611C">
      <w:pPr>
        <w:rPr>
          <w:b/>
          <w:bCs/>
          <w:i/>
          <w:iCs/>
        </w:rPr>
      </w:pPr>
      <w:r w:rsidRPr="00D2611C">
        <w:rPr>
          <w:b/>
          <w:bCs/>
          <w:i/>
          <w:iCs/>
        </w:rPr>
        <w:t xml:space="preserve">Kang, H., Liu, G., Wang, Q., Meng, L., &amp; Liu, J. (2023). Theory and application of zero trust security: A brief survey. Entropy, 25(12), 1595. </w:t>
      </w:r>
      <w:hyperlink r:id="rId10" w:tgtFrame="_blank" w:history="1">
        <w:r w:rsidRPr="00D2611C">
          <w:rPr>
            <w:rStyle w:val="Hyperlink"/>
            <w:b/>
            <w:bCs/>
            <w:i/>
            <w:iCs/>
          </w:rPr>
          <w:t>https://doi.org/10.3390/e25121595</w:t>
        </w:r>
      </w:hyperlink>
    </w:p>
    <w:p w14:paraId="3A3D8794" w14:textId="77777777" w:rsidR="00D2611C" w:rsidRPr="00D2611C" w:rsidRDefault="00D2611C" w:rsidP="00D2611C">
      <w:pPr>
        <w:rPr>
          <w:b/>
          <w:bCs/>
          <w:i/>
          <w:iCs/>
        </w:rPr>
      </w:pPr>
      <w:r w:rsidRPr="00D2611C">
        <w:rPr>
          <w:b/>
          <w:bCs/>
          <w:i/>
          <w:iCs/>
        </w:rPr>
        <w:lastRenderedPageBreak/>
        <w:t>Cited by: 217</w:t>
      </w:r>
    </w:p>
    <w:p w14:paraId="65871ED1" w14:textId="07460830" w:rsidR="00D2611C" w:rsidRPr="00D2611C" w:rsidRDefault="00D2611C" w:rsidP="00D2611C">
      <w:pPr>
        <w:rPr>
          <w:b/>
          <w:bCs/>
          <w:i/>
          <w:iCs/>
        </w:rPr>
      </w:pPr>
      <w:r w:rsidRPr="00D2611C">
        <w:rPr>
          <w:b/>
          <w:bCs/>
          <w:i/>
          <w:iCs/>
        </w:rPr>
        <w:t xml:space="preserve">Rose, S., Borchert, O., Mitchell, S., &amp; Connelly, S. (2020). Zero trust architecture (NIST Special Publication 800-207). National Institute of Standards and Technology. </w:t>
      </w:r>
      <w:hyperlink r:id="rId11" w:tgtFrame="_blank" w:history="1">
        <w:r w:rsidRPr="00D2611C">
          <w:rPr>
            <w:rStyle w:val="Hyperlink"/>
            <w:b/>
            <w:bCs/>
            <w:i/>
            <w:iCs/>
          </w:rPr>
          <w:t>https://doi.org/10.6028/nist.sp.800-207</w:t>
        </w:r>
      </w:hyperlink>
    </w:p>
    <w:p w14:paraId="0BB620E7" w14:textId="77777777" w:rsidR="00D2611C" w:rsidRPr="00D2611C" w:rsidRDefault="00D2611C" w:rsidP="00D2611C">
      <w:pPr>
        <w:rPr>
          <w:b/>
          <w:bCs/>
          <w:i/>
          <w:iCs/>
        </w:rPr>
      </w:pPr>
      <w:r w:rsidRPr="00D2611C">
        <w:rPr>
          <w:b/>
          <w:bCs/>
          <w:i/>
          <w:iCs/>
        </w:rPr>
        <w:t>Cited by: 2962</w:t>
      </w:r>
    </w:p>
    <w:p w14:paraId="651903C0" w14:textId="24DCDC57" w:rsidR="00D2611C" w:rsidRDefault="00D2611C" w:rsidP="00D2611C">
      <w:pPr>
        <w:rPr>
          <w:b/>
          <w:bCs/>
          <w:i/>
          <w:iCs/>
        </w:rPr>
      </w:pPr>
      <w:r w:rsidRPr="00D2611C">
        <w:rPr>
          <w:b/>
          <w:bCs/>
          <w:i/>
          <w:iCs/>
        </w:rPr>
        <w:t xml:space="preserve">TechRxiv. (2025). Zero-trust architecture in streaming dataflows. TechRxiv Preprint. </w:t>
      </w:r>
      <w:hyperlink r:id="rId12" w:tgtFrame="_blank" w:history="1">
        <w:r w:rsidRPr="00D2611C">
          <w:rPr>
            <w:rStyle w:val="Hyperlink"/>
            <w:b/>
            <w:bCs/>
            <w:i/>
            <w:iCs/>
          </w:rPr>
          <w:t>https://doi.org/10.36227/techrxiv.175303721.12297807</w:t>
        </w:r>
      </w:hyperlink>
    </w:p>
    <w:p w14:paraId="1757B0CC" w14:textId="77777777" w:rsidR="004206F2" w:rsidRPr="004206F2" w:rsidRDefault="004206F2" w:rsidP="004206F2">
      <w:pPr>
        <w:rPr>
          <w:b/>
          <w:bCs/>
          <w:i/>
          <w:iCs/>
        </w:rPr>
      </w:pPr>
      <w:r w:rsidRPr="004206F2">
        <w:rPr>
          <w:b/>
          <w:bCs/>
          <w:i/>
          <w:iCs/>
        </w:rPr>
        <w:t>[1] B. C. R., K. M. S., and S. K., "A proficient model for high end security in cloud computing," ICTACT Journal on Soft Computing, vol. 4, no. 4, pp. 697–702, Dec. 2014. doi: 10.21917/ijsc.2014.0100.</w:t>
      </w:r>
    </w:p>
    <w:p w14:paraId="1A262FE5" w14:textId="77777777" w:rsidR="004206F2" w:rsidRPr="004206F2" w:rsidRDefault="004206F2" w:rsidP="004206F2">
      <w:pPr>
        <w:rPr>
          <w:b/>
          <w:bCs/>
          <w:i/>
          <w:iCs/>
        </w:rPr>
      </w:pPr>
      <w:r w:rsidRPr="004206F2">
        <w:rPr>
          <w:b/>
          <w:bCs/>
          <w:i/>
          <w:iCs/>
        </w:rPr>
        <w:t>[2] A. Punia, P. Gulia, N. S. Gill, E. Ibeke, C. Iwendi, and P. K. Shukla, "A systematic review on blockchain-based access control systems in cloud environment," Journal of Cloud Computing, vol. 13, no. 1, pp. 1–25, Jan. 2024. doi: 10.1186/s13677-024-00697-7.</w:t>
      </w:r>
    </w:p>
    <w:p w14:paraId="460816FE" w14:textId="77777777" w:rsidR="004206F2" w:rsidRPr="004206F2" w:rsidRDefault="004206F2" w:rsidP="004206F2">
      <w:pPr>
        <w:rPr>
          <w:b/>
          <w:bCs/>
          <w:i/>
          <w:iCs/>
        </w:rPr>
      </w:pPr>
      <w:r w:rsidRPr="004206F2">
        <w:rPr>
          <w:b/>
          <w:bCs/>
          <w:i/>
          <w:iCs/>
        </w:rPr>
        <w:t>[3] Akeso, "Akeso: Bringing post-compromise security to cloud storage," Privacy Enhancing Technologies Symposium, vol. 2025, pp. 1–18, Jul. 2025.</w:t>
      </w:r>
    </w:p>
    <w:p w14:paraId="3F66EDF5" w14:textId="77777777" w:rsidR="004206F2" w:rsidRPr="004206F2" w:rsidRDefault="004206F2" w:rsidP="004206F2">
      <w:pPr>
        <w:rPr>
          <w:b/>
          <w:bCs/>
          <w:i/>
          <w:iCs/>
        </w:rPr>
      </w:pPr>
      <w:r w:rsidRPr="004206F2">
        <w:rPr>
          <w:b/>
          <w:bCs/>
          <w:i/>
          <w:iCs/>
        </w:rPr>
        <w:t>[4] Z. Ding et al., "A lightweight and secure communication protocol for the IoT environment," IEEE Transactions on Dependable and Secure Computing, vol. 21, no. 3, pp. 1050–1067, May-Jun. 2024. doi: 10.1109/TDSC.2023.3267979.</w:t>
      </w:r>
    </w:p>
    <w:p w14:paraId="6AC3A81E" w14:textId="77777777" w:rsidR="004206F2" w:rsidRPr="004206F2" w:rsidRDefault="004206F2" w:rsidP="004206F2">
      <w:pPr>
        <w:rPr>
          <w:b/>
          <w:bCs/>
          <w:i/>
          <w:iCs/>
        </w:rPr>
      </w:pPr>
      <w:r w:rsidRPr="004206F2">
        <w:rPr>
          <w:b/>
          <w:bCs/>
          <w:i/>
          <w:iCs/>
        </w:rPr>
        <w:t>[5] P. Gope and B. Sikdar, "Lightweight and privacy-friendly spatial data aggregation for secure power supply and demand management in smart grids," IEEE Transactions on Information Forensics and Security, vol. 14, no. 6, pp. 1554–1566, Jun. 2019. doi: 10.1109/TIFS.2018.2881730.</w:t>
      </w:r>
    </w:p>
    <w:p w14:paraId="6F15781D" w14:textId="77777777" w:rsidR="004206F2" w:rsidRPr="004206F2" w:rsidRDefault="004206F2" w:rsidP="004206F2">
      <w:pPr>
        <w:rPr>
          <w:b/>
          <w:bCs/>
          <w:i/>
          <w:iCs/>
        </w:rPr>
      </w:pPr>
      <w:r w:rsidRPr="004206F2">
        <w:rPr>
          <w:b/>
          <w:bCs/>
          <w:i/>
          <w:iCs/>
        </w:rPr>
        <w:t>[6] "Secure and Efficient Data Transmission in IoT: A Risc</w:t>
      </w:r>
      <w:r w:rsidRPr="004206F2">
        <w:rPr>
          <w:b/>
          <w:bCs/>
          <w:i/>
          <w:iCs/>
        </w:rPr>
        <w:noBreakHyphen/>
        <w:t>V Processor with AES</w:t>
      </w:r>
      <w:r w:rsidRPr="004206F2">
        <w:rPr>
          <w:b/>
          <w:bCs/>
          <w:i/>
          <w:iCs/>
        </w:rPr>
        <w:noBreakHyphen/>
        <w:t>GCM and ECC Accelerator," SciTePress, vol. 2026, pp. 377–384, Feb. 2026.</w:t>
      </w:r>
    </w:p>
    <w:p w14:paraId="5E125EFB" w14:textId="77777777" w:rsidR="002F154D" w:rsidRPr="004206F2" w:rsidRDefault="002F154D" w:rsidP="002F154D">
      <w:pPr>
        <w:rPr>
          <w:b/>
          <w:bCs/>
          <w:i/>
          <w:iCs/>
        </w:rPr>
      </w:pPr>
      <w:r w:rsidRPr="004206F2">
        <w:rPr>
          <w:b/>
          <w:bCs/>
          <w:i/>
          <w:iCs/>
        </w:rPr>
        <w:t>[1] H. Kang, G. Liu, Q. Wang, L. Meng, and J. Liu, "Theory and Application of Zero Trust Security: A Brief Survey," Entropy, vol. 25, no. 12, p. 1595, Dec. 2023. doi: 10.3390/e25121595.</w:t>
      </w:r>
    </w:p>
    <w:p w14:paraId="01D2B54E" w14:textId="77777777" w:rsidR="002F154D" w:rsidRPr="004206F2" w:rsidRDefault="002F154D" w:rsidP="002F154D">
      <w:pPr>
        <w:rPr>
          <w:b/>
          <w:bCs/>
          <w:i/>
          <w:iCs/>
        </w:rPr>
      </w:pPr>
      <w:r w:rsidRPr="004206F2">
        <w:rPr>
          <w:b/>
          <w:bCs/>
          <w:i/>
          <w:iCs/>
        </w:rPr>
        <w:t>[2] "Implementing Zero Trust Architecture to Enhance Security and Resilience in the Supply Chain," arXiv Preprint, arXiv:2508.15776, Aug. 2025.</w:t>
      </w:r>
    </w:p>
    <w:p w14:paraId="368602F7" w14:textId="77777777" w:rsidR="002F154D" w:rsidRPr="00277E9C" w:rsidRDefault="002F154D" w:rsidP="00277E9C"/>
    <w:p w14:paraId="67C3B5EB" w14:textId="77777777" w:rsidR="0020511E" w:rsidRPr="0035448B" w:rsidRDefault="0020511E" w:rsidP="0035448B"/>
    <w:p w14:paraId="1FFE301E" w14:textId="77777777" w:rsidR="0035448B" w:rsidRPr="00DA7990" w:rsidRDefault="0035448B" w:rsidP="00DA7990"/>
    <w:p w14:paraId="5D3DC52C" w14:textId="77777777" w:rsidR="00DA7990" w:rsidRDefault="00DA7990"/>
    <w:sectPr w:rsidR="00DA79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6400C"/>
    <w:multiLevelType w:val="multilevel"/>
    <w:tmpl w:val="B298E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7052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A79"/>
    <w:rsid w:val="00012EBD"/>
    <w:rsid w:val="000B6A9D"/>
    <w:rsid w:val="0020511E"/>
    <w:rsid w:val="00270B16"/>
    <w:rsid w:val="00277E9C"/>
    <w:rsid w:val="002F154D"/>
    <w:rsid w:val="00302EAA"/>
    <w:rsid w:val="0035448B"/>
    <w:rsid w:val="004206F2"/>
    <w:rsid w:val="00442ED1"/>
    <w:rsid w:val="004C783D"/>
    <w:rsid w:val="0051446F"/>
    <w:rsid w:val="00584FCA"/>
    <w:rsid w:val="005E02A0"/>
    <w:rsid w:val="005E1119"/>
    <w:rsid w:val="00600D2C"/>
    <w:rsid w:val="006246F6"/>
    <w:rsid w:val="006363F1"/>
    <w:rsid w:val="00683E4E"/>
    <w:rsid w:val="006E5FF7"/>
    <w:rsid w:val="006F62A2"/>
    <w:rsid w:val="00704B8C"/>
    <w:rsid w:val="00723F90"/>
    <w:rsid w:val="008A5CC6"/>
    <w:rsid w:val="008B2226"/>
    <w:rsid w:val="008B4DA9"/>
    <w:rsid w:val="008F70FA"/>
    <w:rsid w:val="0091237E"/>
    <w:rsid w:val="00915A9D"/>
    <w:rsid w:val="009F36C4"/>
    <w:rsid w:val="00A00B26"/>
    <w:rsid w:val="00A57A79"/>
    <w:rsid w:val="00A80A80"/>
    <w:rsid w:val="00A81D65"/>
    <w:rsid w:val="00AE332D"/>
    <w:rsid w:val="00BF5C4C"/>
    <w:rsid w:val="00C7483C"/>
    <w:rsid w:val="00CA1995"/>
    <w:rsid w:val="00D2611C"/>
    <w:rsid w:val="00D84241"/>
    <w:rsid w:val="00DA7990"/>
    <w:rsid w:val="00DE269B"/>
    <w:rsid w:val="00EC026F"/>
    <w:rsid w:val="00F45CF6"/>
    <w:rsid w:val="00FE2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6A825"/>
  <w15:chartTrackingRefBased/>
  <w15:docId w15:val="{CAACB619-6407-4710-B9D0-F3DCBB5F6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6F2"/>
  </w:style>
  <w:style w:type="paragraph" w:styleId="Heading1">
    <w:name w:val="heading 1"/>
    <w:basedOn w:val="Normal"/>
    <w:next w:val="Normal"/>
    <w:link w:val="Heading1Char"/>
    <w:uiPriority w:val="9"/>
    <w:qFormat/>
    <w:rsid w:val="00A57A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7A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7A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A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A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A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A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A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A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A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7A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7A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A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A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A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A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A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A79"/>
    <w:rPr>
      <w:rFonts w:eastAsiaTheme="majorEastAsia" w:cstheme="majorBidi"/>
      <w:color w:val="272727" w:themeColor="text1" w:themeTint="D8"/>
    </w:rPr>
  </w:style>
  <w:style w:type="paragraph" w:styleId="Title">
    <w:name w:val="Title"/>
    <w:basedOn w:val="Normal"/>
    <w:next w:val="Normal"/>
    <w:link w:val="TitleChar"/>
    <w:uiPriority w:val="10"/>
    <w:qFormat/>
    <w:rsid w:val="00A57A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A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A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A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A79"/>
    <w:pPr>
      <w:spacing w:before="160"/>
      <w:jc w:val="center"/>
    </w:pPr>
    <w:rPr>
      <w:i/>
      <w:iCs/>
      <w:color w:val="404040" w:themeColor="text1" w:themeTint="BF"/>
    </w:rPr>
  </w:style>
  <w:style w:type="character" w:customStyle="1" w:styleId="QuoteChar">
    <w:name w:val="Quote Char"/>
    <w:basedOn w:val="DefaultParagraphFont"/>
    <w:link w:val="Quote"/>
    <w:uiPriority w:val="29"/>
    <w:rsid w:val="00A57A79"/>
    <w:rPr>
      <w:i/>
      <w:iCs/>
      <w:color w:val="404040" w:themeColor="text1" w:themeTint="BF"/>
    </w:rPr>
  </w:style>
  <w:style w:type="paragraph" w:styleId="ListParagraph">
    <w:name w:val="List Paragraph"/>
    <w:basedOn w:val="Normal"/>
    <w:uiPriority w:val="34"/>
    <w:qFormat/>
    <w:rsid w:val="00A57A79"/>
    <w:pPr>
      <w:ind w:left="720"/>
      <w:contextualSpacing/>
    </w:pPr>
  </w:style>
  <w:style w:type="character" w:styleId="IntenseEmphasis">
    <w:name w:val="Intense Emphasis"/>
    <w:basedOn w:val="DefaultParagraphFont"/>
    <w:uiPriority w:val="21"/>
    <w:qFormat/>
    <w:rsid w:val="00A57A79"/>
    <w:rPr>
      <w:i/>
      <w:iCs/>
      <w:color w:val="0F4761" w:themeColor="accent1" w:themeShade="BF"/>
    </w:rPr>
  </w:style>
  <w:style w:type="paragraph" w:styleId="IntenseQuote">
    <w:name w:val="Intense Quote"/>
    <w:basedOn w:val="Normal"/>
    <w:next w:val="Normal"/>
    <w:link w:val="IntenseQuoteChar"/>
    <w:uiPriority w:val="30"/>
    <w:qFormat/>
    <w:rsid w:val="00A57A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A79"/>
    <w:rPr>
      <w:i/>
      <w:iCs/>
      <w:color w:val="0F4761" w:themeColor="accent1" w:themeShade="BF"/>
    </w:rPr>
  </w:style>
  <w:style w:type="character" w:styleId="IntenseReference">
    <w:name w:val="Intense Reference"/>
    <w:basedOn w:val="DefaultParagraphFont"/>
    <w:uiPriority w:val="32"/>
    <w:qFormat/>
    <w:rsid w:val="00A57A79"/>
    <w:rPr>
      <w:b/>
      <w:bCs/>
      <w:smallCaps/>
      <w:color w:val="0F4761" w:themeColor="accent1" w:themeShade="BF"/>
      <w:spacing w:val="5"/>
    </w:rPr>
  </w:style>
  <w:style w:type="character" w:styleId="Hyperlink">
    <w:name w:val="Hyperlink"/>
    <w:basedOn w:val="DefaultParagraphFont"/>
    <w:uiPriority w:val="99"/>
    <w:unhideWhenUsed/>
    <w:rsid w:val="0035448B"/>
    <w:rPr>
      <w:color w:val="467886" w:themeColor="hyperlink"/>
      <w:u w:val="single"/>
    </w:rPr>
  </w:style>
  <w:style w:type="character" w:styleId="UnresolvedMention">
    <w:name w:val="Unresolved Mention"/>
    <w:basedOn w:val="DefaultParagraphFont"/>
    <w:uiPriority w:val="99"/>
    <w:semiHidden/>
    <w:unhideWhenUsed/>
    <w:rsid w:val="003544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ogle.com/search?q=https://doi.org/10.36227/techrxiv.175303721.1229780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ogle.com/search?q=https://doi.org/10.6028/nist.sp.800-207" TargetMode="External"/><Relationship Id="rId5" Type="http://schemas.openxmlformats.org/officeDocument/2006/relationships/numbering" Target="numbering.xml"/><Relationship Id="rId10" Type="http://schemas.openxmlformats.org/officeDocument/2006/relationships/hyperlink" Target="https://www.google.com/search?q=https://doi.org/10.3390/e25121595" TargetMode="External"/><Relationship Id="rId4" Type="http://schemas.openxmlformats.org/officeDocument/2006/relationships/customXml" Target="../customXml/item4.xml"/><Relationship Id="rId9" Type="http://schemas.openxmlformats.org/officeDocument/2006/relationships/hyperlink" Target="https://www.google.com/search?q=https://doi.org/10.30574/gscarr.2025.22.3.003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9" ma:contentTypeDescription="Create a new document." ma:contentTypeScope="" ma:versionID="5574f3c0aeaf93f7bc9e998424f7be0e">
  <xsd:schema xmlns:xsd="http://www.w3.org/2001/XMLSchema" xmlns:xs="http://www.w3.org/2001/XMLSchema" xmlns:p="http://schemas.microsoft.com/office/2006/metadata/properties" xmlns:ns3="3a45fc47-eb9b-4e12-9db8-9c54afcdd495" targetNamespace="http://schemas.microsoft.com/office/2006/metadata/properties" ma:root="true" ma:fieldsID="55533c3ec2f647e9c4241ce579fe3651"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6F3721-3E9E-4982-959C-7ACDE12981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27D5A6-1B5B-4AF6-9804-279E26CA559B}">
  <ds:schemaRefs>
    <ds:schemaRef ds:uri="http://schemas.microsoft.com/sharepoint/v3/contenttype/forms"/>
  </ds:schemaRefs>
</ds:datastoreItem>
</file>

<file path=customXml/itemProps3.xml><?xml version="1.0" encoding="utf-8"?>
<ds:datastoreItem xmlns:ds="http://schemas.openxmlformats.org/officeDocument/2006/customXml" ds:itemID="{FDAACA88-8608-45FA-A2C7-28070080BCBA}">
  <ds:schemaRefs>
    <ds:schemaRef ds:uri="http://schemas.microsoft.com/office/2006/metadata/properties"/>
    <ds:schemaRef ds:uri="http://schemas.microsoft.com/office/infopath/2007/PartnerControls"/>
    <ds:schemaRef ds:uri="3a45fc47-eb9b-4e12-9db8-9c54afcdd495"/>
  </ds:schemaRefs>
</ds:datastoreItem>
</file>

<file path=customXml/itemProps4.xml><?xml version="1.0" encoding="utf-8"?>
<ds:datastoreItem xmlns:ds="http://schemas.openxmlformats.org/officeDocument/2006/customXml" ds:itemID="{160EEC62-7FCB-45D6-A2F2-983C393C2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3807</Words>
  <Characters>21702</Characters>
  <Application>Microsoft Office Word</Application>
  <DocSecurity>0</DocSecurity>
  <Lines>180</Lines>
  <Paragraphs>50</Paragraphs>
  <ScaleCrop>false</ScaleCrop>
  <Company/>
  <LinksUpToDate>false</LinksUpToDate>
  <CharactersWithSpaces>25459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Hrachya Yeghikyan (2526551)</dc:creator>
  <cp:keywords/>
  <dc:description/>
  <cp:lastModifiedBy>Hrachya Yeghikyan (2526551)</cp:lastModifiedBy>
  <cp:revision>2</cp:revision>
  <dcterms:created xsi:type="dcterms:W3CDTF">2026-07-14T09:42:00Z</dcterms:created>
  <dcterms:modified xsi:type="dcterms:W3CDTF">2026-07-14T09:42:00Z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