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99FBAA2">
      <w:pPr>
        <w:pStyle w:val="37"/>
        <w:spacing w:before="120" w:after="120"/>
        <w:jc w:val="center"/>
        <w:rPr>
          <w:rFonts w:cs="Arial"/>
        </w:rPr>
      </w:pPr>
    </w:p>
    <w:p w14:paraId="21FDE633">
      <w:pPr>
        <w:pStyle w:val="37"/>
        <w:spacing w:before="120" w:after="120"/>
        <w:jc w:val="center"/>
        <w:rPr>
          <w:rFonts w:cs="Arial"/>
        </w:rPr>
      </w:pPr>
    </w:p>
    <w:p w14:paraId="2F2C63CB">
      <w:pPr>
        <w:pBdr>
          <w:top w:val="single" w:color="auto" w:sz="4" w:space="1"/>
          <w:left w:val="single" w:color="auto" w:sz="4" w:space="4"/>
          <w:bottom w:val="single" w:color="auto" w:sz="4" w:space="1"/>
          <w:right w:val="single" w:color="auto" w:sz="4" w:space="4"/>
          <w:between w:val="single" w:color="auto" w:sz="4" w:space="1"/>
        </w:pBdr>
        <w:shd w:val="clear" w:color="auto" w:fill="D8D8D8" w:themeFill="background1" w:themeFillShade="D9"/>
        <w:spacing w:before="120" w:after="120"/>
        <w:jc w:val="center"/>
        <w:rPr>
          <w:rFonts w:cs="Arial"/>
          <w:b/>
          <w:sz w:val="32"/>
        </w:rPr>
      </w:pPr>
      <w:r>
        <w:rPr>
          <w:rFonts w:cs="Arial"/>
          <w:b/>
          <w:sz w:val="32"/>
        </w:rPr>
        <w:t>AI Declaration</w:t>
      </w:r>
    </w:p>
    <w:p w14:paraId="2458176F">
      <w:pPr>
        <w:jc w:val="both"/>
        <w:rPr>
          <w:rFonts w:cs="Arial"/>
        </w:rPr>
      </w:pPr>
      <w:r>
        <w:rPr>
          <w:rFonts w:cs="Arial"/>
        </w:rPr>
        <w:t>I certify this assignment is all my own work. I have not asked AI tools to generate, rewrite, paraphrase or edit any part of the content. This research, analysis and conclusion is my independent work and any sources used have been properly cited and referenced throughout this submission.</w:t>
      </w:r>
    </w:p>
    <w:p w14:paraId="2B8F15A4">
      <w:pPr>
        <w:pStyle w:val="37"/>
        <w:spacing w:before="120" w:after="120"/>
        <w:jc w:val="center"/>
        <w:rPr>
          <w:rFonts w:cs="Arial"/>
        </w:rPr>
      </w:pPr>
    </w:p>
    <w:p w14:paraId="4354C8CA">
      <w:pPr>
        <w:pStyle w:val="37"/>
        <w:spacing w:before="120" w:after="120"/>
        <w:jc w:val="both"/>
        <w:rPr>
          <w:rFonts w:cs="Arial"/>
        </w:rPr>
      </w:pPr>
    </w:p>
    <w:p w14:paraId="44264EC7">
      <w:pPr>
        <w:pStyle w:val="37"/>
        <w:spacing w:before="120" w:after="120"/>
        <w:jc w:val="center"/>
        <w:rPr>
          <w:rFonts w:cs="Arial"/>
        </w:rPr>
      </w:pPr>
    </w:p>
    <w:p w14:paraId="5AB5323C">
      <w:pPr>
        <w:pStyle w:val="37"/>
        <w:spacing w:before="120" w:after="120"/>
        <w:jc w:val="both"/>
        <w:rPr>
          <w:rFonts w:cs="Arial"/>
        </w:rPr>
      </w:pPr>
    </w:p>
    <w:p w14:paraId="048E50DA">
      <w:pPr>
        <w:pStyle w:val="37"/>
        <w:spacing w:before="120" w:after="120"/>
        <w:jc w:val="both"/>
        <w:rPr>
          <w:rFonts w:hint="default" w:cs="Arial"/>
          <w:lang w:val="en-US"/>
        </w:rPr>
      </w:pPr>
      <w:r>
        <w:rPr>
          <w:rFonts w:hint="default" w:cs="Arial"/>
          <w:lang w:val="en-US"/>
        </w:rPr>
        <w:t xml:space="preserve">                                   </w:t>
      </w:r>
    </w:p>
    <w:p w14:paraId="3D124B4A">
      <w:pPr>
        <w:pStyle w:val="37"/>
        <w:spacing w:before="120" w:after="120"/>
        <w:jc w:val="both"/>
        <w:rPr>
          <w:rFonts w:hint="default" w:cs="Arial"/>
          <w:lang w:val="en-US"/>
        </w:rPr>
      </w:pPr>
    </w:p>
    <w:p w14:paraId="02420971">
      <w:pPr>
        <w:pStyle w:val="37"/>
        <w:spacing w:before="120" w:after="120"/>
        <w:jc w:val="both"/>
        <w:rPr>
          <w:rFonts w:hint="default" w:cs="Arial"/>
          <w:lang w:val="en-US"/>
        </w:rPr>
      </w:pPr>
    </w:p>
    <w:p w14:paraId="415EBF89">
      <w:pPr>
        <w:pStyle w:val="37"/>
        <w:spacing w:before="120" w:after="120"/>
        <w:jc w:val="both"/>
        <w:rPr>
          <w:rFonts w:hint="default" w:cs="Arial"/>
          <w:lang w:val="en-US"/>
        </w:rPr>
      </w:pPr>
    </w:p>
    <w:p w14:paraId="2816488D">
      <w:pPr>
        <w:pStyle w:val="37"/>
        <w:spacing w:before="120" w:after="120"/>
        <w:jc w:val="both"/>
        <w:rPr>
          <w:rFonts w:hint="default" w:cs="Arial"/>
          <w:lang w:val="en-US"/>
        </w:rPr>
      </w:pPr>
    </w:p>
    <w:p w14:paraId="634B5B58">
      <w:pPr>
        <w:pStyle w:val="37"/>
        <w:spacing w:before="120" w:after="120"/>
        <w:jc w:val="both"/>
        <w:rPr>
          <w:rFonts w:hint="default" w:cs="Arial"/>
          <w:lang w:val="en-US"/>
        </w:rPr>
      </w:pPr>
    </w:p>
    <w:p w14:paraId="0782F23E">
      <w:pPr>
        <w:pStyle w:val="37"/>
        <w:spacing w:before="120" w:after="120"/>
        <w:jc w:val="both"/>
        <w:rPr>
          <w:rFonts w:hint="default" w:cs="Arial"/>
          <w:lang w:val="en-US"/>
        </w:rPr>
      </w:pPr>
    </w:p>
    <w:p w14:paraId="11E81A0D">
      <w:pPr>
        <w:pStyle w:val="37"/>
        <w:spacing w:before="120" w:after="120"/>
        <w:jc w:val="both"/>
        <w:rPr>
          <w:rFonts w:hint="default" w:cs="Arial"/>
          <w:lang w:val="en-US"/>
        </w:rPr>
      </w:pPr>
    </w:p>
    <w:p w14:paraId="718DA966">
      <w:pPr>
        <w:pStyle w:val="37"/>
        <w:spacing w:before="120" w:after="120"/>
        <w:jc w:val="both"/>
        <w:rPr>
          <w:rFonts w:hint="default" w:cs="Arial"/>
          <w:lang w:val="en-US"/>
        </w:rPr>
      </w:pPr>
    </w:p>
    <w:p w14:paraId="1CAC719F">
      <w:pPr>
        <w:pStyle w:val="37"/>
        <w:spacing w:before="120" w:after="120"/>
        <w:jc w:val="both"/>
        <w:rPr>
          <w:rFonts w:hint="default" w:cs="Arial"/>
          <w:lang w:val="en-US"/>
        </w:rPr>
      </w:pPr>
    </w:p>
    <w:p w14:paraId="41CE8467">
      <w:pPr>
        <w:pStyle w:val="37"/>
        <w:spacing w:before="120" w:after="120"/>
        <w:jc w:val="both"/>
        <w:rPr>
          <w:rFonts w:hint="default" w:cs="Arial"/>
          <w:lang w:val="en-US"/>
        </w:rPr>
      </w:pPr>
    </w:p>
    <w:p w14:paraId="70653825">
      <w:pPr>
        <w:pStyle w:val="37"/>
        <w:spacing w:before="120" w:after="120"/>
        <w:jc w:val="both"/>
        <w:rPr>
          <w:rFonts w:hint="default" w:cs="Arial"/>
          <w:lang w:val="en-US"/>
        </w:rPr>
      </w:pPr>
    </w:p>
    <w:p w14:paraId="72911F2E">
      <w:pPr>
        <w:pStyle w:val="37"/>
        <w:spacing w:before="120" w:after="120"/>
        <w:jc w:val="both"/>
        <w:rPr>
          <w:rFonts w:hint="default" w:cs="Arial"/>
          <w:lang w:val="en-US"/>
        </w:rPr>
      </w:pPr>
    </w:p>
    <w:p w14:paraId="2A8FCBB4">
      <w:pPr>
        <w:pStyle w:val="37"/>
        <w:spacing w:before="120" w:after="120"/>
        <w:jc w:val="both"/>
        <w:rPr>
          <w:rFonts w:hint="default" w:cs="Arial"/>
          <w:lang w:val="en-US"/>
        </w:rPr>
      </w:pPr>
    </w:p>
    <w:p w14:paraId="0C1D3B5D">
      <w:pPr>
        <w:pStyle w:val="37"/>
        <w:spacing w:before="120" w:after="120"/>
        <w:jc w:val="both"/>
        <w:rPr>
          <w:rFonts w:hint="default" w:cs="Arial"/>
          <w:lang w:val="en-US"/>
        </w:rPr>
      </w:pPr>
    </w:p>
    <w:p w14:paraId="613A5FCA">
      <w:pPr>
        <w:pStyle w:val="37"/>
        <w:spacing w:before="120" w:after="120"/>
        <w:jc w:val="both"/>
        <w:rPr>
          <w:rFonts w:hint="default" w:cs="Arial"/>
          <w:lang w:val="en-US"/>
        </w:rPr>
      </w:pPr>
    </w:p>
    <w:p w14:paraId="46BB1CE0">
      <w:pPr>
        <w:rPr>
          <w:rFonts w:hint="default"/>
          <w:lang w:val="en-US"/>
        </w:rPr>
      </w:pPr>
    </w:p>
    <w:p w14:paraId="14E6EC53">
      <w:pPr>
        <w:pStyle w:val="37"/>
        <w:spacing w:before="120" w:after="120"/>
        <w:jc w:val="both"/>
        <w:rPr>
          <w:rFonts w:hint="default" w:cs="Arial"/>
          <w:lang w:val="en-US"/>
        </w:rPr>
      </w:pPr>
    </w:p>
    <w:p w14:paraId="18F9416D">
      <w:pPr>
        <w:pStyle w:val="37"/>
        <w:spacing w:before="120" w:after="120"/>
        <w:jc w:val="both"/>
        <w:rPr>
          <w:rFonts w:cs="Arial"/>
        </w:rPr>
      </w:pPr>
      <w:r>
        <w:rPr>
          <w:rFonts w:hint="default" w:cs="Arial"/>
          <w:lang w:val="en-US"/>
        </w:rPr>
        <w:t xml:space="preserve">     </w:t>
      </w:r>
      <w:r>
        <w:rPr>
          <w:rFonts w:cs="Arial"/>
        </w:rPr>
        <w:drawing>
          <wp:inline distT="0" distB="0" distL="0" distR="0">
            <wp:extent cx="2019935" cy="666750"/>
            <wp:effectExtent l="0" t="0" r="0" b="0"/>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ifysgol Cymru Y Drindod Dewi Sant | University of Wales Trinity Saint  David - NPLD"/>
                    <pic:cNvPicPr>
                      <a:picLocks noChangeAspect="1" noChangeArrowheads="1"/>
                    </pic:cNvPicPr>
                  </pic:nvPicPr>
                  <pic:blipFill>
                    <a:blip r:embed="rId7">
                      <a:extLst>
                        <a:ext uri="{28A0092B-C50C-407E-A947-70E740481C1C}">
                          <a14:useLocalDpi xmlns:a14="http://schemas.microsoft.com/office/drawing/2010/main" val="0"/>
                        </a:ext>
                      </a:extLst>
                    </a:blip>
                    <a:srcRect t="15333" b="18666"/>
                    <a:stretch>
                      <a:fillRect/>
                    </a:stretch>
                  </pic:blipFill>
                  <pic:spPr>
                    <a:xfrm>
                      <a:off x="0" y="0"/>
                      <a:ext cx="2037510" cy="672378"/>
                    </a:xfrm>
                    <a:prstGeom prst="rect">
                      <a:avLst/>
                    </a:prstGeom>
                    <a:noFill/>
                    <a:ln>
                      <a:noFill/>
                    </a:ln>
                  </pic:spPr>
                </pic:pic>
              </a:graphicData>
            </a:graphic>
          </wp:inline>
        </w:drawing>
      </w:r>
    </w:p>
    <w:p w14:paraId="7C73A3A6">
      <w:pPr>
        <w:pStyle w:val="37"/>
        <w:pBdr>
          <w:top w:val="single" w:color="auto" w:sz="4" w:space="1"/>
          <w:left w:val="single" w:color="auto" w:sz="4" w:space="4"/>
          <w:bottom w:val="single" w:color="auto" w:sz="4" w:space="1"/>
          <w:right w:val="single" w:color="auto" w:sz="4" w:space="4"/>
        </w:pBdr>
        <w:shd w:val="clear" w:color="auto" w:fill="D8D8D8" w:themeFill="background1" w:themeFillShade="D9"/>
        <w:spacing w:before="120" w:after="120"/>
        <w:jc w:val="center"/>
        <w:rPr>
          <w:rFonts w:cs="Arial"/>
          <w:sz w:val="28"/>
        </w:rPr>
      </w:pPr>
      <w:r>
        <w:rPr>
          <w:rFonts w:cs="Arial"/>
          <w:sz w:val="28"/>
        </w:rPr>
        <w:t>Component 1 Portfolio</w:t>
      </w:r>
    </w:p>
    <w:p w14:paraId="3E703DB4">
      <w:pPr>
        <w:pStyle w:val="35"/>
        <w:pBdr>
          <w:top w:val="single" w:color="auto" w:sz="4" w:space="1"/>
          <w:left w:val="single" w:color="auto" w:sz="4" w:space="4"/>
          <w:bottom w:val="single" w:color="auto" w:sz="4" w:space="1"/>
          <w:right w:val="single" w:color="auto" w:sz="4" w:space="4"/>
        </w:pBdr>
        <w:shd w:val="clear" w:color="auto" w:fill="D8D8D8" w:themeFill="background1" w:themeFillShade="D9"/>
        <w:spacing w:before="120" w:after="120"/>
        <w:jc w:val="center"/>
        <w:rPr>
          <w:rFonts w:cs="Arial"/>
          <w:b/>
          <w:sz w:val="28"/>
        </w:rPr>
      </w:pPr>
      <w:r>
        <w:rPr>
          <w:rFonts w:cs="Arial"/>
          <w:b/>
          <w:sz w:val="28"/>
        </w:rPr>
        <w:t>Mini report and essay</w:t>
      </w:r>
    </w:p>
    <w:p w14:paraId="0E8C7B1F">
      <w:pPr>
        <w:pBdr>
          <w:top w:val="single" w:color="auto" w:sz="4" w:space="1"/>
          <w:left w:val="single" w:color="auto" w:sz="4" w:space="4"/>
          <w:bottom w:val="single" w:color="auto" w:sz="4" w:space="1"/>
          <w:right w:val="single" w:color="auto" w:sz="4" w:space="4"/>
        </w:pBdr>
        <w:shd w:val="clear" w:color="auto" w:fill="D8D8D8" w:themeFill="background1" w:themeFillShade="D9"/>
        <w:spacing w:before="120" w:after="120"/>
        <w:jc w:val="center"/>
        <w:rPr>
          <w:rFonts w:cs="Arial"/>
          <w:b/>
          <w:sz w:val="28"/>
        </w:rPr>
      </w:pPr>
      <w:r>
        <w:rPr>
          <w:rFonts w:cs="Arial"/>
          <w:b/>
          <w:sz w:val="28"/>
        </w:rPr>
        <w:t>Residential care home services and ambulance services</w:t>
      </w:r>
    </w:p>
    <w:p w14:paraId="1CB21D0F">
      <w:pPr>
        <w:spacing w:before="120" w:after="120"/>
        <w:jc w:val="both"/>
        <w:rPr>
          <w:rFonts w:cs="Arial"/>
          <w:b/>
          <w:sz w:val="28"/>
        </w:rPr>
      </w:pPr>
    </w:p>
    <w:p w14:paraId="16C30A74">
      <w:pPr>
        <w:spacing w:before="120" w:after="120"/>
        <w:jc w:val="both"/>
        <w:rPr>
          <w:rFonts w:hint="default" w:cs="Arial"/>
          <w:b w:val="0"/>
          <w:bCs/>
          <w:lang w:val="en-US"/>
        </w:rPr>
      </w:pPr>
      <w:r>
        <w:rPr>
          <w:rFonts w:cs="Arial"/>
          <w:b/>
        </w:rPr>
        <w:t xml:space="preserve">Student name: </w:t>
      </w:r>
      <w:r>
        <w:rPr>
          <w:rFonts w:hint="default" w:cs="Arial"/>
          <w:b/>
          <w:lang w:val="en-US"/>
        </w:rPr>
        <w:t xml:space="preserve"> </w:t>
      </w:r>
      <w:r>
        <w:rPr>
          <w:rFonts w:hint="default" w:cs="Arial"/>
          <w:b w:val="0"/>
          <w:bCs/>
          <w:lang w:val="en-US"/>
        </w:rPr>
        <w:t>Misbah Noreen</w:t>
      </w:r>
    </w:p>
    <w:p w14:paraId="16511E47">
      <w:pPr>
        <w:spacing w:before="120" w:after="120"/>
        <w:jc w:val="both"/>
        <w:rPr>
          <w:rFonts w:hint="default" w:cs="Arial"/>
          <w:lang w:val="en-US"/>
        </w:rPr>
      </w:pPr>
      <w:r>
        <w:rPr>
          <w:rFonts w:cs="Arial"/>
          <w:b/>
        </w:rPr>
        <w:t xml:space="preserve">Student number: </w:t>
      </w:r>
      <w:r>
        <w:rPr>
          <w:rFonts w:hint="default" w:cs="Arial"/>
          <w:b/>
          <w:lang w:val="en-US"/>
        </w:rPr>
        <w:t>2536763</w:t>
      </w:r>
    </w:p>
    <w:p w14:paraId="3F0E489F">
      <w:pPr>
        <w:spacing w:before="120" w:after="120"/>
        <w:jc w:val="both"/>
        <w:rPr>
          <w:rFonts w:cs="Arial"/>
        </w:rPr>
      </w:pPr>
      <w:r>
        <w:rPr>
          <w:rFonts w:cs="Arial"/>
          <w:b/>
        </w:rPr>
        <w:t xml:space="preserve">Programme: </w:t>
      </w:r>
      <w:r>
        <w:rPr>
          <w:rFonts w:cs="Arial"/>
        </w:rPr>
        <w:t>Certificate of Higher Education Skills for the Workplace (Health and Social Care)</w:t>
      </w:r>
    </w:p>
    <w:p w14:paraId="35936F8B">
      <w:pPr>
        <w:spacing w:before="120" w:after="120"/>
        <w:jc w:val="both"/>
        <w:rPr>
          <w:rFonts w:cs="Arial"/>
        </w:rPr>
      </w:pPr>
      <w:r>
        <w:rPr>
          <w:rFonts w:cs="Arial"/>
          <w:b/>
        </w:rPr>
        <w:t xml:space="preserve">Module code: </w:t>
      </w:r>
      <w:r>
        <w:rPr>
          <w:rFonts w:cs="Arial"/>
        </w:rPr>
        <w:t>LCHS4003</w:t>
      </w:r>
    </w:p>
    <w:p w14:paraId="2C6BACD2">
      <w:pPr>
        <w:spacing w:before="120" w:after="120"/>
        <w:jc w:val="both"/>
        <w:rPr>
          <w:rFonts w:cs="Arial"/>
        </w:rPr>
      </w:pPr>
      <w:r>
        <w:rPr>
          <w:rFonts w:cs="Arial"/>
          <w:b/>
        </w:rPr>
        <w:t xml:space="preserve">Module title: </w:t>
      </w:r>
      <w:r>
        <w:rPr>
          <w:rFonts w:cs="Arial"/>
        </w:rPr>
        <w:t>Introduction to Health and Social Care</w:t>
      </w:r>
    </w:p>
    <w:p w14:paraId="6A7665B6">
      <w:pPr>
        <w:spacing w:before="120" w:after="120"/>
        <w:jc w:val="both"/>
        <w:rPr>
          <w:rFonts w:hint="default" w:cs="Arial"/>
          <w:lang w:val="en-US"/>
        </w:rPr>
      </w:pPr>
      <w:r>
        <w:rPr>
          <w:rFonts w:cs="Arial"/>
          <w:b/>
        </w:rPr>
        <w:t xml:space="preserve">Lecturer: </w:t>
      </w:r>
      <w:r>
        <w:rPr>
          <w:rFonts w:hint="default" w:cs="Arial"/>
          <w:b/>
          <w:lang w:val="en-US"/>
        </w:rPr>
        <w:t xml:space="preserve"> Debra Odeh</w:t>
      </w:r>
    </w:p>
    <w:p w14:paraId="287A1999">
      <w:pPr>
        <w:spacing w:before="120" w:after="120"/>
        <w:jc w:val="both"/>
        <w:rPr>
          <w:rFonts w:hint="default" w:cs="Arial"/>
          <w:lang w:val="en-US"/>
        </w:rPr>
      </w:pPr>
      <w:r>
        <w:rPr>
          <w:rFonts w:cs="Arial"/>
          <w:b/>
        </w:rPr>
        <w:t xml:space="preserve">Assignment title: </w:t>
      </w:r>
      <w:r>
        <w:rPr>
          <w:rFonts w:cs="Arial"/>
        </w:rPr>
        <w:t xml:space="preserve">Component 1 Portfolio </w:t>
      </w:r>
      <w:r>
        <w:rPr>
          <w:rFonts w:hint="default" w:cs="Arial"/>
          <w:lang w:val="en-US"/>
        </w:rPr>
        <w:t>(</w:t>
      </w:r>
      <w:r>
        <w:rPr>
          <w:rFonts w:cs="Arial"/>
        </w:rPr>
        <w:t>Mini Report and Essay</w:t>
      </w:r>
      <w:r>
        <w:rPr>
          <w:rFonts w:hint="default" w:cs="Arial"/>
          <w:lang w:val="en-US"/>
        </w:rPr>
        <w:t>)</w:t>
      </w:r>
    </w:p>
    <w:p w14:paraId="09FA788D">
      <w:pPr>
        <w:spacing w:after="200" w:line="276" w:lineRule="auto"/>
        <w:rPr>
          <w:rFonts w:cs="Arial"/>
        </w:rPr>
      </w:pPr>
      <w:r>
        <w:rPr>
          <w:rFonts w:cs="Arial"/>
        </w:rPr>
        <w:br w:type="page"/>
      </w:r>
    </w:p>
    <w:p w14:paraId="5B5AC295"/>
    <w:p w14:paraId="25FBC63C">
      <w:pPr>
        <w:pStyle w:val="2"/>
      </w:pPr>
      <w:bookmarkStart w:id="0" w:name="_Toc242448643"/>
      <w:r>
        <w:t>Task 1: Report</w:t>
      </w:r>
      <w:bookmarkEnd w:id="0"/>
    </w:p>
    <w:p w14:paraId="23FA4FAA">
      <w:pPr>
        <w:pStyle w:val="2"/>
      </w:pPr>
      <w:bookmarkStart w:id="1" w:name="_Toc242448644"/>
      <w:r>
        <w:t>Addressing the shortage of residential care home services in Bicester North and Caversfield</w:t>
      </w:r>
      <w:bookmarkEnd w:id="1"/>
    </w:p>
    <w:p w14:paraId="3B1EE9B7">
      <w:pPr>
        <w:spacing w:before="120" w:after="120"/>
        <w:jc w:val="both"/>
        <w:rPr>
          <w:rFonts w:cs="Arial"/>
        </w:rPr>
      </w:pPr>
      <w:r>
        <w:rPr>
          <w:rFonts w:cs="Arial"/>
          <w:b/>
        </w:rPr>
        <w:t xml:space="preserve">To: </w:t>
      </w:r>
      <w:r>
        <w:rPr>
          <w:rFonts w:cs="Arial"/>
        </w:rPr>
        <w:t>Councillor Simon Lytton, Cherwell District Council</w:t>
      </w:r>
    </w:p>
    <w:p w14:paraId="0FA17AE1">
      <w:pPr>
        <w:spacing w:before="120" w:after="120"/>
        <w:jc w:val="both"/>
        <w:rPr>
          <w:rFonts w:cs="Arial"/>
        </w:rPr>
      </w:pPr>
      <w:r>
        <w:rPr>
          <w:rFonts w:cs="Arial"/>
          <w:b/>
        </w:rPr>
        <w:t xml:space="preserve">Address: </w:t>
      </w:r>
      <w:r>
        <w:rPr>
          <w:rFonts w:cs="Arial"/>
        </w:rPr>
        <w:t>C/O Democratic and Elections Team, 39 Castle Quay, Banbury, Oxon, OX16 5FD</w:t>
      </w:r>
    </w:p>
    <w:p w14:paraId="0B2D4321">
      <w:pPr>
        <w:spacing w:before="120" w:after="120"/>
        <w:jc w:val="both"/>
        <w:rPr>
          <w:rFonts w:cs="Arial"/>
        </w:rPr>
      </w:pPr>
      <w:r>
        <w:rPr>
          <w:rFonts w:cs="Arial"/>
          <w:b/>
        </w:rPr>
        <w:t xml:space="preserve">Ward: </w:t>
      </w:r>
      <w:r>
        <w:rPr>
          <w:rFonts w:cs="Arial"/>
        </w:rPr>
        <w:t>Bicester North and Caversfield (Cherwell District Council, 2026)</w:t>
      </w:r>
    </w:p>
    <w:p w14:paraId="3E88B289">
      <w:pPr>
        <w:spacing w:before="120" w:after="120"/>
        <w:jc w:val="both"/>
        <w:rPr>
          <w:rFonts w:hint="default" w:cs="Arial"/>
          <w:lang w:val="en-US"/>
        </w:rPr>
      </w:pPr>
      <w:r>
        <w:rPr>
          <w:rFonts w:cs="Arial"/>
          <w:b/>
        </w:rPr>
        <w:t xml:space="preserve">Prepared by: </w:t>
      </w:r>
      <w:r>
        <w:rPr>
          <w:rFonts w:cs="Arial"/>
        </w:rPr>
        <w:t>Misbah</w:t>
      </w:r>
      <w:r>
        <w:rPr>
          <w:rFonts w:hint="default" w:cs="Arial"/>
          <w:lang w:val="en-US"/>
        </w:rPr>
        <w:t xml:space="preserve"> Noreen</w:t>
      </w:r>
    </w:p>
    <w:p w14:paraId="03256164">
      <w:pPr>
        <w:spacing w:before="120" w:after="120"/>
        <w:jc w:val="both"/>
        <w:rPr>
          <w:rFonts w:cs="Arial"/>
        </w:rPr>
      </w:pPr>
      <w:r>
        <w:rPr>
          <w:rFonts w:cs="Arial"/>
          <w:b/>
        </w:rPr>
        <w:t xml:space="preserve">Date: </w:t>
      </w:r>
      <w:r>
        <w:rPr>
          <w:rFonts w:hint="default" w:cs="Arial"/>
          <w:b w:val="0"/>
          <w:bCs/>
          <w:lang w:val="en-US"/>
        </w:rPr>
        <w:t>17</w:t>
      </w:r>
      <w:bookmarkStart w:id="9" w:name="_GoBack"/>
      <w:bookmarkEnd w:id="9"/>
      <w:r>
        <w:rPr>
          <w:rFonts w:cs="Arial"/>
        </w:rPr>
        <w:t xml:space="preserve"> October 2026</w:t>
      </w:r>
    </w:p>
    <w:p w14:paraId="68BF37C0">
      <w:pPr>
        <w:pStyle w:val="3"/>
        <w:spacing w:before="120" w:after="120"/>
        <w:jc w:val="both"/>
        <w:rPr>
          <w:rFonts w:cs="Arial"/>
        </w:rPr>
      </w:pPr>
      <w:bookmarkStart w:id="2" w:name="_Toc242448645"/>
      <w:r>
        <w:rPr>
          <w:rFonts w:cs="Arial"/>
          <w:sz w:val="22"/>
        </w:rPr>
        <w:t>Introduction</w:t>
      </w:r>
      <w:bookmarkEnd w:id="2"/>
    </w:p>
    <w:p w14:paraId="60DF501E">
      <w:pPr>
        <w:spacing w:before="120" w:after="120"/>
        <w:jc w:val="both"/>
        <w:rPr>
          <w:rFonts w:cs="Arial"/>
        </w:rPr>
      </w:pPr>
      <w:r>
        <w:rPr>
          <w:rFonts w:cs="Arial"/>
        </w:rPr>
        <w:t>This report advises on the scenario of a shortage of residential care home services in Bicester North and Caversfield. Residential homes offer accommodation and personal care such as help with washing and dressing, help with medicines while nursing homes offer registered nursing care (NHS, 2026). Appropriate accommodation for residential needs where appropriate assessed needs cannot be met safely at home. Wellbeing, prevention and the sustainable care market are at the heart of the local authority's duties under the Care Act 2014 (Care Act 2014, ss. 1–5). The role of Oxfordshire County Council is to have adult social care responsibility and the planning and partnership working role of Cherwell. Councillor Lytton must consequently demand a more concerted response to boost the number of appropriate placements but not at the expense of residents' choice. Oxfordshire's published approach focusses on maintaining independence within communities and this includes appropriate residential care as part of a wider support system (Oxfordshire County Council, 2026).</w:t>
      </w:r>
    </w:p>
    <w:p w14:paraId="1644A437">
      <w:pPr>
        <w:pStyle w:val="3"/>
        <w:spacing w:before="120" w:after="120"/>
        <w:jc w:val="both"/>
        <w:rPr>
          <w:rFonts w:cs="Arial"/>
        </w:rPr>
      </w:pPr>
      <w:bookmarkStart w:id="3" w:name="_Toc242448646"/>
      <w:r>
        <w:rPr>
          <w:rFonts w:cs="Arial"/>
          <w:sz w:val="22"/>
        </w:rPr>
        <w:t>Impact on the community</w:t>
      </w:r>
      <w:bookmarkEnd w:id="3"/>
    </w:p>
    <w:p w14:paraId="42AA44FC">
      <w:pPr>
        <w:spacing w:before="120" w:after="120"/>
        <w:jc w:val="both"/>
        <w:rPr>
          <w:rFonts w:cs="Arial"/>
        </w:rPr>
      </w:pPr>
      <w:r>
        <w:rPr>
          <w:rFonts w:cs="Arial"/>
        </w:rPr>
        <w:t>A shortage would leave some adults without sufficient assistance with everyday activities, increasing the possibility of unmet needs and family exhaustion. The Care Quality Commission (2025, p. 178) finds gaps in access to care homes for people with complex needs nationally, which can be measured by the rate at which people from a care area access care homes in a different care area. In this context, long-distance placements may make it more challenging to visit and may fracture relationships. This is in contrast to the wellbeing principle, focusing on dignity, emotional wellbeing and personal relationships (Care Act 2014, s. 1). This effect would be particularly devastating for those who may need familiar individuals to provide them with reassurance and communication.</w:t>
      </w:r>
    </w:p>
    <w:p w14:paraId="3829C826">
      <w:pPr>
        <w:spacing w:before="120" w:after="120"/>
        <w:jc w:val="both"/>
        <w:rPr>
          <w:rFonts w:cs="Arial"/>
        </w:rPr>
      </w:pPr>
      <w:r>
        <w:rPr>
          <w:rFonts w:cs="Arial"/>
        </w:rPr>
        <w:t>Families who cannot pay extra fees may also be at a disadvantage as there are few affordable options available. There is a statutory guidance to provide affordable accommodation within the personal budget and to not charge for top-ups due to market failure (Department of Health and Social Care, 2025, para. 8.37 and Annex A, para. 12). It is not therefore acceptable that a shortage should be used as an excuse for commissioning failures to be transferred to families. Capacity is also reliant on staffing: there was a 4.4% vacancy rate in 2024-25 in England for residential care (Skills for Care, 2025, p. 6). While this is not an indicator of Bicester's position, it is an indicator of the limitations of relying on the number of physical beds as an indicator of provision.</w:t>
      </w:r>
    </w:p>
    <w:p w14:paraId="14616B7A">
      <w:pPr>
        <w:pStyle w:val="3"/>
        <w:spacing w:before="120" w:after="120"/>
        <w:jc w:val="both"/>
        <w:rPr>
          <w:rFonts w:cs="Arial"/>
        </w:rPr>
      </w:pPr>
      <w:bookmarkStart w:id="4" w:name="_Toc242448647"/>
      <w:r>
        <w:rPr>
          <w:rFonts w:cs="Arial"/>
          <w:sz w:val="22"/>
        </w:rPr>
        <w:t>Recommendations</w:t>
      </w:r>
      <w:bookmarkEnd w:id="4"/>
    </w:p>
    <w:p w14:paraId="68096712">
      <w:pPr>
        <w:spacing w:before="120" w:after="120"/>
        <w:jc w:val="both"/>
        <w:rPr>
          <w:rFonts w:cs="Arial"/>
        </w:rPr>
      </w:pPr>
      <w:r>
        <w:rPr>
          <w:rFonts w:cs="Arial"/>
        </w:rPr>
        <w:t>Councillor Lytton should ask for a joint county/district review of staffed vacancies, length of waiting list for placements, affordability and placements outside Bicester within three months. Residents, carers and providers can contribute to identifying unmet needs. This would align with the Care Act 2014, s. 5's market shaping role and determine the primary restriction (premises, fees, staffing or specialist support). 5).</w:t>
      </w:r>
    </w:p>
    <w:p w14:paraId="24D51E0E">
      <w:pPr>
        <w:spacing w:before="120" w:after="120"/>
        <w:jc w:val="both"/>
        <w:rPr>
          <w:rFonts w:cs="Arial"/>
        </w:rPr>
      </w:pPr>
      <w:r>
        <w:rPr>
          <w:rFonts w:cs="Arial"/>
        </w:rPr>
        <w:t>Where possible the county council should then arrange for further appropriate placements, through existing providers, with clear fees and staffing needed. Training should incorporate dementia communication and personalised activities as per NICE guidance (National Institute for Health and Care Excellence, 2018). Where there is evidence of a longer-term difference, Cherwell should consider development proposals appropriate to the planning process. Expansion should be planned according to the needs and manpower availability, and measures to minimize the risk of commissioning capacity that cannot be operated safely should be put in place and costed.</w:t>
      </w:r>
    </w:p>
    <w:p w14:paraId="0F776007">
      <w:pPr>
        <w:spacing w:before="120" w:after="120"/>
        <w:jc w:val="both"/>
        <w:rPr>
          <w:rFonts w:cs="Arial"/>
        </w:rPr>
      </w:pPr>
      <w:r>
        <w:rPr>
          <w:rFonts w:cs="Arial"/>
        </w:rPr>
        <w:t>At the same time, and as part of needs and carers' assessments, urgent risks should be identified and where the conditions of section 18 of the Care Act 2014 apply, eligible needs should be met. 9, 10 and 18). Regular respite stays of a few days in a residential facility, with the right kind of support provided at home, would prevent crises, in line with section 2. Waiting times, residents' wellbeing, complaints and distance from family should all be measured in quarterly reviews and improvement should be in the form of suitable care, not more beds. It would assist the councillor in challenging any delays and determining if investment has a positive impact on outcomes at a local level.</w:t>
      </w:r>
    </w:p>
    <w:p w14:paraId="44E88644">
      <w:pPr>
        <w:pStyle w:val="3"/>
        <w:spacing w:before="120" w:after="120"/>
        <w:jc w:val="both"/>
        <w:rPr>
          <w:rFonts w:cs="Arial"/>
        </w:rPr>
      </w:pPr>
      <w:bookmarkStart w:id="5" w:name="_Toc242448648"/>
      <w:r>
        <w:rPr>
          <w:rFonts w:cs="Arial"/>
          <w:sz w:val="22"/>
        </w:rPr>
        <w:t>Conclusion</w:t>
      </w:r>
      <w:bookmarkEnd w:id="5"/>
    </w:p>
    <w:p w14:paraId="6C8C8895">
      <w:pPr>
        <w:spacing w:before="120" w:after="120"/>
        <w:jc w:val="both"/>
        <w:rPr>
          <w:rFonts w:cs="Arial"/>
        </w:rPr>
      </w:pPr>
      <w:r>
        <w:rPr>
          <w:rFonts w:cs="Arial"/>
        </w:rPr>
        <w:t>In conclusion, the assumed shortage calls for a response that is focused on people's assessed needs, relationships and choices. The Care Act 2014 offers the basis for action in the wellbeing, prevention, assessment and market-shaping duties. Councillor Lytton should advocate for a costed partnership plan between Oxfordshire County Council and appropriate residential capacity and prevention and workforce development. Timely, affordable placements and residents' quality of life should be used to measure progress. This would solve the immediate risk issues, and support sustainable provision for Bicester North community.</w:t>
      </w:r>
    </w:p>
    <w:p w14:paraId="276BDD90">
      <w:pPr>
        <w:spacing w:before="120" w:after="120"/>
      </w:pPr>
      <w:r>
        <w:br w:type="page"/>
      </w:r>
    </w:p>
    <w:p w14:paraId="63278F1F">
      <w:pPr>
        <w:pStyle w:val="2"/>
      </w:pPr>
      <w:bookmarkStart w:id="6" w:name="_Toc242448649"/>
      <w:r>
        <w:t>Task 2: Essay</w:t>
      </w:r>
      <w:bookmarkEnd w:id="6"/>
    </w:p>
    <w:p w14:paraId="0DB17B62">
      <w:pPr>
        <w:pStyle w:val="2"/>
      </w:pPr>
      <w:bookmarkStart w:id="7" w:name="_Toc242448650"/>
      <w:r>
        <w:t>The development operation and significance of ambulance services</w:t>
      </w:r>
      <w:bookmarkEnd w:id="7"/>
    </w:p>
    <w:p w14:paraId="36C72A55">
      <w:pPr>
        <w:spacing w:before="120" w:after="120"/>
        <w:jc w:val="both"/>
        <w:rPr>
          <w:rFonts w:cs="Arial"/>
        </w:rPr>
      </w:pPr>
      <w:r>
        <w:rPr>
          <w:rFonts w:cs="Arial"/>
        </w:rPr>
        <w:t>Ambulance services provide emergency assessment, treatment and transport, connecting people in the community with urgent healthcare. The NHS deems 999 to be the way to call for life-threatening incidents such as strokes, heart attacks and serious accidents (NHS, 2023). South Central Ambulance Service provide a 999 and NHS 111 service in Oxfordshire, including Bicester (South Central Ambulance Service, 2026b). Not only do they play an important role in reaching hospital, but the right kind of early care can save lives, independence and confidence. This essay will cover the history of the service, how it operates today and its impact on quality of life. It suggests that it has become more valuable in the context of clinical achievements and that its value depends on timely access and the capacity of the broader health system.</w:t>
      </w:r>
    </w:p>
    <w:p w14:paraId="59CDCD97">
      <w:pPr>
        <w:spacing w:before="120" w:after="120"/>
        <w:jc w:val="both"/>
        <w:rPr>
          <w:rFonts w:cs="Arial"/>
        </w:rPr>
      </w:pPr>
      <w:r>
        <w:rPr>
          <w:rFonts w:cs="Arial"/>
        </w:rPr>
        <w:t>British ambulance provision developed from local transport arrangements into organised emergency care. The development of London's history demonstrates this: early wheeled stretchers and horse-drawn vehicles gave way to petrol ambulances and the provision of civil defence was made during the war. National Health Service Act 1946 was passed, laying down an obligation to provide ambulances if required. The services were later moved from Council to NHS care in the 1970s. Later decades saw an increase in clinical capability through defibrillators, computerised control rooms and university paramedic training (London Ambulance Service NHS Trust, 2026). Such advances were important as transport was integrated into a package of clinical care, and professional education expanded the potential for pre-hospital care.</w:t>
      </w:r>
    </w:p>
    <w:p w14:paraId="3C0FFA25">
      <w:pPr>
        <w:spacing w:before="120" w:after="120"/>
        <w:jc w:val="both"/>
        <w:rPr>
          <w:rFonts w:cs="Arial"/>
        </w:rPr>
      </w:pPr>
      <w:r>
        <w:rPr>
          <w:rFonts w:cs="Arial"/>
        </w:rPr>
        <w:t>Today call handlers determine the patient's location, level of consciousness and breathing, and then obtain more information and request the necessary assistance. Additionally, South Central Ambulance Service provide information about Relay UK and British Sign Language access to those with hearing or speech difficulties (South Central Ambulance Service, 2026a). Clinical need is prioritised for calls. Resolution might include paramedics or community first responders and the caller may receive first-aid instructions. An ambulance is not automatically called; some are advised to attend another service or drive themselves to safety (NHS, 2023). This makes assessment and referral central functions alongside emergency transport.</w:t>
      </w:r>
    </w:p>
    <w:p w14:paraId="4C43A2FD">
      <w:pPr>
        <w:spacing w:before="120" w:after="120"/>
        <w:jc w:val="both"/>
        <w:rPr>
          <w:rFonts w:cs="Arial"/>
        </w:rPr>
      </w:pPr>
      <w:r>
        <w:rPr>
          <w:rFonts w:cs="Arial"/>
        </w:rPr>
        <w:t>A major strength is access to clinical help during sudden illness, when people may be unable to arrange transport or assess their symptoms. Outside hospital, a validated screening tool (such as FAST) should be used and suspected stroke patients should be directly admitted to specialist acute stroke unit after initial assessment (National Institute for Health and Care Excellence, 2019, recommendations 1.1.1 and 1.3.1). So, an effective ambulance pathway links up recognition with specialist care. This helps service users to maintain their daily functioning and advice and reassurance can help to alleviate distress in an emergency situation.</w:t>
      </w:r>
    </w:p>
    <w:p w14:paraId="4156D30A">
      <w:pPr>
        <w:spacing w:before="120" w:after="120"/>
        <w:jc w:val="both"/>
        <w:rPr>
          <w:rFonts w:cs="Arial"/>
        </w:rPr>
      </w:pPr>
      <w:r>
        <w:rPr>
          <w:rFonts w:cs="Arial"/>
        </w:rPr>
        <w:t>However, clinical capability cannot compensate fully for delays. The national average ambulance handover time was 34:57 in 2024/25. Delays in handover lead to patient risk and limit crews for future incidents (Care Quality Commission, 2025, p. 88). If hospital capacity is still limited, however, increasing the number of vehicles would have a limited impact. Locally, South Central Ambulance Service (2026) indicated that on 22nd September 2026 they were seeing considerable pressure throughout the Thames Valley, with longer delay times for less immediately life-threatening conditions (ILLTC). This is an example of pressure on one date that does not indicate permanent local failure.</w:t>
      </w:r>
    </w:p>
    <w:p w14:paraId="31B7DBB1">
      <w:pPr>
        <w:spacing w:before="120" w:after="120"/>
        <w:jc w:val="both"/>
        <w:rPr>
          <w:rFonts w:cs="Arial"/>
        </w:rPr>
      </w:pPr>
      <w:r>
        <w:rPr>
          <w:rFonts w:cs="Arial"/>
        </w:rPr>
        <w:t>Clinical prioritisation helps prioritise limited resources but extended waiting times continue to cause uncertainty for patients and carers. Alternate referrals can free up emergency rooms if the assessment is correct and other services are available. So, performance needs to be assessed on safety, patient experience and outcomes in addition to speed.</w:t>
      </w:r>
    </w:p>
    <w:p w14:paraId="26B42E7E">
      <w:pPr>
        <w:spacing w:before="120" w:after="120"/>
        <w:jc w:val="both"/>
        <w:rPr>
          <w:rFonts w:cs="Arial"/>
        </w:rPr>
      </w:pPr>
      <w:r>
        <w:rPr>
          <w:rFonts w:cs="Arial"/>
        </w:rPr>
        <w:t>Today, the ambulance services have become an integral part of emergency health services thanks to public organisation, technological developments and professional education. They facilitate quality of life by facilitating early evaluation and the provision of adequate treatment and specialist care. However, handovers can be delayed and demand pressures can adversely impact the benefits and impact subsequent callers. There needs to be coordination between ambulance trusts, hospitals and community services, with clear communication and readily-available alternatives to support long-term improvements that can be sustained. The performance of the service should be assessed in terms of the benefits provided to patients timely, safe delivery of services and positive outcomes, not by the number of trips made.</w:t>
      </w:r>
    </w:p>
    <w:p w14:paraId="7B22649A">
      <w:pPr>
        <w:spacing w:before="120" w:after="120"/>
        <w:jc w:val="both"/>
        <w:rPr>
          <w:rFonts w:cs="Arial"/>
        </w:rPr>
      </w:pPr>
      <w:r>
        <w:rPr>
          <w:rFonts w:cs="Arial"/>
        </w:rPr>
        <w:br w:type="page"/>
      </w:r>
    </w:p>
    <w:p w14:paraId="75EF373F">
      <w:pPr>
        <w:pStyle w:val="2"/>
      </w:pPr>
      <w:bookmarkStart w:id="8" w:name="_Toc242448655"/>
      <w:r>
        <w:t>Reference list</w:t>
      </w:r>
      <w:bookmarkEnd w:id="8"/>
    </w:p>
    <w:p w14:paraId="76C9B7CE">
      <w:pPr>
        <w:keepLines/>
        <w:spacing w:before="120" w:after="120"/>
        <w:ind w:left="317" w:hanging="317"/>
        <w:jc w:val="both"/>
        <w:rPr>
          <w:rFonts w:cs="Arial"/>
        </w:rPr>
      </w:pPr>
      <w:r>
        <w:rPr>
          <w:rFonts w:cs="Arial"/>
          <w:i/>
        </w:rPr>
        <w:t>Care Act 2014, c. 23.</w:t>
      </w:r>
      <w:r>
        <w:rPr>
          <w:rFonts w:cs="Arial"/>
        </w:rPr>
        <w:t xml:space="preserve"> Available at: </w:t>
      </w:r>
      <w:r>
        <w:rPr>
          <w:rFonts w:cs="Arial"/>
          <w:color w:val="0000FF"/>
        </w:rPr>
        <w:t>https://www.legislation.gov.uk/ukpga/2014/23/contents</w:t>
      </w:r>
      <w:r>
        <w:rPr>
          <w:rFonts w:cs="Arial"/>
        </w:rPr>
        <w:t xml:space="preserve"> (Accessed: 9 October 2026).</w:t>
      </w:r>
    </w:p>
    <w:p w14:paraId="2E83C6F7">
      <w:pPr>
        <w:keepLines/>
        <w:spacing w:before="120" w:after="120"/>
        <w:ind w:left="317" w:hanging="317"/>
        <w:jc w:val="both"/>
        <w:rPr>
          <w:rFonts w:cs="Arial"/>
        </w:rPr>
      </w:pPr>
      <w:r>
        <w:rPr>
          <w:rFonts w:cs="Arial"/>
        </w:rPr>
        <w:t xml:space="preserve">Care Quality Commission (2025) </w:t>
      </w:r>
      <w:r>
        <w:rPr>
          <w:rFonts w:cs="Arial"/>
          <w:i/>
        </w:rPr>
        <w:t>The state of health care and adult social care in England 2024/25.</w:t>
      </w:r>
      <w:r>
        <w:rPr>
          <w:rFonts w:cs="Arial"/>
        </w:rPr>
        <w:t xml:space="preserve"> Available at: </w:t>
      </w:r>
      <w:r>
        <w:rPr>
          <w:rFonts w:cs="Arial"/>
          <w:color w:val="0000FF"/>
        </w:rPr>
        <w:t xml:space="preserve">https://assets.publishing.service.gov.uk/media/68fa3b4fe200d653d8b63735/care-quality-commission-state-of-health-care-and-adult-social-care-England-2024-2025.pdf </w:t>
      </w:r>
      <w:r>
        <w:rPr>
          <w:rFonts w:cs="Arial"/>
        </w:rPr>
        <w:t>(Accessed: 9 October 2026).</w:t>
      </w:r>
    </w:p>
    <w:p w14:paraId="01F331A9">
      <w:pPr>
        <w:keepLines/>
        <w:spacing w:before="120" w:after="120"/>
        <w:ind w:left="317" w:hanging="317"/>
        <w:jc w:val="both"/>
        <w:rPr>
          <w:rFonts w:cs="Arial"/>
        </w:rPr>
      </w:pPr>
      <w:r>
        <w:rPr>
          <w:rFonts w:cs="Arial"/>
        </w:rPr>
        <w:t xml:space="preserve">Cherwell District Council (2026) </w:t>
      </w:r>
      <w:r>
        <w:rPr>
          <w:rFonts w:cs="Arial"/>
          <w:i/>
        </w:rPr>
        <w:t>Councillor details – Councillor Simon Lytton.</w:t>
      </w:r>
      <w:r>
        <w:rPr>
          <w:rFonts w:cs="Arial"/>
        </w:rPr>
        <w:t xml:space="preserve"> Available at: </w:t>
      </w:r>
      <w:r>
        <w:rPr>
          <w:rFonts w:cs="Arial"/>
          <w:color w:val="0000FF"/>
        </w:rPr>
        <w:t xml:space="preserve">https://modgov.cherwell.gov.uk/mgUserInfo.aspx?UID=4834 </w:t>
      </w:r>
      <w:r>
        <w:rPr>
          <w:rFonts w:cs="Arial"/>
        </w:rPr>
        <w:t>(Accessed: 9 October 2026).</w:t>
      </w:r>
    </w:p>
    <w:p w14:paraId="1E82931E">
      <w:pPr>
        <w:keepLines/>
        <w:spacing w:before="120" w:after="120"/>
        <w:ind w:left="317" w:hanging="317"/>
        <w:jc w:val="both"/>
        <w:rPr>
          <w:rFonts w:cs="Arial"/>
        </w:rPr>
      </w:pPr>
      <w:r>
        <w:rPr>
          <w:rFonts w:cs="Arial"/>
        </w:rPr>
        <w:t xml:space="preserve">Department of Health and Social Care (2025) </w:t>
      </w:r>
      <w:r>
        <w:rPr>
          <w:rFonts w:cs="Arial"/>
          <w:i/>
        </w:rPr>
        <w:t>Care and support statutory guidance.</w:t>
      </w:r>
      <w:r>
        <w:rPr>
          <w:rFonts w:cs="Arial"/>
        </w:rPr>
        <w:t xml:space="preserve"> Available at: </w:t>
      </w:r>
      <w:r>
        <w:rPr>
          <w:rFonts w:cs="Arial"/>
          <w:color w:val="0000FF"/>
        </w:rPr>
        <w:t xml:space="preserve">https://www.gov.uk/government/publications/care-act-statutory-guidance/care-and-support-statutory-guidance </w:t>
      </w:r>
      <w:r>
        <w:rPr>
          <w:rFonts w:cs="Arial"/>
        </w:rPr>
        <w:t>(Accessed: 9 October 2026).</w:t>
      </w:r>
    </w:p>
    <w:p w14:paraId="6D569A51">
      <w:pPr>
        <w:keepLines/>
        <w:spacing w:before="120" w:after="120"/>
        <w:ind w:left="317" w:hanging="317"/>
        <w:jc w:val="both"/>
        <w:rPr>
          <w:rFonts w:cs="Arial"/>
        </w:rPr>
      </w:pPr>
      <w:r>
        <w:rPr>
          <w:rFonts w:cs="Arial"/>
        </w:rPr>
        <w:t xml:space="preserve">London Ambulance Service NHS Trust (2026) </w:t>
      </w:r>
      <w:r>
        <w:rPr>
          <w:rFonts w:cs="Arial"/>
          <w:i/>
        </w:rPr>
        <w:t>Our history – a timeline.</w:t>
      </w:r>
      <w:r>
        <w:rPr>
          <w:rFonts w:cs="Arial"/>
        </w:rPr>
        <w:t xml:space="preserve"> Available at: </w:t>
      </w:r>
      <w:r>
        <w:rPr>
          <w:rFonts w:cs="Arial"/>
          <w:color w:val="0000FF"/>
        </w:rPr>
        <w:t xml:space="preserve">https://www.londonambulance.nhs.uk/about-us/our-history/our-history-a-timeline/ </w:t>
      </w:r>
      <w:r>
        <w:rPr>
          <w:rFonts w:cs="Arial"/>
        </w:rPr>
        <w:t>(Accessed: 9 October 2026).</w:t>
      </w:r>
    </w:p>
    <w:p w14:paraId="5E141CA2">
      <w:pPr>
        <w:keepLines/>
        <w:spacing w:before="120" w:after="120"/>
        <w:ind w:left="317" w:hanging="317"/>
        <w:jc w:val="both"/>
        <w:rPr>
          <w:rFonts w:cs="Arial"/>
        </w:rPr>
      </w:pPr>
      <w:r>
        <w:rPr>
          <w:rFonts w:cs="Arial"/>
        </w:rPr>
        <w:t xml:space="preserve">National Institute for Health and Care Excellence (2018) </w:t>
      </w:r>
      <w:r>
        <w:rPr>
          <w:rFonts w:cs="Arial"/>
          <w:i/>
        </w:rPr>
        <w:t>Dementia: assessment, management and support for people living with dementia and their carers. NG97.</w:t>
      </w:r>
      <w:r>
        <w:rPr>
          <w:rFonts w:cs="Arial"/>
        </w:rPr>
        <w:t xml:space="preserve"> Available at: </w:t>
      </w:r>
      <w:r>
        <w:rPr>
          <w:rFonts w:cs="Arial"/>
          <w:color w:val="0000FF"/>
        </w:rPr>
        <w:t xml:space="preserve">https://www.nice.org.uk/guidance/ng97 </w:t>
      </w:r>
      <w:r>
        <w:rPr>
          <w:rFonts w:cs="Arial"/>
        </w:rPr>
        <w:t>(Accessed: 9 October 2026).</w:t>
      </w:r>
    </w:p>
    <w:p w14:paraId="454FE052">
      <w:pPr>
        <w:keepLines/>
        <w:spacing w:before="120" w:after="120"/>
        <w:ind w:left="317" w:hanging="317"/>
        <w:jc w:val="both"/>
        <w:rPr>
          <w:rFonts w:cs="Arial"/>
        </w:rPr>
      </w:pPr>
      <w:r>
        <w:rPr>
          <w:rFonts w:cs="Arial"/>
        </w:rPr>
        <w:t xml:space="preserve">National Institute for Health and Care Excellence (2019) </w:t>
      </w:r>
      <w:r>
        <w:rPr>
          <w:rFonts w:cs="Arial"/>
          <w:i/>
        </w:rPr>
        <w:t>Stroke and transient ischaemic attack in over 16s: diagnosis and initial management. NG128.</w:t>
      </w:r>
      <w:r>
        <w:rPr>
          <w:rFonts w:cs="Arial"/>
        </w:rPr>
        <w:t xml:space="preserve"> Available at: </w:t>
      </w:r>
      <w:r>
        <w:rPr>
          <w:rFonts w:cs="Arial"/>
          <w:color w:val="0000FF"/>
        </w:rPr>
        <w:t xml:space="preserve">https://www.nice.org.uk/guidance/ng128 </w:t>
      </w:r>
      <w:r>
        <w:rPr>
          <w:rFonts w:cs="Arial"/>
        </w:rPr>
        <w:t>(Accessed: 9 October 2026).</w:t>
      </w:r>
    </w:p>
    <w:p w14:paraId="16F1DB9E">
      <w:pPr>
        <w:keepLines/>
        <w:spacing w:before="120" w:after="120"/>
        <w:ind w:left="317" w:hanging="317"/>
        <w:jc w:val="both"/>
        <w:rPr>
          <w:rFonts w:cs="Arial"/>
        </w:rPr>
      </w:pPr>
      <w:r>
        <w:rPr>
          <w:rFonts w:cs="Arial"/>
        </w:rPr>
        <w:t xml:space="preserve">NHS (2023) </w:t>
      </w:r>
      <w:r>
        <w:rPr>
          <w:rFonts w:cs="Arial"/>
          <w:i/>
        </w:rPr>
        <w:t>When to call 999.</w:t>
      </w:r>
      <w:r>
        <w:rPr>
          <w:rFonts w:cs="Arial"/>
        </w:rPr>
        <w:t xml:space="preserve"> Available at: </w:t>
      </w:r>
      <w:r>
        <w:rPr>
          <w:rFonts w:cs="Arial"/>
          <w:color w:val="0000FF"/>
        </w:rPr>
        <w:t>https://www.nhs.uk/nhs-services/urgent-and-emergency-care-services/when-to-call-999/</w:t>
      </w:r>
      <w:r>
        <w:rPr>
          <w:rFonts w:cs="Arial"/>
        </w:rPr>
        <w:t xml:space="preserve"> (Accessed: 9 October 2026).</w:t>
      </w:r>
    </w:p>
    <w:p w14:paraId="69E761D3">
      <w:pPr>
        <w:keepLines/>
        <w:spacing w:before="120" w:after="120"/>
        <w:ind w:left="317" w:hanging="317"/>
        <w:jc w:val="both"/>
        <w:rPr>
          <w:rFonts w:cs="Arial"/>
        </w:rPr>
      </w:pPr>
      <w:r>
        <w:rPr>
          <w:rFonts w:cs="Arial"/>
        </w:rPr>
        <w:t xml:space="preserve">NHS (2026) </w:t>
      </w:r>
      <w:r>
        <w:rPr>
          <w:rFonts w:cs="Arial"/>
          <w:i/>
        </w:rPr>
        <w:t>Care homes.</w:t>
      </w:r>
      <w:r>
        <w:rPr>
          <w:rFonts w:cs="Arial"/>
        </w:rPr>
        <w:t xml:space="preserve"> Available at: </w:t>
      </w:r>
      <w:r>
        <w:rPr>
          <w:rFonts w:cs="Arial"/>
          <w:color w:val="0000FF"/>
        </w:rPr>
        <w:t xml:space="preserve">https://www.nhs.uk/social-care-and-support/care-services-equipment-and-care-homes/care-homes/ </w:t>
      </w:r>
      <w:r>
        <w:rPr>
          <w:rFonts w:cs="Arial"/>
        </w:rPr>
        <w:t>(Accessed: 9 October 2026).</w:t>
      </w:r>
    </w:p>
    <w:p w14:paraId="5CDA52C4">
      <w:pPr>
        <w:keepLines/>
        <w:spacing w:before="120" w:after="120"/>
        <w:ind w:left="317" w:hanging="317"/>
        <w:jc w:val="both"/>
        <w:rPr>
          <w:rFonts w:cs="Arial"/>
        </w:rPr>
      </w:pPr>
      <w:r>
        <w:rPr>
          <w:rFonts w:cs="Arial"/>
        </w:rPr>
        <w:t xml:space="preserve">Oxfordshire County Council (2026) </w:t>
      </w:r>
      <w:r>
        <w:rPr>
          <w:rFonts w:cs="Arial"/>
          <w:i/>
        </w:rPr>
        <w:t>General information for providers.</w:t>
      </w:r>
      <w:r>
        <w:rPr>
          <w:rFonts w:cs="Arial"/>
        </w:rPr>
        <w:t xml:space="preserve"> Available at: </w:t>
      </w:r>
      <w:r>
        <w:rPr>
          <w:rFonts w:cs="Arial"/>
          <w:color w:val="0000FF"/>
        </w:rPr>
        <w:t xml:space="preserve">https://www.oxfordshire.gov.uk/business/information-providers/adult-social-care-providers/general-information </w:t>
      </w:r>
      <w:r>
        <w:rPr>
          <w:rFonts w:cs="Arial"/>
        </w:rPr>
        <w:t>(Accessed: 9 October 2026).</w:t>
      </w:r>
    </w:p>
    <w:p w14:paraId="0E4FEC2C">
      <w:pPr>
        <w:keepLines/>
        <w:spacing w:before="120" w:after="120"/>
        <w:ind w:left="317" w:hanging="317"/>
        <w:jc w:val="both"/>
        <w:rPr>
          <w:rFonts w:cs="Arial"/>
        </w:rPr>
      </w:pPr>
      <w:r>
        <w:rPr>
          <w:rFonts w:cs="Arial"/>
        </w:rPr>
        <w:t xml:space="preserve">Skills for Care (2025) </w:t>
      </w:r>
      <w:r>
        <w:rPr>
          <w:rFonts w:cs="Arial"/>
          <w:i/>
        </w:rPr>
        <w:t>The state of the adult social care sector and workforce in England 2025 – Executive summary.</w:t>
      </w:r>
      <w:r>
        <w:rPr>
          <w:rFonts w:cs="Arial"/>
        </w:rPr>
        <w:t xml:space="preserve"> Available at: </w:t>
      </w:r>
      <w:r>
        <w:rPr>
          <w:rFonts w:cs="Arial"/>
          <w:color w:val="0000FF"/>
        </w:rPr>
        <w:t xml:space="preserve">https://www.skillsforcare.org.uk/Adult-Social-Care-Workforce-Data/workforceintelligence/resources/Reports/National/The-state-of-the-adult-social-care-sector-and-workforce-in-England-2025-Executive-Summary.pdf </w:t>
      </w:r>
      <w:r>
        <w:rPr>
          <w:rFonts w:cs="Arial"/>
        </w:rPr>
        <w:t>(Accessed: 9 October 2026).</w:t>
      </w:r>
    </w:p>
    <w:p w14:paraId="29340A15">
      <w:pPr>
        <w:keepLines/>
        <w:spacing w:before="120" w:after="120"/>
        <w:ind w:left="317" w:hanging="317"/>
        <w:jc w:val="both"/>
        <w:rPr>
          <w:rFonts w:cs="Arial"/>
        </w:rPr>
      </w:pPr>
      <w:r>
        <w:rPr>
          <w:rFonts w:cs="Arial"/>
        </w:rPr>
        <w:t xml:space="preserve">South Central Ambulance Service (2026) </w:t>
      </w:r>
      <w:r>
        <w:rPr>
          <w:rFonts w:cs="Arial"/>
          <w:i/>
        </w:rPr>
        <w:t>999 service under pressure.</w:t>
      </w:r>
      <w:r>
        <w:rPr>
          <w:rFonts w:cs="Arial"/>
        </w:rPr>
        <w:t xml:space="preserve"> Available at: </w:t>
      </w:r>
      <w:r>
        <w:rPr>
          <w:rFonts w:cs="Arial"/>
          <w:color w:val="0000FF"/>
        </w:rPr>
        <w:t xml:space="preserve">https://www.scas.nhs.uk/999-service-under-pressure/ </w:t>
      </w:r>
      <w:r>
        <w:rPr>
          <w:rFonts w:cs="Arial"/>
        </w:rPr>
        <w:t>(Accessed: 9 October 2026).</w:t>
      </w:r>
    </w:p>
    <w:p w14:paraId="51C4763D">
      <w:pPr>
        <w:keepLines/>
        <w:spacing w:before="120" w:after="120"/>
        <w:ind w:left="317" w:hanging="317"/>
        <w:jc w:val="both"/>
        <w:rPr>
          <w:rFonts w:cs="Arial"/>
        </w:rPr>
      </w:pPr>
      <w:r>
        <w:rPr>
          <w:rFonts w:cs="Arial"/>
        </w:rPr>
        <w:t xml:space="preserve">South Central Ambulance Service (2026a) </w:t>
      </w:r>
      <w:r>
        <w:rPr>
          <w:rFonts w:cs="Arial"/>
          <w:i/>
        </w:rPr>
        <w:t>999.</w:t>
      </w:r>
      <w:r>
        <w:rPr>
          <w:rFonts w:cs="Arial"/>
        </w:rPr>
        <w:t xml:space="preserve"> Available at: </w:t>
      </w:r>
      <w:r>
        <w:rPr>
          <w:rFonts w:cs="Arial"/>
          <w:color w:val="0000FF"/>
        </w:rPr>
        <w:t>https://www.scas.nhs.uk/what-we-do/999-emergency/</w:t>
      </w:r>
      <w:r>
        <w:rPr>
          <w:rFonts w:cs="Arial"/>
        </w:rPr>
        <w:t xml:space="preserve"> (Accessed: 9 October 2026).</w:t>
      </w:r>
    </w:p>
    <w:p w14:paraId="1149F34B">
      <w:pPr>
        <w:keepLines/>
        <w:spacing w:before="120" w:after="120"/>
        <w:ind w:left="317" w:hanging="317"/>
        <w:jc w:val="both"/>
        <w:rPr>
          <w:rFonts w:cs="Arial"/>
        </w:rPr>
      </w:pPr>
      <w:r>
        <w:rPr>
          <w:rFonts w:cs="Arial"/>
        </w:rPr>
        <w:t xml:space="preserve">South Central Ambulance Service (2026b) </w:t>
      </w:r>
      <w:r>
        <w:rPr>
          <w:rFonts w:cs="Arial"/>
          <w:i/>
        </w:rPr>
        <w:t>South Central Ambulance Service.</w:t>
      </w:r>
      <w:r>
        <w:rPr>
          <w:rFonts w:cs="Arial"/>
        </w:rPr>
        <w:t xml:space="preserve"> Available at: </w:t>
      </w:r>
      <w:r>
        <w:rPr>
          <w:rFonts w:cs="Arial"/>
          <w:color w:val="0000FF"/>
        </w:rPr>
        <w:t xml:space="preserve">https://www.scas.nhs.uk/ </w:t>
      </w:r>
      <w:r>
        <w:rPr>
          <w:rFonts w:cs="Arial"/>
        </w:rPr>
        <w:t>(Accessed: 9 October 2026).</w:t>
      </w:r>
    </w:p>
    <w:sectPr>
      <w:footerReference r:id="rId5" w:type="default"/>
      <w:pgSz w:w="12240" w:h="15840"/>
      <w:pgMar w:top="1008" w:right="1440" w:bottom="1008" w:left="1440" w:header="720" w:footer="504" w:gutter="0"/>
      <w:pgBorders w:offsetFrom="page">
        <w:top w:val="none" w:sz="0" w:space="0"/>
        <w:left w:val="none" w:sz="0" w:space="0"/>
        <w:bottom w:val="none" w:sz="0" w:space="0"/>
        <w:right w:val="none" w:sz="0" w:space="0"/>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ＭＳ 明朝">
    <w:altName w:val="SimSun"/>
    <w:panose1 w:val="00000000000000000000"/>
    <w:charset w:val="86"/>
    <w:family w:val="auto"/>
    <w:pitch w:val="default"/>
    <w:sig w:usb0="00000000" w:usb1="00000000" w:usb2="00000000" w:usb3="00000000" w:csb0="00000000" w:csb1="0000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Courier">
    <w:altName w:val="Courier New"/>
    <w:panose1 w:val="02070409020205020404"/>
    <w:charset w:val="00"/>
    <w:family w:val="auto"/>
    <w:pitch w:val="default"/>
    <w:sig w:usb0="00000000" w:usb1="00000000" w:usb2="00000000" w:usb3="00000000" w:csb0="00000001"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621D153">
    <w:pPr>
      <w:pStyle w:val="18"/>
      <w:spacing w:line="360" w:lineRule="auto"/>
      <w:jc w:val="center"/>
    </w:pPr>
    <w:r>
      <w:t xml:space="preserve">Page </w:t>
    </w:r>
    <w:r>
      <w:fldChar w:fldCharType="begin"/>
    </w:r>
    <w:r>
      <w:instrText xml:space="preserve">PAGE</w:instrText>
    </w:r>
    <w:r>
      <w:fldChar w:fldCharType="separate"/>
    </w:r>
    <w:r>
      <w:t>1</w:t>
    </w:r>
    <w:r>
      <w:fldChar w:fldCharType="end"/>
    </w:r>
    <w:r>
      <w:t xml:space="preserve"> of </w:t>
    </w:r>
    <w:r>
      <w:fldChar w:fldCharType="begin"/>
    </w:r>
    <w:r>
      <w:instrText xml:space="preserve">NUMPAGES</w:instrText>
    </w:r>
    <w:r>
      <w:fldChar w:fldCharType="separate"/>
    </w:r>
    <w:r>
      <w:t>7</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2"/>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1"/>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6"/>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5"/>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30"/>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4"/>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0C3861"/>
    <w:rsid w:val="0015074B"/>
    <w:rsid w:val="00166960"/>
    <w:rsid w:val="00171D76"/>
    <w:rsid w:val="002465BB"/>
    <w:rsid w:val="00271831"/>
    <w:rsid w:val="00276FB8"/>
    <w:rsid w:val="0029639D"/>
    <w:rsid w:val="002E48BC"/>
    <w:rsid w:val="00302501"/>
    <w:rsid w:val="00326F90"/>
    <w:rsid w:val="00370E3E"/>
    <w:rsid w:val="003754A6"/>
    <w:rsid w:val="003B078B"/>
    <w:rsid w:val="003B3811"/>
    <w:rsid w:val="003C6033"/>
    <w:rsid w:val="003F3D47"/>
    <w:rsid w:val="00410D77"/>
    <w:rsid w:val="00414F64"/>
    <w:rsid w:val="00421825"/>
    <w:rsid w:val="004674FD"/>
    <w:rsid w:val="004741C6"/>
    <w:rsid w:val="004A4BC9"/>
    <w:rsid w:val="004A79E9"/>
    <w:rsid w:val="00557771"/>
    <w:rsid w:val="00586A03"/>
    <w:rsid w:val="005B099C"/>
    <w:rsid w:val="005E1641"/>
    <w:rsid w:val="005E57EF"/>
    <w:rsid w:val="005F52F9"/>
    <w:rsid w:val="00611ADC"/>
    <w:rsid w:val="0062346D"/>
    <w:rsid w:val="006432CC"/>
    <w:rsid w:val="0068563C"/>
    <w:rsid w:val="006B3DE4"/>
    <w:rsid w:val="006C1F6F"/>
    <w:rsid w:val="006D6DF0"/>
    <w:rsid w:val="007203A3"/>
    <w:rsid w:val="00741F9D"/>
    <w:rsid w:val="00773DC9"/>
    <w:rsid w:val="007831F8"/>
    <w:rsid w:val="007D04EF"/>
    <w:rsid w:val="007D096A"/>
    <w:rsid w:val="0081687E"/>
    <w:rsid w:val="0082241D"/>
    <w:rsid w:val="00857E6F"/>
    <w:rsid w:val="008A5614"/>
    <w:rsid w:val="008E1550"/>
    <w:rsid w:val="008E1EF0"/>
    <w:rsid w:val="008F1A79"/>
    <w:rsid w:val="00922B98"/>
    <w:rsid w:val="00932F55"/>
    <w:rsid w:val="009340C7"/>
    <w:rsid w:val="009B0885"/>
    <w:rsid w:val="009C111C"/>
    <w:rsid w:val="00A25E6A"/>
    <w:rsid w:val="00A64435"/>
    <w:rsid w:val="00A7576D"/>
    <w:rsid w:val="00A8115F"/>
    <w:rsid w:val="00A90024"/>
    <w:rsid w:val="00A902F9"/>
    <w:rsid w:val="00A92CBD"/>
    <w:rsid w:val="00AA1D8D"/>
    <w:rsid w:val="00AE7FFA"/>
    <w:rsid w:val="00B205F7"/>
    <w:rsid w:val="00B46045"/>
    <w:rsid w:val="00B4739A"/>
    <w:rsid w:val="00B47730"/>
    <w:rsid w:val="00B804FA"/>
    <w:rsid w:val="00B83096"/>
    <w:rsid w:val="00B95486"/>
    <w:rsid w:val="00BC7B9B"/>
    <w:rsid w:val="00BD2D9B"/>
    <w:rsid w:val="00BE0B3F"/>
    <w:rsid w:val="00BE3C33"/>
    <w:rsid w:val="00C03068"/>
    <w:rsid w:val="00C71F32"/>
    <w:rsid w:val="00C736EF"/>
    <w:rsid w:val="00C95D97"/>
    <w:rsid w:val="00CB0664"/>
    <w:rsid w:val="00CC4DAF"/>
    <w:rsid w:val="00D95C11"/>
    <w:rsid w:val="00DA3A19"/>
    <w:rsid w:val="00DA7CE5"/>
    <w:rsid w:val="00DB7704"/>
    <w:rsid w:val="00E57849"/>
    <w:rsid w:val="00E76E80"/>
    <w:rsid w:val="00E7787F"/>
    <w:rsid w:val="00ED0D12"/>
    <w:rsid w:val="00EF0CB8"/>
    <w:rsid w:val="00F00B1C"/>
    <w:rsid w:val="00F02262"/>
    <w:rsid w:val="00F0424E"/>
    <w:rsid w:val="00F2545F"/>
    <w:rsid w:val="00F6621F"/>
    <w:rsid w:val="00F666BE"/>
    <w:rsid w:val="00F715FB"/>
    <w:rsid w:val="00F75B49"/>
    <w:rsid w:val="00FA2E61"/>
    <w:rsid w:val="00FA79E8"/>
    <w:rsid w:val="00FC693F"/>
    <w:rsid w:val="00FE2B8D"/>
    <w:rsid w:val="09D633B1"/>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semiHidden="0" w:name="macro"/>
    <w:lsdException w:uiPriority="99" w:name="toa heading"/>
    <w:lsdException w:uiPriority="99" w:semiHidden="0" w:name="List"/>
    <w:lsdException w:uiPriority="99" w:semiHidden="0" w:name="List Bullet"/>
    <w:lsdException w:uiPriority="99" w:semiHidden="0" w:name="List Number"/>
    <w:lsdException w:uiPriority="99" w:semiHidden="0" w:name="List 2"/>
    <w:lsdException w:uiPriority="99" w:semiHidden="0" w:name="List 3"/>
    <w:lsdException w:uiPriority="99" w:name="List 4"/>
    <w:lsdException w:uiPriority="99" w:name="List 5"/>
    <w:lsdException w:uiPriority="99" w:semiHidden="0" w:name="List Bullet 2"/>
    <w:lsdException w:uiPriority="99" w:semiHidden="0" w:name="List Bullet 3"/>
    <w:lsdException w:uiPriority="99" w:name="List Bullet 4"/>
    <w:lsdException w:uiPriority="99" w:name="List Bullet 5"/>
    <w:lsdException w:uiPriority="99" w:semiHidden="0" w:name="List Number 2"/>
    <w:lsdException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semiHidden="0" w:name="Body Text"/>
    <w:lsdException w:uiPriority="99" w:name="Body Text Indent"/>
    <w:lsdException w:uiPriority="99" w:semiHidden="0" w:name="List Continue"/>
    <w:lsdException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uiPriority="99" w:semiHidden="0"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80" w:line="360" w:lineRule="auto"/>
    </w:pPr>
    <w:rPr>
      <w:rFonts w:ascii="Arial" w:hAnsi="Arial" w:eastAsiaTheme="minorEastAsia" w:cstheme="minorBidi"/>
      <w:color w:val="000000"/>
      <w:sz w:val="22"/>
      <w:szCs w:val="22"/>
      <w:lang w:val="en-US" w:eastAsia="en-US" w:bidi="ar-SA"/>
    </w:rPr>
  </w:style>
  <w:style w:type="paragraph" w:styleId="2">
    <w:name w:val="heading 1"/>
    <w:basedOn w:val="1"/>
    <w:next w:val="1"/>
    <w:link w:val="141"/>
    <w:autoRedefine/>
    <w:qFormat/>
    <w:uiPriority w:val="9"/>
    <w:pPr>
      <w:keepNext/>
      <w:keepLines/>
      <w:pBdr>
        <w:top w:val="single" w:color="auto" w:sz="4" w:space="1"/>
        <w:left w:val="single" w:color="auto" w:sz="4" w:space="4"/>
        <w:bottom w:val="single" w:color="auto" w:sz="4" w:space="1"/>
        <w:right w:val="single" w:color="auto" w:sz="4" w:space="4"/>
      </w:pBdr>
      <w:shd w:val="clear" w:color="auto" w:fill="D8D8D8" w:themeFill="background1" w:themeFillShade="D9"/>
      <w:spacing w:before="120" w:after="120"/>
      <w:jc w:val="center"/>
      <w:outlineLvl w:val="0"/>
    </w:pPr>
    <w:rPr>
      <w:b/>
      <w:bCs/>
      <w:sz w:val="32"/>
      <w:szCs w:val="28"/>
    </w:rPr>
  </w:style>
  <w:style w:type="paragraph" w:styleId="3">
    <w:name w:val="heading 2"/>
    <w:basedOn w:val="1"/>
    <w:next w:val="1"/>
    <w:link w:val="142"/>
    <w:autoRedefine/>
    <w:unhideWhenUsed/>
    <w:qFormat/>
    <w:uiPriority w:val="9"/>
    <w:pPr>
      <w:keepNext/>
      <w:keepLines/>
      <w:spacing w:before="160"/>
      <w:outlineLvl w:val="1"/>
    </w:pPr>
    <w:rPr>
      <w:b/>
      <w:bCs/>
      <w:sz w:val="26"/>
      <w:szCs w:val="26"/>
    </w:rPr>
  </w:style>
  <w:style w:type="paragraph" w:styleId="4">
    <w:name w:val="heading 3"/>
    <w:basedOn w:val="1"/>
    <w:next w:val="1"/>
    <w:link w:val="143"/>
    <w:unhideWhenUsed/>
    <w:qFormat/>
    <w:uiPriority w:val="9"/>
    <w:pPr>
      <w:keepNext/>
      <w:keepLines/>
      <w:spacing w:before="160"/>
      <w:outlineLvl w:val="2"/>
    </w:pPr>
    <w:rPr>
      <w:b/>
      <w:bCs/>
    </w:rPr>
  </w:style>
  <w:style w:type="paragraph" w:styleId="5">
    <w:name w:val="heading 4"/>
    <w:basedOn w:val="1"/>
    <w:next w:val="1"/>
    <w:link w:val="153"/>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4"/>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5"/>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6"/>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7"/>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8"/>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7"/>
    <w:unhideWhenUsed/>
    <w:uiPriority w:val="99"/>
    <w:pPr>
      <w:spacing w:after="120"/>
    </w:pPr>
  </w:style>
  <w:style w:type="paragraph" w:styleId="14">
    <w:name w:val="Body Text 2"/>
    <w:basedOn w:val="1"/>
    <w:link w:val="148"/>
    <w:unhideWhenUsed/>
    <w:qFormat/>
    <w:uiPriority w:val="99"/>
    <w:pPr>
      <w:spacing w:after="120" w:line="480" w:lineRule="auto"/>
    </w:pPr>
  </w:style>
  <w:style w:type="paragraph" w:styleId="15">
    <w:name w:val="Body Text 3"/>
    <w:basedOn w:val="1"/>
    <w:link w:val="149"/>
    <w:unhideWhenUsed/>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9"/>
    <w:unhideWhenUsed/>
    <w:uiPriority w:val="99"/>
    <w:pPr>
      <w:tabs>
        <w:tab w:val="center" w:pos="4680"/>
        <w:tab w:val="right" w:pos="9360"/>
      </w:tabs>
      <w:spacing w:after="0" w:line="240" w:lineRule="auto"/>
    </w:pPr>
  </w:style>
  <w:style w:type="paragraph" w:styleId="19">
    <w:name w:val="header"/>
    <w:basedOn w:val="1"/>
    <w:link w:val="138"/>
    <w:unhideWhenUsed/>
    <w:qFormat/>
    <w:uiPriority w:val="99"/>
    <w:pPr>
      <w:tabs>
        <w:tab w:val="center" w:pos="4680"/>
        <w:tab w:val="right" w:pos="9360"/>
      </w:tabs>
      <w:spacing w:after="0" w:line="240" w:lineRule="auto"/>
    </w:pPr>
  </w:style>
  <w:style w:type="character" w:styleId="20">
    <w:name w:val="Hyperlink"/>
    <w:basedOn w:val="11"/>
    <w:unhideWhenUsed/>
    <w:qFormat/>
    <w:uiPriority w:val="99"/>
    <w:rPr>
      <w:color w:val="0000FF" w:themeColor="hyperlink"/>
      <w:u w:val="single"/>
      <w14:textFill>
        <w14:solidFill>
          <w14:schemeClr w14:val="hlink"/>
        </w14:solidFill>
      </w14:textFill>
    </w:rPr>
  </w:style>
  <w:style w:type="paragraph" w:styleId="21">
    <w:name w:val="List"/>
    <w:basedOn w:val="1"/>
    <w:unhideWhenUsed/>
    <w:uiPriority w:val="99"/>
    <w:pPr>
      <w:ind w:left="360" w:hanging="360"/>
      <w:contextualSpacing/>
    </w:pPr>
  </w:style>
  <w:style w:type="paragraph" w:styleId="22">
    <w:name w:val="List 2"/>
    <w:basedOn w:val="1"/>
    <w:unhideWhenUsed/>
    <w:uiPriority w:val="99"/>
    <w:pPr>
      <w:ind w:left="720" w:hanging="360"/>
      <w:contextualSpacing/>
    </w:pPr>
  </w:style>
  <w:style w:type="paragraph" w:styleId="23">
    <w:name w:val="List 3"/>
    <w:basedOn w:val="1"/>
    <w:unhideWhenUsed/>
    <w:uiPriority w:val="99"/>
    <w:pPr>
      <w:ind w:left="1080" w:hanging="360"/>
      <w:contextualSpacing/>
    </w:pPr>
  </w:style>
  <w:style w:type="paragraph" w:styleId="24">
    <w:name w:val="List Bullet"/>
    <w:basedOn w:val="1"/>
    <w:unhideWhenUsed/>
    <w:uiPriority w:val="99"/>
    <w:pPr>
      <w:numPr>
        <w:ilvl w:val="0"/>
        <w:numId w:val="1"/>
      </w:numPr>
      <w:contextualSpacing/>
    </w:pPr>
  </w:style>
  <w:style w:type="paragraph" w:styleId="25">
    <w:name w:val="List Bullet 2"/>
    <w:basedOn w:val="1"/>
    <w:unhideWhenUsed/>
    <w:uiPriority w:val="99"/>
    <w:pPr>
      <w:numPr>
        <w:ilvl w:val="0"/>
        <w:numId w:val="2"/>
      </w:numPr>
      <w:contextualSpacing/>
    </w:pPr>
  </w:style>
  <w:style w:type="paragraph" w:styleId="26">
    <w:name w:val="List Bullet 3"/>
    <w:basedOn w:val="1"/>
    <w:unhideWhenUsed/>
    <w:uiPriority w:val="99"/>
    <w:pPr>
      <w:numPr>
        <w:ilvl w:val="0"/>
        <w:numId w:val="3"/>
      </w:numPr>
      <w:contextualSpacing/>
    </w:pPr>
  </w:style>
  <w:style w:type="paragraph" w:styleId="27">
    <w:name w:val="List Continue"/>
    <w:basedOn w:val="1"/>
    <w:unhideWhenUsed/>
    <w:uiPriority w:val="99"/>
    <w:pPr>
      <w:spacing w:after="120"/>
      <w:ind w:left="360"/>
      <w:contextualSpacing/>
    </w:pPr>
  </w:style>
  <w:style w:type="paragraph" w:styleId="28">
    <w:name w:val="List Continue 2"/>
    <w:basedOn w:val="1"/>
    <w:unhideWhenUsed/>
    <w:uiPriority w:val="99"/>
    <w:pPr>
      <w:spacing w:after="120"/>
      <w:ind w:left="720"/>
      <w:contextualSpacing/>
    </w:pPr>
  </w:style>
  <w:style w:type="paragraph" w:styleId="29">
    <w:name w:val="List Continue 3"/>
    <w:basedOn w:val="1"/>
    <w:unhideWhenUsed/>
    <w:uiPriority w:val="99"/>
    <w:pPr>
      <w:spacing w:after="120"/>
      <w:ind w:left="1080"/>
      <w:contextualSpacing/>
    </w:pPr>
  </w:style>
  <w:style w:type="paragraph" w:styleId="30">
    <w:name w:val="List Number"/>
    <w:basedOn w:val="1"/>
    <w:unhideWhenUsed/>
    <w:uiPriority w:val="99"/>
    <w:pPr>
      <w:numPr>
        <w:ilvl w:val="0"/>
        <w:numId w:val="4"/>
      </w:numPr>
      <w:contextualSpacing/>
    </w:pPr>
  </w:style>
  <w:style w:type="paragraph" w:styleId="31">
    <w:name w:val="List Number 2"/>
    <w:basedOn w:val="1"/>
    <w:unhideWhenUsed/>
    <w:uiPriority w:val="99"/>
    <w:pPr>
      <w:numPr>
        <w:ilvl w:val="0"/>
        <w:numId w:val="5"/>
      </w:numPr>
      <w:contextualSpacing/>
    </w:pPr>
  </w:style>
  <w:style w:type="paragraph" w:styleId="32">
    <w:name w:val="List Number 3"/>
    <w:basedOn w:val="1"/>
    <w:unhideWhenUsed/>
    <w:uiPriority w:val="99"/>
    <w:pPr>
      <w:numPr>
        <w:ilvl w:val="0"/>
        <w:numId w:val="6"/>
      </w:numPr>
      <w:contextualSpacing/>
    </w:pPr>
  </w:style>
  <w:style w:type="paragraph" w:styleId="33">
    <w:name w:val="macro"/>
    <w:link w:val="150"/>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4">
    <w:name w:val="Strong"/>
    <w:basedOn w:val="11"/>
    <w:qFormat/>
    <w:uiPriority w:val="22"/>
    <w:rPr>
      <w:b/>
      <w:bCs/>
    </w:rPr>
  </w:style>
  <w:style w:type="paragraph" w:styleId="35">
    <w:name w:val="Subtitle"/>
    <w:basedOn w:val="1"/>
    <w:next w:val="1"/>
    <w:link w:val="145"/>
    <w:qFormat/>
    <w:uiPriority w:val="11"/>
    <w:rPr>
      <w:i/>
      <w:iCs/>
      <w:spacing w:val="15"/>
      <w:szCs w:val="24"/>
    </w:rPr>
  </w:style>
  <w:style w:type="table" w:styleId="36">
    <w:name w:val="Table Grid"/>
    <w:basedOn w:val="12"/>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37">
    <w:name w:val="Title"/>
    <w:basedOn w:val="1"/>
    <w:next w:val="1"/>
    <w:link w:val="144"/>
    <w:qFormat/>
    <w:uiPriority w:val="10"/>
    <w:pPr>
      <w:keepNext/>
      <w:spacing w:before="160"/>
      <w:contextualSpacing/>
    </w:pPr>
    <w:rPr>
      <w:b/>
      <w:spacing w:val="5"/>
      <w:kern w:val="28"/>
      <w:szCs w:val="52"/>
    </w:rPr>
  </w:style>
  <w:style w:type="paragraph" w:styleId="38">
    <w:name w:val="toc 1"/>
    <w:basedOn w:val="1"/>
    <w:next w:val="1"/>
    <w:autoRedefine/>
    <w:unhideWhenUsed/>
    <w:qFormat/>
    <w:uiPriority w:val="39"/>
    <w:pPr>
      <w:spacing w:after="100"/>
    </w:pPr>
  </w:style>
  <w:style w:type="paragraph" w:styleId="39">
    <w:name w:val="toc 2"/>
    <w:basedOn w:val="1"/>
    <w:next w:val="1"/>
    <w:autoRedefine/>
    <w:unhideWhenUsed/>
    <w:qFormat/>
    <w:uiPriority w:val="39"/>
    <w:pPr>
      <w:spacing w:after="100"/>
      <w:ind w:left="220"/>
    </w:pPr>
  </w:style>
  <w:style w:type="table" w:styleId="40">
    <w:name w:val="Light Shading"/>
    <w:basedOn w:val="12"/>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41">
    <w:name w:val="Light Shading Accent 1"/>
    <w:basedOn w:val="12"/>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42">
    <w:name w:val="Light Shading Accent 2"/>
    <w:basedOn w:val="12"/>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3">
    <w:name w:val="Light Shading Accent 3"/>
    <w:basedOn w:val="1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4">
    <w:name w:val="Light Shading Accent 4"/>
    <w:basedOn w:val="1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5">
    <w:name w:val="Light Shading Accent 5"/>
    <w:basedOn w:val="1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6">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7">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8">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9">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50">
    <w:name w:val="Light List Accent 3"/>
    <w:basedOn w:val="1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51">
    <w:name w:val="Light List Accent 4"/>
    <w:basedOn w:val="1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52">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3">
    <w:name w:val="Light List Accent 6"/>
    <w:basedOn w:val="1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4">
    <w:name w:val="Light Grid"/>
    <w:basedOn w:val="1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5">
    <w:name w:val="Light Grid Accent 1"/>
    <w:basedOn w:val="1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6">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7">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8">
    <w:name w:val="Light Grid Accent 4"/>
    <w:basedOn w:val="1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9">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60">
    <w:name w:val="Light Grid Accent 6"/>
    <w:basedOn w:val="1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61">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62">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3">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4">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5">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6">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7">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8">
    <w:name w:val="Medium Shading 2"/>
    <w:basedOn w:val="12"/>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1"/>
    <w:basedOn w:val="12"/>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2"/>
    <w:basedOn w:val="12"/>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3"/>
    <w:basedOn w:val="12"/>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Shading 2 Accent 4"/>
    <w:basedOn w:val="12"/>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3">
    <w:name w:val="Medium Shading 2 Accent 5"/>
    <w:basedOn w:val="12"/>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4">
    <w:name w:val="Medium Shading 2 Accent 6"/>
    <w:basedOn w:val="12"/>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5">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6">
    <w:name w:val="Medium List 1 Accent 1"/>
    <w:basedOn w:val="1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7">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8">
    <w:name w:val="Medium List 1 Accent 3"/>
    <w:basedOn w:val="1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9">
    <w:name w:val="Medium List 1 Accent 4"/>
    <w:basedOn w:val="1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80">
    <w:name w:val="Medium List 1 Accent 5"/>
    <w:basedOn w:val="12"/>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81">
    <w:name w:val="Medium List 1 Accent 6"/>
    <w:basedOn w:val="1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82">
    <w:name w:val="Medium Lis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List 2 Accent 4"/>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7">
    <w:name w:val="Medium List 2 Accent 5"/>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8">
    <w:name w:val="Medium List 2 Accent 6"/>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9">
    <w:name w:val="Medium Grid 1"/>
    <w:basedOn w:val="12"/>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90">
    <w:name w:val="Medium Grid 1 Accent 1"/>
    <w:basedOn w:val="12"/>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91">
    <w:name w:val="Medium Grid 1 Accent 2"/>
    <w:basedOn w:val="1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92">
    <w:name w:val="Medium Grid 1 Accent 3"/>
    <w:basedOn w:val="12"/>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3">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4">
    <w:name w:val="Medium Grid 1 Accent 5"/>
    <w:basedOn w:val="12"/>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5">
    <w:name w:val="Medium Grid 1 Accent 6"/>
    <w:basedOn w:val="1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6">
    <w:name w:val="Medium Grid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7">
    <w:name w:val="Medium Grid 2 Accent 1"/>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8">
    <w:name w:val="Medium Grid 2 Accent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9">
    <w:name w:val="Medium Grid 2 Accent 3"/>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100">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101">
    <w:name w:val="Medium Grid 2 Accent 5"/>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102">
    <w:name w:val="Medium Grid 2 Accent 6"/>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3">
    <w:name w:val="Medium Grid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4">
    <w:name w:val="Medium Grid 3 Accent 1"/>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5">
    <w:name w:val="Medium Grid 3 Accent 2"/>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6">
    <w:name w:val="Medium Grid 3 Accent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7">
    <w:name w:val="Medium Grid 3 Accent 4"/>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8">
    <w:name w:val="Medium Grid 3 Accent 5"/>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9">
    <w:name w:val="Medium Grid 3 Accent 6"/>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10">
    <w:name w:val="Dark List"/>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11">
    <w:name w:val="Dark List Accent 1"/>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12">
    <w:name w:val="Dark List Accent 2"/>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3">
    <w:name w:val="Dark List Accent 3"/>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4">
    <w:name w:val="Dark List Accent 4"/>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5">
    <w:name w:val="Dark List Accent 5"/>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6">
    <w:name w:val="Dark List Accent 6"/>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7">
    <w:name w:val="Colorful Shading"/>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1"/>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2"/>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3"/>
    <w:basedOn w:val="1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21">
    <w:name w:val="Colorful Shading Accent 4"/>
    <w:basedOn w:val="1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2">
    <w:name w:val="Colorful Shading Accent 5"/>
    <w:basedOn w:val="12"/>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3">
    <w:name w:val="Colorful Shading Accent 6"/>
    <w:basedOn w:val="12"/>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4">
    <w:name w:val="Colorful List"/>
    <w:basedOn w:val="12"/>
    <w:qFormat/>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5">
    <w:name w:val="Colorful List Accent 1"/>
    <w:basedOn w:val="12"/>
    <w:qFormat/>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6">
    <w:name w:val="Colorful List Accent 2"/>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7">
    <w:name w:val="Colorful List Accent 3"/>
    <w:basedOn w:val="12"/>
    <w:qFormat/>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8">
    <w:name w:val="Colorful List Accent 4"/>
    <w:basedOn w:val="12"/>
    <w:qFormat/>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9">
    <w:name w:val="Colorful List Accent 5"/>
    <w:basedOn w:val="12"/>
    <w:qFormat/>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30">
    <w:name w:val="Colorful List Accent 6"/>
    <w:basedOn w:val="12"/>
    <w:qFormat/>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31">
    <w:name w:val="Colorful Grid"/>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32">
    <w:name w:val="Colorful Grid Accent 1"/>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3">
    <w:name w:val="Colorful Grid Accent 2"/>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4">
    <w:name w:val="Colorful Grid Accent 3"/>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5">
    <w:name w:val="Colorful Grid Accent 4"/>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6">
    <w:name w:val="Colorful Grid Accent 5"/>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7">
    <w:name w:val="Colorful Grid Accent 6"/>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8">
    <w:name w:val="Header Char"/>
    <w:basedOn w:val="11"/>
    <w:link w:val="19"/>
    <w:uiPriority w:val="99"/>
  </w:style>
  <w:style w:type="character" w:customStyle="1" w:styleId="139">
    <w:name w:val="Footer Char"/>
    <w:basedOn w:val="11"/>
    <w:link w:val="18"/>
    <w:qFormat/>
    <w:uiPriority w:val="99"/>
  </w:style>
  <w:style w:type="paragraph" w:styleId="140">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1">
    <w:name w:val="Heading 1 Char"/>
    <w:basedOn w:val="11"/>
    <w:link w:val="2"/>
    <w:uiPriority w:val="9"/>
    <w:rPr>
      <w:rFonts w:ascii="Arial" w:hAnsi="Arial"/>
      <w:b/>
      <w:bCs/>
      <w:color w:val="000000"/>
      <w:sz w:val="32"/>
      <w:szCs w:val="28"/>
      <w:shd w:val="clear" w:color="auto" w:fill="D8D8D8" w:themeFill="background1" w:themeFillShade="D9"/>
    </w:rPr>
  </w:style>
  <w:style w:type="character" w:customStyle="1" w:styleId="142">
    <w:name w:val="Heading 2 Char"/>
    <w:basedOn w:val="11"/>
    <w:link w:val="3"/>
    <w:uiPriority w:val="9"/>
    <w:rPr>
      <w:rFonts w:ascii="Arial" w:hAnsi="Arial"/>
      <w:b/>
      <w:bCs/>
      <w:color w:val="000000"/>
      <w:sz w:val="26"/>
      <w:szCs w:val="26"/>
    </w:rPr>
  </w:style>
  <w:style w:type="character" w:customStyle="1" w:styleId="143">
    <w:name w:val="Heading 3 Char"/>
    <w:basedOn w:val="11"/>
    <w:link w:val="4"/>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4">
    <w:name w:val="Title Char"/>
    <w:basedOn w:val="11"/>
    <w:link w:val="37"/>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5">
    <w:name w:val="Subtitle Char"/>
    <w:basedOn w:val="11"/>
    <w:link w:val="35"/>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6">
    <w:name w:val="List Paragraph"/>
    <w:basedOn w:val="1"/>
    <w:qFormat/>
    <w:uiPriority w:val="34"/>
    <w:pPr>
      <w:ind w:left="720"/>
      <w:contextualSpacing/>
    </w:pPr>
  </w:style>
  <w:style w:type="character" w:customStyle="1" w:styleId="147">
    <w:name w:val="Body Text Char"/>
    <w:basedOn w:val="11"/>
    <w:link w:val="13"/>
    <w:uiPriority w:val="99"/>
  </w:style>
  <w:style w:type="character" w:customStyle="1" w:styleId="148">
    <w:name w:val="Body Text 2 Char"/>
    <w:basedOn w:val="11"/>
    <w:link w:val="14"/>
    <w:uiPriority w:val="99"/>
  </w:style>
  <w:style w:type="character" w:customStyle="1" w:styleId="149">
    <w:name w:val="Body Text 3 Char"/>
    <w:basedOn w:val="11"/>
    <w:link w:val="15"/>
    <w:uiPriority w:val="99"/>
    <w:rPr>
      <w:sz w:val="16"/>
      <w:szCs w:val="16"/>
    </w:rPr>
  </w:style>
  <w:style w:type="character" w:customStyle="1" w:styleId="150">
    <w:name w:val="Macro Text Char"/>
    <w:basedOn w:val="11"/>
    <w:link w:val="33"/>
    <w:uiPriority w:val="99"/>
    <w:rPr>
      <w:rFonts w:ascii="Courier" w:hAnsi="Courier"/>
      <w:sz w:val="20"/>
      <w:szCs w:val="20"/>
    </w:rPr>
  </w:style>
  <w:style w:type="paragraph" w:styleId="151">
    <w:name w:val="Quote"/>
    <w:basedOn w:val="1"/>
    <w:next w:val="1"/>
    <w:link w:val="152"/>
    <w:qFormat/>
    <w:uiPriority w:val="29"/>
    <w:rPr>
      <w:i/>
      <w:iCs/>
      <w:color w:val="000000" w:themeColor="text1"/>
      <w14:textFill>
        <w14:solidFill>
          <w14:schemeClr w14:val="tx1"/>
        </w14:solidFill>
      </w14:textFill>
    </w:rPr>
  </w:style>
  <w:style w:type="character" w:customStyle="1" w:styleId="152">
    <w:name w:val="Quote Char"/>
    <w:basedOn w:val="11"/>
    <w:link w:val="151"/>
    <w:uiPriority w:val="29"/>
    <w:rPr>
      <w:i/>
      <w:iCs/>
      <w:color w:val="000000" w:themeColor="text1"/>
      <w14:textFill>
        <w14:solidFill>
          <w14:schemeClr w14:val="tx1"/>
        </w14:solidFill>
      </w14:textFill>
    </w:rPr>
  </w:style>
  <w:style w:type="character" w:customStyle="1" w:styleId="153">
    <w:name w:val="Heading 4 Char"/>
    <w:basedOn w:val="11"/>
    <w:link w:val="5"/>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4">
    <w:name w:val="Heading 5 Char"/>
    <w:basedOn w:val="11"/>
    <w:link w:val="6"/>
    <w:semiHidden/>
    <w:uiPriority w:val="9"/>
    <w:rPr>
      <w:rFonts w:asciiTheme="majorHAnsi" w:hAnsiTheme="majorHAnsi" w:eastAsiaTheme="majorEastAsia" w:cstheme="majorBidi"/>
      <w:color w:val="254061" w:themeColor="accent1" w:themeShade="80"/>
    </w:rPr>
  </w:style>
  <w:style w:type="character" w:customStyle="1" w:styleId="155">
    <w:name w:val="Heading 6 Char"/>
    <w:basedOn w:val="11"/>
    <w:link w:val="7"/>
    <w:semiHidden/>
    <w:uiPriority w:val="9"/>
    <w:rPr>
      <w:rFonts w:asciiTheme="majorHAnsi" w:hAnsiTheme="majorHAnsi" w:eastAsiaTheme="majorEastAsia" w:cstheme="majorBidi"/>
      <w:i/>
      <w:iCs/>
      <w:color w:val="254061" w:themeColor="accent1" w:themeShade="80"/>
    </w:rPr>
  </w:style>
  <w:style w:type="character" w:customStyle="1" w:styleId="156">
    <w:name w:val="Heading 7 Char"/>
    <w:basedOn w:val="11"/>
    <w:link w:val="8"/>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7">
    <w:name w:val="Heading 8 Char"/>
    <w:basedOn w:val="11"/>
    <w:link w:val="9"/>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8">
    <w:name w:val="Heading 9 Char"/>
    <w:basedOn w:val="11"/>
    <w:link w:val="10"/>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9">
    <w:name w:val="Intense Quote"/>
    <w:basedOn w:val="1"/>
    <w:next w:val="1"/>
    <w:link w:val="160"/>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60">
    <w:name w:val="Intense Quote Char"/>
    <w:basedOn w:val="11"/>
    <w:link w:val="159"/>
    <w:uiPriority w:val="30"/>
    <w:rPr>
      <w:b/>
      <w:bCs/>
      <w:i/>
      <w:iCs/>
      <w:color w:val="4F81BD" w:themeColor="accent1"/>
      <w14:textFill>
        <w14:solidFill>
          <w14:schemeClr w14:val="accent1"/>
        </w14:solidFill>
      </w14:textFill>
    </w:rPr>
  </w:style>
  <w:style w:type="character" w:customStyle="1" w:styleId="161">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62">
    <w:name w:val="Intense Emphasis"/>
    <w:basedOn w:val="11"/>
    <w:qFormat/>
    <w:uiPriority w:val="21"/>
    <w:rPr>
      <w:b/>
      <w:bCs/>
      <w:i/>
      <w:iCs/>
      <w:color w:val="4F81BD" w:themeColor="accent1"/>
      <w14:textFill>
        <w14:solidFill>
          <w14:schemeClr w14:val="accent1"/>
        </w14:solidFill>
      </w14:textFill>
    </w:rPr>
  </w:style>
  <w:style w:type="character" w:customStyle="1" w:styleId="163">
    <w:name w:val="Subtle Reference"/>
    <w:basedOn w:val="11"/>
    <w:qFormat/>
    <w:uiPriority w:val="31"/>
    <w:rPr>
      <w:smallCaps/>
      <w:color w:val="C0504D" w:themeColor="accent2"/>
      <w:u w:val="single"/>
      <w14:textFill>
        <w14:solidFill>
          <w14:schemeClr w14:val="accent2"/>
        </w14:solidFill>
      </w14:textFill>
    </w:rPr>
  </w:style>
  <w:style w:type="character" w:customStyle="1" w:styleId="164">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5">
    <w:name w:val="Book Title"/>
    <w:basedOn w:val="11"/>
    <w:qFormat/>
    <w:uiPriority w:val="33"/>
    <w:rPr>
      <w:b/>
      <w:bCs/>
      <w:smallCaps/>
      <w:spacing w:val="5"/>
    </w:rPr>
  </w:style>
  <w:style w:type="paragraph" w:customStyle="1" w:styleId="166">
    <w:name w:val="TOC Heading"/>
    <w:basedOn w:val="2"/>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42DF83-3729-4786-A424-2100FF6BA813}">
  <ds:schemaRefs/>
</ds:datastoreItem>
</file>

<file path=docProps/app.xml><?xml version="1.0" encoding="utf-8"?>
<Properties xmlns="http://schemas.openxmlformats.org/officeDocument/2006/extended-properties" xmlns:vt="http://schemas.openxmlformats.org/officeDocument/2006/docPropsVTypes">
  <Template>Normal</Template>
  <Pages>9</Pages>
  <Words>1987</Words>
  <Characters>12443</Characters>
  <Lines>108</Lines>
  <Paragraphs>30</Paragraphs>
  <TotalTime>15</TotalTime>
  <ScaleCrop>false</ScaleCrop>
  <LinksUpToDate>false</LinksUpToDate>
  <CharactersWithSpaces>14362</CharactersWithSpaces>
  <Application>WPS Office_12.1.0.28485_F1E327BC-269C-435d-A152-05C5408002CA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Misbah Noreen</dc:creator>
  <cp:lastModifiedBy>Student</cp:lastModifiedBy>
  <cp:revision>2</cp:revision>
  <dcterms:created xsi:type="dcterms:W3CDTF">2026-10-16T13:31:00Z</dcterms:created>
  <dcterms:modified xsi:type="dcterms:W3CDTF">2026-10-18T00:07:47Z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eyJoZGlkIjoiYTk5MWIyYjRjNWFlMGFlMWVjNzllOTI2NTAzYjFmNTIifQ==</vt:lpwstr>
  </property>
  <property fmtid="{D5CDD505-2E9C-101B-9397-08002B2CF9AE}" pid="3" name="KSOProductBuildVer">
    <vt:lpwstr>1033-12.1.0.28485</vt:lpwstr>
  </property>
  <property fmtid="{D5CDD505-2E9C-101B-9397-08002B2CF9AE}" pid="4" name="ICV">
    <vt:lpwstr>7B19E45DEDB84D3B9B552935187B1B8F_13</vt:lpwstr>
  </property>
</Properties>
</file>