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B9128" w14:textId="77777777" w:rsidR="00FB24FA" w:rsidRPr="00FB24FA" w:rsidRDefault="00FB24FA" w:rsidP="00FB24FA">
      <w:pPr>
        <w:rPr>
          <w:b/>
          <w:bCs/>
        </w:rPr>
      </w:pPr>
      <w:r w:rsidRPr="00FB24FA">
        <w:rPr>
          <w:b/>
          <w:bCs/>
        </w:rPr>
        <w:t>Financial Performance Summary &amp; Trend Analysis (2021–2025)</w:t>
      </w:r>
    </w:p>
    <w:p w14:paraId="067C6D79" w14:textId="77777777" w:rsidR="00FB24FA" w:rsidRPr="00FB24FA" w:rsidRDefault="00FB24FA" w:rsidP="00FB24FA">
      <w:r w:rsidRPr="00FB24FA">
        <w:rPr>
          <w:b/>
          <w:bCs/>
        </w:rPr>
        <w:t>Company:</w:t>
      </w:r>
      <w:r w:rsidRPr="00FB24FA">
        <w:t xml:space="preserve"> Scandic Hotels Group</w:t>
      </w:r>
      <w:r w:rsidRPr="00FB24FA">
        <w:br/>
      </w:r>
      <w:r w:rsidRPr="00FB24FA">
        <w:rPr>
          <w:b/>
          <w:bCs/>
        </w:rPr>
        <w:t>Period:</w:t>
      </w:r>
      <w:r w:rsidRPr="00FB24FA">
        <w:t xml:space="preserve"> 5-Year Review (2021–2025)</w:t>
      </w:r>
      <w:r w:rsidRPr="00FB24FA">
        <w:br/>
      </w:r>
      <w:r w:rsidRPr="00FB24FA">
        <w:rPr>
          <w:b/>
          <w:bCs/>
        </w:rPr>
        <w:t>Date:</w:t>
      </w:r>
      <w:r w:rsidRPr="00FB24FA">
        <w:t xml:space="preserve"> July 2026</w:t>
      </w:r>
    </w:p>
    <w:p w14:paraId="6E806870" w14:textId="77777777" w:rsidR="00FB24FA" w:rsidRPr="00FB24FA" w:rsidRDefault="00FB24FA" w:rsidP="00FB24FA">
      <w:pPr>
        <w:rPr>
          <w:b/>
          <w:bCs/>
        </w:rPr>
      </w:pPr>
      <w:r w:rsidRPr="00FB24FA">
        <w:rPr>
          <w:b/>
          <w:bCs/>
        </w:rPr>
        <w:t>1. Executive Summary</w:t>
      </w:r>
    </w:p>
    <w:p w14:paraId="4F337457" w14:textId="77777777" w:rsidR="00FB24FA" w:rsidRPr="00FB24FA" w:rsidRDefault="00FB24FA" w:rsidP="00FB24FA">
      <w:r w:rsidRPr="00FB24FA">
        <w:t>Over the past five years, the company has demonstrated a strong post-pandemic operational recovery, more than doubling its net sales from SEK 10.1 billion in 2021 to SEK 22.3 billion in 2025. Profitability has successfully stabilized, yielding consistent operating margins of roughly 12% and exceptionally high gross margins. However, the balance sheet remains highly leveraged and asset-heavy, primarily driven by substantial lease liabilities and capitalized right-of-use assets recognized under IFRS 16. While day-to-day operations generate robust cash flows, the company’s liquidity ratios appear constrained by its short-term lease obligations, and net profit margins remain thin due to high financial costs.</w:t>
      </w:r>
    </w:p>
    <w:p w14:paraId="04031DED" w14:textId="77777777" w:rsidR="00FB24FA" w:rsidRPr="00FB24FA" w:rsidRDefault="00FB24FA" w:rsidP="00FB24FA">
      <w:pPr>
        <w:rPr>
          <w:b/>
          <w:bCs/>
        </w:rPr>
      </w:pPr>
      <w:r w:rsidRPr="00FB24FA">
        <w:rPr>
          <w:b/>
          <w:bCs/>
        </w:rPr>
        <w:t>2. Profitability &amp; Revenue Trends</w:t>
      </w:r>
    </w:p>
    <w:p w14:paraId="069FCB4B" w14:textId="77777777" w:rsidR="00FB24FA" w:rsidRPr="00FB24FA" w:rsidRDefault="00FB24FA" w:rsidP="00FB24FA">
      <w:pPr>
        <w:numPr>
          <w:ilvl w:val="0"/>
          <w:numId w:val="5"/>
        </w:numPr>
      </w:pPr>
      <w:r w:rsidRPr="00FB24FA">
        <w:rPr>
          <w:b/>
          <w:bCs/>
        </w:rPr>
        <w:t>Top-Line Recovery:</w:t>
      </w:r>
      <w:r w:rsidRPr="00FB24FA">
        <w:t xml:space="preserve"> Net sales surged by 121% between 2021 and 2025, indicating a full recovery in hotel occupancy and room rates. Growth has plateaued in 2024–2025, suggesting the company has reached a stabilized post-pandemic run-rate.</w:t>
      </w:r>
    </w:p>
    <w:p w14:paraId="3B46A695" w14:textId="77777777" w:rsidR="00FB24FA" w:rsidRPr="00FB24FA" w:rsidRDefault="00FB24FA" w:rsidP="00FB24FA">
      <w:pPr>
        <w:numPr>
          <w:ilvl w:val="0"/>
          <w:numId w:val="5"/>
        </w:numPr>
      </w:pPr>
      <w:r w:rsidRPr="00FB24FA">
        <w:rPr>
          <w:b/>
          <w:bCs/>
        </w:rPr>
        <w:t>Exceptional Gross Margins:</w:t>
      </w:r>
      <w:r w:rsidRPr="00FB24FA">
        <w:t xml:space="preserve"> The Gross Margin (calculated as Net Sales minus Raw Materials and Consumables) is exceptionally high and stable, improving slightly from </w:t>
      </w:r>
      <w:r w:rsidRPr="00FB24FA">
        <w:rPr>
          <w:b/>
          <w:bCs/>
        </w:rPr>
        <w:t>91.7% in 2021 to 92.7% in 2025</w:t>
      </w:r>
      <w:r w:rsidRPr="00FB24FA">
        <w:t>. This reflects the core hotel business model, where the direct Cost of Goods Sold (primarily food and beverage) is minimal compared to total revenue. The bulk of the company's expenses (staff, utilities, depreciation, and lease costs) are classified as operating expenses rather than COGS.</w:t>
      </w:r>
    </w:p>
    <w:p w14:paraId="20716DA9" w14:textId="77777777" w:rsidR="00FB24FA" w:rsidRPr="00FB24FA" w:rsidRDefault="00FB24FA" w:rsidP="00FB24FA">
      <w:pPr>
        <w:numPr>
          <w:ilvl w:val="0"/>
          <w:numId w:val="5"/>
        </w:numPr>
      </w:pPr>
      <w:r w:rsidRPr="00FB24FA">
        <w:rPr>
          <w:b/>
          <w:bCs/>
        </w:rPr>
        <w:t>Operating Margin Stabilization:</w:t>
      </w:r>
      <w:r w:rsidRPr="00FB24FA">
        <w:t xml:space="preserve"> After a negative margin in 2021, the Operating Profit (EBIT) margin quickly recovered and has stabilized between </w:t>
      </w:r>
      <w:r w:rsidRPr="00FB24FA">
        <w:rPr>
          <w:b/>
          <w:bCs/>
        </w:rPr>
        <w:t>11.9% and 12.9%</w:t>
      </w:r>
      <w:r w:rsidRPr="00FB24FA">
        <w:t xml:space="preserve"> from 2022 to 2025.</w:t>
      </w:r>
    </w:p>
    <w:p w14:paraId="3A88A378" w14:textId="77777777" w:rsidR="00FB24FA" w:rsidRPr="00FB24FA" w:rsidRDefault="00FB24FA" w:rsidP="00FB24FA">
      <w:pPr>
        <w:numPr>
          <w:ilvl w:val="0"/>
          <w:numId w:val="5"/>
        </w:numPr>
      </w:pPr>
      <w:r w:rsidRPr="00FB24FA">
        <w:rPr>
          <w:b/>
          <w:bCs/>
        </w:rPr>
        <w:t>Net Profit Compression:</w:t>
      </w:r>
      <w:r w:rsidRPr="00FB24FA">
        <w:t xml:space="preserve"> Despite solid operating margins, the Net Profit Margin remains relatively low (averaging </w:t>
      </w:r>
      <w:r w:rsidRPr="00FB24FA">
        <w:rPr>
          <w:b/>
          <w:bCs/>
        </w:rPr>
        <w:t>2.5% to 3.0%</w:t>
      </w:r>
      <w:r w:rsidRPr="00FB24FA">
        <w:t xml:space="preserve"> in recent years). This indicates that a significant portion of operating profits is consumed by net financial items (interest expenses on debt and leases), which consistently hover around SEK 1.8B to 2.0B annually.</w:t>
      </w:r>
    </w:p>
    <w:p w14:paraId="26F3F97A" w14:textId="77777777" w:rsidR="00FB24FA" w:rsidRPr="00FB24FA" w:rsidRDefault="00FB24FA" w:rsidP="00FB24FA">
      <w:pPr>
        <w:rPr>
          <w:b/>
          <w:bCs/>
        </w:rPr>
      </w:pPr>
      <w:r w:rsidRPr="00FB24FA">
        <w:rPr>
          <w:b/>
          <w:bCs/>
        </w:rPr>
        <w:t>3. Operational Efficiency</w:t>
      </w:r>
    </w:p>
    <w:p w14:paraId="78B690B6" w14:textId="77777777" w:rsidR="00FB24FA" w:rsidRDefault="00FB24FA" w:rsidP="00FB24FA">
      <w:pPr>
        <w:numPr>
          <w:ilvl w:val="0"/>
          <w:numId w:val="6"/>
        </w:numPr>
      </w:pPr>
      <w:r w:rsidRPr="00FB24FA">
        <w:rPr>
          <w:b/>
          <w:bCs/>
        </w:rPr>
        <w:t>Fixed Asset Turnover:</w:t>
      </w:r>
      <w:r w:rsidRPr="00FB24FA">
        <w:t xml:space="preserve"> The Fixed Asset Turnover ratio (using Total Non-Current Assets as the denominator, which includes Property, Plant &amp; Equipment, Right-of-Use assets, and Intangibles) is low, increasing from </w:t>
      </w:r>
      <w:r w:rsidRPr="00FB24FA">
        <w:rPr>
          <w:b/>
          <w:bCs/>
        </w:rPr>
        <w:t>0.23x in 2021 to approximately 0.44x in 2025</w:t>
      </w:r>
      <w:r w:rsidRPr="00FB24FA">
        <w:t>. This low turnover is a direct result of the company's heavily asset-intensive balance sheet, driven by SEK 38.7B in capitalized Right-of-Use (lease) assets and SEK 6.6B in Goodwill and Trademarks. While the accounting return on these massive non-current assets appears low, the underlying operational cash generation remains highly efficient.</w:t>
      </w:r>
    </w:p>
    <w:p w14:paraId="0540947C" w14:textId="5EB554F2" w:rsidR="007D5202" w:rsidRPr="00C13902" w:rsidRDefault="007D5202" w:rsidP="00FB24FA">
      <w:pPr>
        <w:numPr>
          <w:ilvl w:val="0"/>
          <w:numId w:val="6"/>
        </w:numPr>
      </w:pPr>
      <w:r>
        <w:rPr>
          <w:b/>
          <w:bCs/>
        </w:rPr>
        <w:t>ASSET TURNOVER</w:t>
      </w:r>
    </w:p>
    <w:p w14:paraId="786060F5" w14:textId="0B612CFB" w:rsidR="00C13902" w:rsidRPr="00FB24FA" w:rsidRDefault="00C13902" w:rsidP="00C13902">
      <w:pPr>
        <w:ind w:left="720"/>
      </w:pPr>
      <w:r w:rsidRPr="00C13902">
        <w:t xml:space="preserve">While Scandic Hotels Group has shown strong post-pandemic revenue recovery, its </w:t>
      </w:r>
      <w:r w:rsidRPr="00C13902">
        <w:rPr>
          <w:b/>
          <w:bCs/>
        </w:rPr>
        <w:t>Asset Turnover ratios appear artificially low</w:t>
      </w:r>
      <w:r w:rsidRPr="00C13902">
        <w:t xml:space="preserve">. This is not due to operational inefficiency, but rather an accounting distortion caused by a heavily asset-intensive balance sheet (specifically, </w:t>
      </w:r>
      <w:r w:rsidRPr="00C13902">
        <w:lastRenderedPageBreak/>
        <w:t>massive capitalized Right-of-Use lease assets under IFRS 16 and intangible assets like Goodwill).</w:t>
      </w:r>
    </w:p>
    <w:p w14:paraId="73B9EE77" w14:textId="077BE87E" w:rsidR="00FB24FA" w:rsidRPr="00FB24FA" w:rsidRDefault="00FB24FA" w:rsidP="00C13902">
      <w:pPr>
        <w:ind w:left="720"/>
      </w:pPr>
    </w:p>
    <w:p w14:paraId="3EFE45F7" w14:textId="18D4B657" w:rsidR="00FB24FA" w:rsidRPr="00FB24FA" w:rsidRDefault="00FB24FA" w:rsidP="00FB24FA">
      <w:pPr>
        <w:rPr>
          <w:b/>
          <w:bCs/>
        </w:rPr>
      </w:pPr>
      <w:r w:rsidRPr="00FB24FA">
        <w:rPr>
          <w:b/>
          <w:bCs/>
        </w:rPr>
        <w:t xml:space="preserve">4. Liquidity </w:t>
      </w:r>
    </w:p>
    <w:p w14:paraId="3BCEDC96" w14:textId="77777777" w:rsidR="00FB24FA" w:rsidRPr="00FB24FA" w:rsidRDefault="00FB24FA" w:rsidP="00FB24FA">
      <w:pPr>
        <w:numPr>
          <w:ilvl w:val="0"/>
          <w:numId w:val="7"/>
        </w:numPr>
      </w:pPr>
      <w:r w:rsidRPr="00FB24FA">
        <w:rPr>
          <w:b/>
          <w:bCs/>
        </w:rPr>
        <w:t>Low Current Ratios:</w:t>
      </w:r>
      <w:r w:rsidRPr="00FB24FA">
        <w:t xml:space="preserve"> The Current Ratio and Quick Ratio remain low, hovering around </w:t>
      </w:r>
      <w:r w:rsidRPr="00FB24FA">
        <w:rPr>
          <w:b/>
          <w:bCs/>
        </w:rPr>
        <w:t>0.3x</w:t>
      </w:r>
      <w:r w:rsidRPr="00FB24FA">
        <w:t>. At first glance, this suggests short-term liquidity stress, as current liabilities (SEK 6.6B) heavily outweigh current assets (SEK 2.1B).</w:t>
      </w:r>
    </w:p>
    <w:p w14:paraId="09F147C1" w14:textId="77777777" w:rsidR="00FB24FA" w:rsidRPr="00FB24FA" w:rsidRDefault="00FB24FA" w:rsidP="00FB24FA">
      <w:pPr>
        <w:numPr>
          <w:ilvl w:val="0"/>
          <w:numId w:val="7"/>
        </w:numPr>
      </w:pPr>
      <w:r w:rsidRPr="00FB24FA">
        <w:rPr>
          <w:b/>
          <w:bCs/>
        </w:rPr>
        <w:t>Lease Liability Impact:</w:t>
      </w:r>
      <w:r w:rsidRPr="00FB24FA">
        <w:t xml:space="preserve"> This metric is highly distorted by the business model. A massive portion of current liabilities consists of </w:t>
      </w:r>
      <w:r w:rsidRPr="00FB24FA">
        <w:rPr>
          <w:b/>
          <w:bCs/>
        </w:rPr>
        <w:t>current lease liabilities (SEK 2.7B)</w:t>
      </w:r>
      <w:r w:rsidRPr="00FB24FA">
        <w:t>.</w:t>
      </w:r>
    </w:p>
    <w:p w14:paraId="5BB52C77" w14:textId="13EEAB88" w:rsidR="00874E1F" w:rsidRDefault="00D25694" w:rsidP="00D25694">
      <w:r>
        <w:t>5. LEVERAGE</w:t>
      </w:r>
    </w:p>
    <w:p w14:paraId="4AB7E955" w14:textId="37448BD5" w:rsidR="00FB24FA" w:rsidRPr="00FB24FA" w:rsidRDefault="00FB24FA" w:rsidP="00FB24FA">
      <w:pPr>
        <w:numPr>
          <w:ilvl w:val="0"/>
          <w:numId w:val="8"/>
        </w:numPr>
      </w:pPr>
      <w:r w:rsidRPr="00FB24FA">
        <w:rPr>
          <w:b/>
          <w:bCs/>
        </w:rPr>
        <w:t>High Reported Leverage:</w:t>
      </w:r>
      <w:r w:rsidRPr="00FB24FA">
        <w:t xml:space="preserve"> The Debt-to-Equity ratio is exceptionally high (</w:t>
      </w:r>
      <w:r w:rsidRPr="00FB24FA">
        <w:rPr>
          <w:b/>
          <w:bCs/>
        </w:rPr>
        <w:t>16.7x in 2025</w:t>
      </w:r>
      <w:r w:rsidRPr="00FB24FA">
        <w:t xml:space="preserve">), and the Equity Ratio is just </w:t>
      </w:r>
      <w:r w:rsidRPr="00FB24FA">
        <w:rPr>
          <w:b/>
          <w:bCs/>
        </w:rPr>
        <w:t>5.6%</w:t>
      </w:r>
      <w:r w:rsidRPr="00FB24FA">
        <w:t>.</w:t>
      </w:r>
    </w:p>
    <w:p w14:paraId="0C7F50A0" w14:textId="77777777" w:rsidR="00FB24FA" w:rsidRPr="00FB24FA" w:rsidRDefault="00FB24FA" w:rsidP="00FB24FA">
      <w:pPr>
        <w:numPr>
          <w:ilvl w:val="0"/>
          <w:numId w:val="8"/>
        </w:numPr>
      </w:pPr>
      <w:r w:rsidRPr="00FB24FA">
        <w:rPr>
          <w:b/>
          <w:bCs/>
        </w:rPr>
        <w:t>IFRS 16 Distortion:</w:t>
      </w:r>
      <w:r w:rsidRPr="00FB24FA">
        <w:t xml:space="preserve"> This extreme leverage is almost entirely attributable to </w:t>
      </w:r>
      <w:r w:rsidRPr="00FB24FA">
        <w:rPr>
          <w:b/>
          <w:bCs/>
        </w:rPr>
        <w:t>SEK 43.7B in total lease liabilities</w:t>
      </w:r>
      <w:r w:rsidRPr="00FB24FA">
        <w:t>. If lease liabilities were excluded, the underlying financial leverage would be much more conservative.</w:t>
      </w:r>
    </w:p>
    <w:p w14:paraId="0B44CF70" w14:textId="77777777" w:rsidR="00FB24FA" w:rsidRPr="00FB24FA" w:rsidRDefault="00FB24FA" w:rsidP="00FB24FA">
      <w:pPr>
        <w:numPr>
          <w:ilvl w:val="0"/>
          <w:numId w:val="8"/>
        </w:numPr>
      </w:pPr>
      <w:r w:rsidRPr="00FB24FA">
        <w:rPr>
          <w:b/>
          <w:bCs/>
        </w:rPr>
        <w:t>Debt Reduction:</w:t>
      </w:r>
      <w:r w:rsidRPr="00FB24FA">
        <w:t xml:space="preserve"> The company has actively paid down traditional financial debt. Liabilities to credit institutions dropped from SEK 3.3B in 2021 to under SEK 1.0B in recent years, showing a commitment to reducing bank exposure.</w:t>
      </w:r>
    </w:p>
    <w:p w14:paraId="69D6AFD6" w14:textId="77777777" w:rsidR="00FB24FA" w:rsidRPr="00FB24FA" w:rsidRDefault="00FB24FA" w:rsidP="00FB24FA">
      <w:pPr>
        <w:numPr>
          <w:ilvl w:val="0"/>
          <w:numId w:val="8"/>
        </w:numPr>
      </w:pPr>
      <w:r w:rsidRPr="00FB24FA">
        <w:rPr>
          <w:b/>
          <w:bCs/>
        </w:rPr>
        <w:t>Interest Coverage:</w:t>
      </w:r>
      <w:r w:rsidRPr="00FB24FA">
        <w:t xml:space="preserve"> The Interest Coverage Ratio is stable at </w:t>
      </w:r>
      <w:r w:rsidRPr="00FB24FA">
        <w:rPr>
          <w:b/>
          <w:bCs/>
        </w:rPr>
        <w:t>~1.4x</w:t>
      </w:r>
      <w:r w:rsidRPr="00FB24FA">
        <w:t xml:space="preserve"> (EBIT of ~SEK 2.6B vs. Net Financial Items of ~SEK 1.8B). While positive, this leaves a relatively thin margin of safety, meaning any significant drop in hotel occupancy or revenue could quickly threaten the company's ability to cover its fixed financial obligations.</w:t>
      </w:r>
    </w:p>
    <w:p w14:paraId="6C248EC3" w14:textId="77777777" w:rsidR="00FB24FA" w:rsidRPr="00FB24FA" w:rsidRDefault="00FB24FA" w:rsidP="00FB24FA">
      <w:pPr>
        <w:rPr>
          <w:b/>
          <w:bCs/>
        </w:rPr>
      </w:pPr>
      <w:r w:rsidRPr="00FB24FA">
        <w:rPr>
          <w:b/>
          <w:bCs/>
        </w:rPr>
        <w:t>6. Conclusion &amp; Key Takeaways</w:t>
      </w:r>
    </w:p>
    <w:p w14:paraId="5185CFDE" w14:textId="77777777" w:rsidR="00FB24FA" w:rsidRPr="00FB24FA" w:rsidRDefault="00FB24FA" w:rsidP="00FB24FA">
      <w:r w:rsidRPr="00FB24FA">
        <w:t>Scandic has successfully navigated its post-pandemic recovery, achieving stable top-line revenue, exceptionally high gross margins, and solid operating margins. The core business is highly efficient at generating cash and collecting receivables. However, the financial statements reflect a highly leveraged, asset-heavy capital structure driven by long-term real estate leases and capitalized intangibles. Management's primary financial focus moving forward should be maintaining high occupancy rates to ensure operating profits are sufficient to cover the substantial fixed financial costs, while continuing to pay down traditional bank debt.</w:t>
      </w:r>
    </w:p>
    <w:p w14:paraId="07F8E5E4" w14:textId="77777777" w:rsidR="000A0118" w:rsidRDefault="000A0118"/>
    <w:sectPr w:rsidR="000A01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56CB8"/>
    <w:multiLevelType w:val="multilevel"/>
    <w:tmpl w:val="31A4C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1E352A"/>
    <w:multiLevelType w:val="multilevel"/>
    <w:tmpl w:val="8D928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455928"/>
    <w:multiLevelType w:val="multilevel"/>
    <w:tmpl w:val="3D848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6B4A4A"/>
    <w:multiLevelType w:val="multilevel"/>
    <w:tmpl w:val="9C029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940CD8"/>
    <w:multiLevelType w:val="multilevel"/>
    <w:tmpl w:val="BBC03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131355"/>
    <w:multiLevelType w:val="multilevel"/>
    <w:tmpl w:val="9FD65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F255C4"/>
    <w:multiLevelType w:val="multilevel"/>
    <w:tmpl w:val="14288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B636DC"/>
    <w:multiLevelType w:val="multilevel"/>
    <w:tmpl w:val="B220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9028292">
    <w:abstractNumId w:val="0"/>
  </w:num>
  <w:num w:numId="2" w16cid:durableId="1012344541">
    <w:abstractNumId w:val="6"/>
  </w:num>
  <w:num w:numId="3" w16cid:durableId="1625845158">
    <w:abstractNumId w:val="1"/>
  </w:num>
  <w:num w:numId="4" w16cid:durableId="1912807350">
    <w:abstractNumId w:val="3"/>
  </w:num>
  <w:num w:numId="5" w16cid:durableId="1549952297">
    <w:abstractNumId w:val="4"/>
  </w:num>
  <w:num w:numId="6" w16cid:durableId="284042961">
    <w:abstractNumId w:val="2"/>
  </w:num>
  <w:num w:numId="7" w16cid:durableId="374014117">
    <w:abstractNumId w:val="5"/>
  </w:num>
  <w:num w:numId="8" w16cid:durableId="16900617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B74"/>
    <w:rsid w:val="00042F9B"/>
    <w:rsid w:val="000A0118"/>
    <w:rsid w:val="00167B74"/>
    <w:rsid w:val="00425561"/>
    <w:rsid w:val="007D5202"/>
    <w:rsid w:val="007F4112"/>
    <w:rsid w:val="00813ADA"/>
    <w:rsid w:val="00874E1F"/>
    <w:rsid w:val="00972D84"/>
    <w:rsid w:val="00C13902"/>
    <w:rsid w:val="00C230F2"/>
    <w:rsid w:val="00D25694"/>
    <w:rsid w:val="00FB24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5C9B5"/>
  <w15:chartTrackingRefBased/>
  <w15:docId w15:val="{DC379759-82D0-471A-8809-0BE2CD661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B7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67B7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67B7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67B7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67B7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67B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B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B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B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B7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67B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67B7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67B7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67B7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67B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B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B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B74"/>
    <w:rPr>
      <w:rFonts w:eastAsiaTheme="majorEastAsia" w:cstheme="majorBidi"/>
      <w:color w:val="272727" w:themeColor="text1" w:themeTint="D8"/>
    </w:rPr>
  </w:style>
  <w:style w:type="paragraph" w:styleId="Title">
    <w:name w:val="Title"/>
    <w:basedOn w:val="Normal"/>
    <w:next w:val="Normal"/>
    <w:link w:val="TitleChar"/>
    <w:uiPriority w:val="10"/>
    <w:qFormat/>
    <w:rsid w:val="00167B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B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B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B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B74"/>
    <w:pPr>
      <w:spacing w:before="160"/>
      <w:jc w:val="center"/>
    </w:pPr>
    <w:rPr>
      <w:i/>
      <w:iCs/>
      <w:color w:val="404040" w:themeColor="text1" w:themeTint="BF"/>
    </w:rPr>
  </w:style>
  <w:style w:type="character" w:customStyle="1" w:styleId="QuoteChar">
    <w:name w:val="Quote Char"/>
    <w:basedOn w:val="DefaultParagraphFont"/>
    <w:link w:val="Quote"/>
    <w:uiPriority w:val="29"/>
    <w:rsid w:val="00167B74"/>
    <w:rPr>
      <w:i/>
      <w:iCs/>
      <w:color w:val="404040" w:themeColor="text1" w:themeTint="BF"/>
    </w:rPr>
  </w:style>
  <w:style w:type="paragraph" w:styleId="ListParagraph">
    <w:name w:val="List Paragraph"/>
    <w:basedOn w:val="Normal"/>
    <w:uiPriority w:val="34"/>
    <w:qFormat/>
    <w:rsid w:val="00167B74"/>
    <w:pPr>
      <w:ind w:left="720"/>
      <w:contextualSpacing/>
    </w:pPr>
  </w:style>
  <w:style w:type="character" w:styleId="IntenseEmphasis">
    <w:name w:val="Intense Emphasis"/>
    <w:basedOn w:val="DefaultParagraphFont"/>
    <w:uiPriority w:val="21"/>
    <w:qFormat/>
    <w:rsid w:val="00167B74"/>
    <w:rPr>
      <w:i/>
      <w:iCs/>
      <w:color w:val="2F5496" w:themeColor="accent1" w:themeShade="BF"/>
    </w:rPr>
  </w:style>
  <w:style w:type="paragraph" w:styleId="IntenseQuote">
    <w:name w:val="Intense Quote"/>
    <w:basedOn w:val="Normal"/>
    <w:next w:val="Normal"/>
    <w:link w:val="IntenseQuoteChar"/>
    <w:uiPriority w:val="30"/>
    <w:qFormat/>
    <w:rsid w:val="00167B7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67B74"/>
    <w:rPr>
      <w:i/>
      <w:iCs/>
      <w:color w:val="2F5496" w:themeColor="accent1" w:themeShade="BF"/>
    </w:rPr>
  </w:style>
  <w:style w:type="character" w:styleId="IntenseReference">
    <w:name w:val="Intense Reference"/>
    <w:basedOn w:val="DefaultParagraphFont"/>
    <w:uiPriority w:val="32"/>
    <w:qFormat/>
    <w:rsid w:val="00167B7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770</Words>
  <Characters>4392</Characters>
  <Application>Microsoft Office Word</Application>
  <DocSecurity>0</DocSecurity>
  <Lines>36</Lines>
  <Paragraphs>10</Paragraphs>
  <ScaleCrop>false</ScaleCrop>
  <Company/>
  <LinksUpToDate>false</LinksUpToDate>
  <CharactersWithSpaces>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GORASIYA, Vivekkumar Kishorbhai</dc:creator>
  <cp:keywords/>
  <dc:description/>
  <cp:lastModifiedBy>GORASIYA, Vivekkumar Kishorbhai</cp:lastModifiedBy>
  <cp:revision>2</cp:revision>
  <dcterms:created xsi:type="dcterms:W3CDTF">2026-07-15T16:43:00Z</dcterms:created>
  <dcterms:modified xsi:type="dcterms:W3CDTF">2026-07-15T16:43:00Z</dcterms:modified>
</cp:coreProperties>
</file>