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771413612"/>
    <w:bookmarkEnd w:id="0"/>
    <w:p w14:paraId="041D7A52" w14:textId="1B484926" w:rsidR="00E84B25" w:rsidRDefault="00DF51A9" w:rsidP="00472900">
      <w:pPr>
        <w:pStyle w:val="Title"/>
        <w:jc w:val="center"/>
        <w:rPr>
          <w:rFonts w:ascii="Calibri" w:hAnsi="Calibri" w:cs="Calibri"/>
          <w:color w:val="0F4761" w:themeColor="accent1" w:themeShade="BF"/>
          <w:sz w:val="28"/>
          <w:szCs w:val="28"/>
        </w:rPr>
      </w:pPr>
      <w:r>
        <w:rPr>
          <w:rFonts w:ascii="Calibri" w:hAnsi="Calibri" w:cs="Calibri"/>
          <w:color w:val="0F4761" w:themeColor="accent1" w:themeShade="BF"/>
          <w:sz w:val="28"/>
          <w:szCs w:val="28"/>
        </w:rPr>
        <w:object w:dxaOrig="8872" w:dyaOrig="14104" w14:anchorId="6E988E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05pt" o:ole="">
            <v:imagedata r:id="rId7" o:title=""/>
          </v:shape>
          <o:OLEObject Type="Embed" ProgID="Word.Document.8" ShapeID="_x0000_i1025" DrawAspect="Content" ObjectID="_1771579987"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E84B25" w14:paraId="177E9141" w14:textId="77777777" w:rsidTr="00737E74">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2D0D8D0" w14:textId="77777777" w:rsidR="00E84B25" w:rsidRDefault="00E84B25" w:rsidP="00737E74">
            <w:pPr>
              <w:snapToGrid w:val="0"/>
              <w:rPr>
                <w:rFonts w:ascii="Arial" w:hAnsi="Arial" w:cs="Arial"/>
                <w:b/>
              </w:rPr>
            </w:pPr>
          </w:p>
          <w:p w14:paraId="311A78FB" w14:textId="77777777" w:rsidR="00E84B25" w:rsidRDefault="00E84B25" w:rsidP="00737E74">
            <w:r>
              <w:rPr>
                <w:rFonts w:ascii="Arial" w:hAnsi="Arial" w:cs="Arial"/>
                <w:b/>
              </w:rPr>
              <w:t>Assignment Mark</w:t>
            </w:r>
          </w:p>
          <w:tbl>
            <w:tblPr>
              <w:tblW w:w="0" w:type="auto"/>
              <w:tblLayout w:type="fixed"/>
              <w:tblLook w:val="0000" w:firstRow="0" w:lastRow="0" w:firstColumn="0" w:lastColumn="0" w:noHBand="0" w:noVBand="0"/>
            </w:tblPr>
            <w:tblGrid>
              <w:gridCol w:w="6970"/>
              <w:gridCol w:w="1660"/>
            </w:tblGrid>
            <w:tr w:rsidR="00E84B25" w14:paraId="60B77E04"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5FA011B8" w14:textId="77777777" w:rsidR="00E84B25" w:rsidRDefault="00E84B25" w:rsidP="00737E74">
                  <w:pPr>
                    <w:snapToGrid w:val="0"/>
                    <w:rPr>
                      <w:rFonts w:ascii="Arial" w:hAnsi="Arial" w:cs="Arial"/>
                      <w:sz w:val="20"/>
                      <w:szCs w:val="20"/>
                    </w:rPr>
                  </w:pPr>
                </w:p>
                <w:p w14:paraId="1AD4A633" w14:textId="77777777" w:rsidR="00E84B25" w:rsidRDefault="00E84B25" w:rsidP="00737E74">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6AF8AAA5" w14:textId="77777777" w:rsidR="00E84B25" w:rsidRDefault="00E84B25" w:rsidP="00737E74">
                  <w:pPr>
                    <w:snapToGrid w:val="0"/>
                    <w:rPr>
                      <w:rFonts w:ascii="Arial" w:hAnsi="Arial" w:cs="Arial"/>
                      <w:sz w:val="20"/>
                      <w:szCs w:val="20"/>
                    </w:rPr>
                  </w:pPr>
                </w:p>
              </w:tc>
            </w:tr>
            <w:tr w:rsidR="00E84B25" w14:paraId="1DEE53E0"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7A6A45E0" w14:textId="77777777" w:rsidR="00E84B25" w:rsidRDefault="00E84B25" w:rsidP="00737E74">
                  <w:pPr>
                    <w:snapToGrid w:val="0"/>
                    <w:rPr>
                      <w:rFonts w:ascii="Arial" w:hAnsi="Arial" w:cs="Arial"/>
                      <w:sz w:val="20"/>
                      <w:szCs w:val="20"/>
                    </w:rPr>
                  </w:pPr>
                </w:p>
                <w:p w14:paraId="5A07AE31" w14:textId="77777777" w:rsidR="00E84B25" w:rsidRDefault="00E84B25" w:rsidP="00737E74">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73B2658A" w14:textId="77777777" w:rsidR="00E84B25" w:rsidRDefault="00E84B25" w:rsidP="00737E74">
                  <w:pPr>
                    <w:snapToGrid w:val="0"/>
                    <w:rPr>
                      <w:rFonts w:ascii="Arial" w:hAnsi="Arial" w:cs="Arial"/>
                      <w:sz w:val="20"/>
                      <w:szCs w:val="20"/>
                    </w:rPr>
                  </w:pPr>
                </w:p>
              </w:tc>
            </w:tr>
            <w:tr w:rsidR="00E84B25" w14:paraId="2E83A6DC"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5B146BD9" w14:textId="77777777" w:rsidR="00E84B25" w:rsidRDefault="00E84B25" w:rsidP="00737E74">
                  <w:pPr>
                    <w:snapToGrid w:val="0"/>
                    <w:rPr>
                      <w:rFonts w:ascii="Arial" w:hAnsi="Arial" w:cs="Arial"/>
                      <w:sz w:val="20"/>
                      <w:szCs w:val="20"/>
                    </w:rPr>
                  </w:pPr>
                </w:p>
                <w:p w14:paraId="397A5BDE" w14:textId="77777777" w:rsidR="00E84B25" w:rsidRDefault="00E84B25" w:rsidP="00737E74">
                  <w:r>
                    <w:rPr>
                      <w:rFonts w:ascii="Arial" w:hAnsi="Arial" w:cs="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26232D0A" w14:textId="77777777" w:rsidR="00E84B25" w:rsidRDefault="00E84B25" w:rsidP="00737E74">
                  <w:pPr>
                    <w:snapToGrid w:val="0"/>
                    <w:rPr>
                      <w:rFonts w:ascii="Arial" w:hAnsi="Arial" w:cs="Arial"/>
                      <w:sz w:val="20"/>
                      <w:szCs w:val="20"/>
                    </w:rPr>
                  </w:pPr>
                </w:p>
              </w:tc>
            </w:tr>
            <w:tr w:rsidR="00E84B25" w14:paraId="55AC8886" w14:textId="77777777" w:rsidTr="00737E74">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0BA511AE" w14:textId="77777777" w:rsidR="00E84B25" w:rsidRDefault="00E84B25" w:rsidP="00737E74">
                  <w:pPr>
                    <w:snapToGrid w:val="0"/>
                    <w:rPr>
                      <w:rFonts w:ascii="Arial" w:hAnsi="Arial" w:cs="Arial"/>
                      <w:sz w:val="20"/>
                      <w:szCs w:val="20"/>
                    </w:rPr>
                  </w:pPr>
                </w:p>
                <w:p w14:paraId="56A3E5D3" w14:textId="77777777" w:rsidR="00E84B25" w:rsidRDefault="00E84B25" w:rsidP="00737E74">
                  <w:r>
                    <w:rPr>
                      <w:rFonts w:ascii="Arial" w:hAnsi="Arial" w:cs="Arial"/>
                      <w:b/>
                      <w:sz w:val="20"/>
                      <w:szCs w:val="20"/>
                    </w:rPr>
                    <w:t>Final Mark</w:t>
                  </w:r>
                </w:p>
                <w:p w14:paraId="68B4B088" w14:textId="77777777" w:rsidR="00E84B25" w:rsidRDefault="00E84B25" w:rsidP="00737E74">
                  <w:pPr>
                    <w:rPr>
                      <w:rFonts w:ascii="Arial" w:hAnsi="Arial" w:cs="Arial"/>
                      <w:b/>
                      <w:sz w:val="20"/>
                      <w:szCs w:val="20"/>
                    </w:rPr>
                  </w:pP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76E54C49" w14:textId="77777777" w:rsidR="00E84B25" w:rsidRDefault="00E84B25" w:rsidP="00737E74">
                  <w:pPr>
                    <w:snapToGrid w:val="0"/>
                    <w:rPr>
                      <w:rFonts w:ascii="Arial" w:hAnsi="Arial" w:cs="Arial"/>
                      <w:sz w:val="20"/>
                      <w:szCs w:val="20"/>
                    </w:rPr>
                  </w:pPr>
                </w:p>
              </w:tc>
            </w:tr>
          </w:tbl>
          <w:p w14:paraId="56FE6E32" w14:textId="77777777" w:rsidR="00E84B25" w:rsidRDefault="00E84B25" w:rsidP="00737E74">
            <w:pPr>
              <w:pStyle w:val="NormalWeb"/>
              <w:spacing w:before="0" w:after="0"/>
              <w:ind w:left="142" w:right="34"/>
              <w:rPr>
                <w:rFonts w:ascii="Arial" w:hAnsi="Arial" w:cs="Arial"/>
                <w:b/>
                <w:sz w:val="22"/>
                <w:szCs w:val="22"/>
              </w:rPr>
            </w:pPr>
          </w:p>
          <w:p w14:paraId="79D6551E" w14:textId="77777777" w:rsidR="00E84B25" w:rsidRDefault="00E84B25" w:rsidP="00737E74">
            <w:pPr>
              <w:pStyle w:val="NormalWeb"/>
              <w:spacing w:before="0" w:after="0"/>
              <w:ind w:left="142" w:right="34"/>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E8C61C0" w14:textId="77777777" w:rsidR="00E84B25" w:rsidRDefault="00E84B25" w:rsidP="00737E74">
            <w:pPr>
              <w:pStyle w:val="NormalWeb"/>
              <w:spacing w:before="0" w:after="0"/>
              <w:rPr>
                <w:rFonts w:ascii="Arial" w:hAnsi="Arial" w:cs="Arial"/>
                <w:b/>
                <w:sz w:val="22"/>
                <w:szCs w:val="22"/>
              </w:rPr>
            </w:pPr>
          </w:p>
          <w:p w14:paraId="5A8ED458" w14:textId="77777777" w:rsidR="00E84B25" w:rsidRDefault="00E84B25" w:rsidP="00737E74">
            <w:pPr>
              <w:pStyle w:val="NormalWeb"/>
              <w:spacing w:before="0" w:after="0"/>
              <w:rPr>
                <w:rFonts w:ascii="Arial" w:hAnsi="Arial" w:cs="Arial"/>
                <w:b/>
                <w:sz w:val="22"/>
                <w:szCs w:val="22"/>
              </w:rPr>
            </w:pPr>
          </w:p>
          <w:p w14:paraId="34752CC1" w14:textId="77777777" w:rsidR="00E84B25" w:rsidRDefault="00E84B25" w:rsidP="00737E74">
            <w:pPr>
              <w:pStyle w:val="NormalWeb"/>
              <w:spacing w:before="0" w:after="0"/>
              <w:rPr>
                <w:rFonts w:ascii="Arial" w:hAnsi="Arial" w:cs="Arial"/>
                <w:b/>
                <w:sz w:val="22"/>
                <w:szCs w:val="22"/>
              </w:rPr>
            </w:pPr>
          </w:p>
          <w:p w14:paraId="0E42BA76" w14:textId="77777777" w:rsidR="00E84B25" w:rsidRDefault="00E84B25" w:rsidP="00737E74">
            <w:pPr>
              <w:pStyle w:val="NormalWeb"/>
              <w:spacing w:before="0" w:after="0"/>
              <w:rPr>
                <w:rFonts w:ascii="Arial" w:hAnsi="Arial" w:cs="Arial"/>
                <w:b/>
                <w:sz w:val="22"/>
                <w:szCs w:val="22"/>
              </w:rPr>
            </w:pPr>
          </w:p>
          <w:p w14:paraId="30F80C3F" w14:textId="77777777" w:rsidR="00E84B25" w:rsidRDefault="00E84B25" w:rsidP="00737E74">
            <w:pPr>
              <w:pStyle w:val="NormalWeb"/>
              <w:spacing w:before="0" w:after="0"/>
              <w:rPr>
                <w:rFonts w:ascii="Arial" w:hAnsi="Arial" w:cs="Arial"/>
                <w:b/>
                <w:sz w:val="22"/>
                <w:szCs w:val="22"/>
              </w:rPr>
            </w:pPr>
          </w:p>
          <w:p w14:paraId="36FA9C63" w14:textId="77777777" w:rsidR="00E84B25" w:rsidRDefault="00E84B25" w:rsidP="00737E74">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474E5117" w14:textId="77777777" w:rsidR="00E84B25" w:rsidRDefault="00E84B25" w:rsidP="00737E74">
            <w:pPr>
              <w:pStyle w:val="NormalWeb"/>
            </w:pPr>
            <w:r>
              <w:rPr>
                <w:rFonts w:ascii="Arial" w:hAnsi="Arial" w:cs="Arial"/>
                <w:sz w:val="22"/>
                <w:szCs w:val="22"/>
              </w:rPr>
              <w:t>Comments:</w:t>
            </w:r>
          </w:p>
          <w:p w14:paraId="2289B201" w14:textId="77777777" w:rsidR="00E84B25" w:rsidRDefault="00E84B25" w:rsidP="00737E74">
            <w:pPr>
              <w:pStyle w:val="NormalWeb"/>
              <w:spacing w:after="0"/>
              <w:rPr>
                <w:rFonts w:ascii="Arial" w:hAnsi="Arial" w:cs="Arial"/>
                <w:sz w:val="22"/>
                <w:szCs w:val="22"/>
              </w:rPr>
            </w:pPr>
          </w:p>
        </w:tc>
      </w:tr>
      <w:tr w:rsidR="00E84B25" w14:paraId="2F36DB19" w14:textId="77777777" w:rsidTr="00737E74">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6D9729A0" w14:textId="77777777" w:rsidR="00E84B25" w:rsidRDefault="00E84B25" w:rsidP="00737E74">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5B24D61C" w14:textId="77777777" w:rsidR="00E84B25" w:rsidRDefault="00E84B25" w:rsidP="00737E74">
            <w:pPr>
              <w:pStyle w:val="NormalWeb"/>
              <w:spacing w:after="0"/>
              <w:ind w:left="142" w:right="34"/>
            </w:pPr>
            <w:r>
              <w:rPr>
                <w:rFonts w:ascii="Arial" w:hAnsi="Arial" w:cs="Arial"/>
                <w:sz w:val="22"/>
                <w:szCs w:val="22"/>
              </w:rPr>
              <w:t>Date:</w:t>
            </w:r>
          </w:p>
        </w:tc>
      </w:tr>
      <w:tr w:rsidR="00E84B25" w14:paraId="7F3DE008" w14:textId="77777777" w:rsidTr="00737E74">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66800946" w14:textId="77777777" w:rsidR="00E84B25" w:rsidRDefault="00E84B25" w:rsidP="00737E74">
            <w:pPr>
              <w:pStyle w:val="NormalWeb"/>
              <w:snapToGrid w:val="0"/>
              <w:spacing w:before="0" w:after="0"/>
              <w:ind w:right="-334"/>
              <w:rPr>
                <w:rFonts w:ascii="Arial" w:hAnsi="Arial" w:cs="Arial"/>
                <w:bCs/>
                <w:i/>
                <w:sz w:val="22"/>
                <w:szCs w:val="22"/>
              </w:rPr>
            </w:pPr>
          </w:p>
          <w:p w14:paraId="58F0AF4D" w14:textId="77777777" w:rsidR="00E84B25" w:rsidRDefault="00E84B25" w:rsidP="00737E74">
            <w:pPr>
              <w:pStyle w:val="NormalWeb"/>
              <w:spacing w:before="0" w:after="0"/>
              <w:ind w:right="-334"/>
            </w:pPr>
            <w:r>
              <w:rPr>
                <w:rFonts w:ascii="Arial" w:hAnsi="Arial" w:cs="Arial"/>
                <w:b/>
                <w:bCs/>
                <w:sz w:val="22"/>
                <w:szCs w:val="22"/>
              </w:rPr>
              <w:t>For completion by Marker 2/Moderator:</w:t>
            </w:r>
          </w:p>
          <w:p w14:paraId="2481F3E4" w14:textId="77777777" w:rsidR="00E84B25" w:rsidRDefault="00E84B25" w:rsidP="00737E74">
            <w:pPr>
              <w:pStyle w:val="NormalWeb"/>
              <w:spacing w:before="0" w:after="0"/>
              <w:ind w:right="-334"/>
              <w:rPr>
                <w:rFonts w:ascii="Arial" w:hAnsi="Arial" w:cs="Arial"/>
                <w:b/>
                <w:bCs/>
                <w:sz w:val="22"/>
                <w:szCs w:val="22"/>
              </w:rPr>
            </w:pPr>
          </w:p>
          <w:p w14:paraId="28764048" w14:textId="77777777" w:rsidR="00E84B25" w:rsidRDefault="00E84B25" w:rsidP="00737E74">
            <w:pPr>
              <w:pStyle w:val="NormalWeb"/>
              <w:spacing w:before="0" w:after="0"/>
              <w:ind w:right="-334"/>
            </w:pPr>
            <w:r>
              <w:rPr>
                <w:rFonts w:ascii="Arial" w:hAnsi="Arial" w:cs="Arial"/>
                <w:bCs/>
                <w:sz w:val="22"/>
                <w:szCs w:val="22"/>
              </w:rPr>
              <w:t>Comments:</w:t>
            </w:r>
          </w:p>
          <w:p w14:paraId="5B8CC473" w14:textId="77777777" w:rsidR="00E84B25" w:rsidRDefault="00E84B25" w:rsidP="00737E74">
            <w:pPr>
              <w:pStyle w:val="NormalWeb"/>
              <w:spacing w:before="0" w:after="0"/>
              <w:ind w:right="-334"/>
              <w:rPr>
                <w:rFonts w:ascii="Arial" w:hAnsi="Arial" w:cs="Arial"/>
                <w:bCs/>
                <w:sz w:val="22"/>
                <w:szCs w:val="22"/>
              </w:rPr>
            </w:pPr>
          </w:p>
          <w:p w14:paraId="425955C1" w14:textId="77777777" w:rsidR="00E84B25" w:rsidRDefault="00E84B25" w:rsidP="00737E74">
            <w:pPr>
              <w:pStyle w:val="NormalWeb"/>
              <w:spacing w:before="0" w:after="0"/>
              <w:ind w:right="-334"/>
              <w:rPr>
                <w:rFonts w:ascii="Arial" w:hAnsi="Arial" w:cs="Arial"/>
                <w:bCs/>
                <w:sz w:val="22"/>
                <w:szCs w:val="22"/>
              </w:rPr>
            </w:pPr>
          </w:p>
          <w:p w14:paraId="3FDF81E7" w14:textId="77777777" w:rsidR="00E84B25" w:rsidRDefault="00E84B25" w:rsidP="00737E74">
            <w:pPr>
              <w:pStyle w:val="NormalWeb"/>
              <w:spacing w:before="0" w:after="0"/>
              <w:ind w:right="-334"/>
              <w:rPr>
                <w:rFonts w:ascii="Arial" w:hAnsi="Arial" w:cs="Arial"/>
                <w:bCs/>
                <w:sz w:val="22"/>
                <w:szCs w:val="22"/>
              </w:rPr>
            </w:pPr>
          </w:p>
          <w:p w14:paraId="7C873E46" w14:textId="77777777" w:rsidR="00E84B25" w:rsidRDefault="00E84B25" w:rsidP="00737E74">
            <w:pPr>
              <w:pStyle w:val="NormalWeb"/>
              <w:spacing w:before="0" w:after="0"/>
              <w:ind w:right="-334"/>
              <w:rPr>
                <w:rFonts w:ascii="Arial" w:hAnsi="Arial" w:cs="Arial"/>
                <w:bCs/>
                <w:sz w:val="22"/>
                <w:szCs w:val="22"/>
              </w:rPr>
            </w:pPr>
          </w:p>
          <w:p w14:paraId="6B6D0EF2" w14:textId="77777777" w:rsidR="00E84B25" w:rsidRDefault="00E84B25" w:rsidP="00737E74">
            <w:pPr>
              <w:pStyle w:val="NormalWeb"/>
              <w:spacing w:before="0" w:after="0"/>
              <w:ind w:right="-334"/>
              <w:rPr>
                <w:rFonts w:ascii="Arial" w:hAnsi="Arial" w:cs="Arial"/>
                <w:bCs/>
                <w:sz w:val="22"/>
                <w:szCs w:val="22"/>
              </w:rPr>
            </w:pPr>
          </w:p>
          <w:p w14:paraId="51E33C25" w14:textId="77777777" w:rsidR="00E84B25" w:rsidRDefault="00E84B25" w:rsidP="00737E74">
            <w:pPr>
              <w:pStyle w:val="NormalWeb"/>
              <w:spacing w:before="0" w:after="0"/>
              <w:ind w:right="-334"/>
              <w:rPr>
                <w:rFonts w:ascii="Arial" w:hAnsi="Arial" w:cs="Arial"/>
                <w:bCs/>
                <w:sz w:val="22"/>
                <w:szCs w:val="22"/>
              </w:rPr>
            </w:pPr>
          </w:p>
          <w:p w14:paraId="15873661" w14:textId="77777777" w:rsidR="00E84B25" w:rsidRDefault="00E84B25" w:rsidP="00737E74">
            <w:pPr>
              <w:pStyle w:val="NormalWeb"/>
              <w:spacing w:before="0" w:after="0"/>
              <w:ind w:right="-334"/>
              <w:rPr>
                <w:rFonts w:ascii="Arial" w:hAnsi="Arial" w:cs="Arial"/>
                <w:bCs/>
                <w:sz w:val="22"/>
                <w:szCs w:val="22"/>
              </w:rPr>
            </w:pPr>
          </w:p>
        </w:tc>
      </w:tr>
      <w:tr w:rsidR="00E84B25" w14:paraId="68439770" w14:textId="77777777" w:rsidTr="00737E74">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03C886F9" w14:textId="77777777" w:rsidR="00E84B25" w:rsidRDefault="00E84B25" w:rsidP="00737E74">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3EEEBFDF" w14:textId="77777777" w:rsidR="00E84B25" w:rsidRDefault="00E84B25" w:rsidP="00737E74">
            <w:pPr>
              <w:pStyle w:val="NormalWeb"/>
              <w:spacing w:before="0" w:after="0"/>
              <w:ind w:right="-334"/>
            </w:pPr>
            <w:r>
              <w:rPr>
                <w:rFonts w:ascii="Arial" w:hAnsi="Arial" w:cs="Arial"/>
                <w:bCs/>
                <w:sz w:val="22"/>
                <w:szCs w:val="22"/>
              </w:rPr>
              <w:t>Date:</w:t>
            </w:r>
          </w:p>
        </w:tc>
      </w:tr>
      <w:tr w:rsidR="00E84B25" w14:paraId="3E3C3B09" w14:textId="77777777" w:rsidTr="00737E74">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0415A432" w14:textId="77777777" w:rsidR="00E84B25" w:rsidRDefault="00E84B25" w:rsidP="00737E74">
            <w:r>
              <w:rPr>
                <w:rFonts w:ascii="Arial" w:hAnsi="Arial" w:cs="Arial"/>
                <w:b/>
              </w:rPr>
              <w:t>External Examiner’s comments (if relevant)</w:t>
            </w:r>
          </w:p>
          <w:p w14:paraId="4D48B2FB" w14:textId="77777777" w:rsidR="00E84B25" w:rsidRDefault="00E84B25" w:rsidP="00737E74">
            <w:pPr>
              <w:pStyle w:val="NormalWeb"/>
              <w:spacing w:before="0" w:after="0"/>
              <w:ind w:right="-334"/>
              <w:rPr>
                <w:rFonts w:ascii="Arial" w:hAnsi="Arial" w:cs="Arial"/>
                <w:b/>
                <w:bCs/>
                <w:sz w:val="22"/>
                <w:szCs w:val="22"/>
              </w:rPr>
            </w:pPr>
          </w:p>
          <w:p w14:paraId="79073673" w14:textId="77777777" w:rsidR="00E84B25" w:rsidRDefault="00E84B25" w:rsidP="00737E74">
            <w:pPr>
              <w:pStyle w:val="NormalWeb"/>
              <w:spacing w:before="0" w:after="0"/>
              <w:ind w:right="-334"/>
              <w:rPr>
                <w:rFonts w:ascii="Arial" w:hAnsi="Arial" w:cs="Arial"/>
                <w:bCs/>
                <w:sz w:val="22"/>
                <w:szCs w:val="22"/>
              </w:rPr>
            </w:pPr>
          </w:p>
          <w:p w14:paraId="24C0CFDE" w14:textId="77777777" w:rsidR="00E84B25" w:rsidRDefault="00E84B25" w:rsidP="00737E74">
            <w:pPr>
              <w:pStyle w:val="NormalWeb"/>
              <w:spacing w:before="0" w:after="0"/>
              <w:ind w:right="-334"/>
              <w:rPr>
                <w:rFonts w:ascii="Arial" w:hAnsi="Arial" w:cs="Arial"/>
                <w:bCs/>
                <w:sz w:val="22"/>
                <w:szCs w:val="22"/>
              </w:rPr>
            </w:pPr>
          </w:p>
          <w:p w14:paraId="13F33551" w14:textId="77777777" w:rsidR="00E84B25" w:rsidRDefault="00E84B25" w:rsidP="00737E74">
            <w:pPr>
              <w:pStyle w:val="NormalWeb"/>
              <w:spacing w:before="0" w:after="0"/>
              <w:ind w:right="-334"/>
              <w:rPr>
                <w:rFonts w:ascii="Arial" w:hAnsi="Arial" w:cs="Arial"/>
                <w:bCs/>
                <w:sz w:val="22"/>
                <w:szCs w:val="22"/>
              </w:rPr>
            </w:pPr>
          </w:p>
          <w:p w14:paraId="74512AB5" w14:textId="77777777" w:rsidR="00E84B25" w:rsidRDefault="00E84B25" w:rsidP="00737E74">
            <w:pPr>
              <w:pStyle w:val="NormalWeb"/>
              <w:spacing w:before="0" w:after="0"/>
              <w:ind w:right="-334"/>
              <w:rPr>
                <w:rFonts w:ascii="Arial" w:hAnsi="Arial" w:cs="Arial"/>
                <w:bCs/>
                <w:sz w:val="22"/>
                <w:szCs w:val="22"/>
              </w:rPr>
            </w:pPr>
          </w:p>
          <w:p w14:paraId="68E04A20" w14:textId="77777777" w:rsidR="00E84B25" w:rsidRDefault="00E84B25" w:rsidP="00737E74">
            <w:pPr>
              <w:pStyle w:val="NormalWeb"/>
              <w:spacing w:before="0" w:after="0"/>
              <w:ind w:right="-334"/>
              <w:rPr>
                <w:rFonts w:ascii="Arial" w:hAnsi="Arial" w:cs="Arial"/>
                <w:bCs/>
                <w:sz w:val="22"/>
                <w:szCs w:val="22"/>
              </w:rPr>
            </w:pPr>
          </w:p>
          <w:p w14:paraId="7F88AEDF" w14:textId="77777777" w:rsidR="00E84B25" w:rsidRDefault="00E84B25" w:rsidP="00737E74">
            <w:pPr>
              <w:pStyle w:val="NormalWeb"/>
              <w:spacing w:before="0" w:after="0"/>
              <w:ind w:right="-334"/>
              <w:rPr>
                <w:rFonts w:ascii="Arial" w:hAnsi="Arial" w:cs="Arial"/>
                <w:bCs/>
                <w:sz w:val="22"/>
                <w:szCs w:val="22"/>
              </w:rPr>
            </w:pPr>
          </w:p>
          <w:p w14:paraId="39A9ADE1" w14:textId="77777777" w:rsidR="00E84B25" w:rsidRDefault="00E84B25" w:rsidP="00737E74">
            <w:pPr>
              <w:pStyle w:val="NormalWeb"/>
              <w:spacing w:before="0" w:after="0"/>
              <w:ind w:right="-334"/>
              <w:rPr>
                <w:rFonts w:ascii="Arial" w:hAnsi="Arial" w:cs="Arial"/>
                <w:bCs/>
                <w:sz w:val="22"/>
                <w:szCs w:val="22"/>
              </w:rPr>
            </w:pPr>
          </w:p>
          <w:p w14:paraId="3D8056CC" w14:textId="77777777" w:rsidR="00E84B25" w:rsidRDefault="00E84B25" w:rsidP="00737E74">
            <w:pPr>
              <w:pStyle w:val="NormalWeb"/>
              <w:spacing w:before="0" w:after="0"/>
              <w:ind w:right="-334"/>
              <w:rPr>
                <w:rFonts w:ascii="Arial" w:hAnsi="Arial" w:cs="Arial"/>
                <w:bCs/>
                <w:sz w:val="22"/>
                <w:szCs w:val="22"/>
              </w:rPr>
            </w:pPr>
          </w:p>
          <w:p w14:paraId="7F8EA393" w14:textId="77777777" w:rsidR="00E84B25" w:rsidRDefault="00E84B25" w:rsidP="00737E74">
            <w:pPr>
              <w:pStyle w:val="NormalWeb"/>
              <w:spacing w:before="0" w:after="0"/>
              <w:ind w:right="-334"/>
              <w:rPr>
                <w:rFonts w:ascii="Arial" w:hAnsi="Arial" w:cs="Arial"/>
                <w:bCs/>
                <w:sz w:val="22"/>
                <w:szCs w:val="22"/>
              </w:rPr>
            </w:pPr>
          </w:p>
          <w:p w14:paraId="1E264BF2" w14:textId="77777777" w:rsidR="00E84B25" w:rsidRDefault="00E84B25" w:rsidP="00737E74">
            <w:pPr>
              <w:pStyle w:val="NormalWeb"/>
              <w:spacing w:before="0" w:after="0"/>
              <w:ind w:right="-334"/>
              <w:rPr>
                <w:rFonts w:ascii="Arial" w:hAnsi="Arial" w:cs="Arial"/>
                <w:bCs/>
                <w:sz w:val="22"/>
                <w:szCs w:val="22"/>
              </w:rPr>
            </w:pPr>
          </w:p>
        </w:tc>
      </w:tr>
      <w:tr w:rsidR="00E84B25" w14:paraId="68BFD81F" w14:textId="77777777" w:rsidTr="00737E74">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27B1A3FC" w14:textId="77777777" w:rsidR="00E84B25" w:rsidRDefault="00E84B25" w:rsidP="00737E74">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64ECBA9C" w14:textId="77777777" w:rsidR="00E84B25" w:rsidRDefault="00E84B25" w:rsidP="00737E74">
            <w:r>
              <w:rPr>
                <w:rFonts w:ascii="Arial" w:hAnsi="Arial" w:cs="Arial"/>
              </w:rPr>
              <w:t>Date:</w:t>
            </w:r>
          </w:p>
        </w:tc>
      </w:tr>
    </w:tbl>
    <w:p w14:paraId="2D6B4FD1" w14:textId="77777777" w:rsidR="00E84B25" w:rsidRDefault="00E84B25" w:rsidP="00E84B25">
      <w:pPr>
        <w:pStyle w:val="Title"/>
        <w:rPr>
          <w:rFonts w:ascii="Calibri" w:hAnsi="Calibri" w:cs="Calibri"/>
          <w:color w:val="0F4761" w:themeColor="accent1" w:themeShade="BF"/>
          <w:sz w:val="28"/>
          <w:szCs w:val="28"/>
        </w:rPr>
      </w:pPr>
    </w:p>
    <w:p w14:paraId="35D61DFE" w14:textId="79EA527C" w:rsidR="006B6D0A" w:rsidRPr="00472900" w:rsidRDefault="00C87325" w:rsidP="00472900">
      <w:pPr>
        <w:pStyle w:val="Title"/>
        <w:jc w:val="center"/>
        <w:rPr>
          <w:rFonts w:ascii="Calibri" w:hAnsi="Calibri" w:cs="Calibri"/>
          <w:color w:val="0F4761" w:themeColor="accent1" w:themeShade="BF"/>
          <w:sz w:val="28"/>
          <w:szCs w:val="28"/>
        </w:rPr>
      </w:pPr>
      <w:r w:rsidRPr="00472900">
        <w:rPr>
          <w:rFonts w:ascii="Calibri" w:hAnsi="Calibri" w:cs="Calibri"/>
          <w:color w:val="0F4761" w:themeColor="accent1" w:themeShade="BF"/>
          <w:sz w:val="28"/>
          <w:szCs w:val="28"/>
        </w:rPr>
        <w:lastRenderedPageBreak/>
        <w:t>A Critical Comparison of two Secondary Sources</w:t>
      </w:r>
    </w:p>
    <w:p w14:paraId="19F6D032" w14:textId="77777777" w:rsidR="00C87325" w:rsidRDefault="00C87325"/>
    <w:p w14:paraId="27C4EB6F" w14:textId="64F9130C" w:rsidR="00793C75" w:rsidRDefault="00793C75">
      <w:r>
        <w:t>Word count:</w:t>
      </w:r>
    </w:p>
    <w:p w14:paraId="41AF1593" w14:textId="77777777" w:rsidR="00793C75" w:rsidRDefault="00793C75"/>
    <w:p w14:paraId="27A69107" w14:textId="3DA7379A" w:rsidR="00CC512A" w:rsidRDefault="00C87325" w:rsidP="00D32F6D">
      <w:pPr>
        <w:ind w:firstLine="720"/>
      </w:pPr>
      <w:r>
        <w:t xml:space="preserve">This essay </w:t>
      </w:r>
      <w:proofErr w:type="gramStart"/>
      <w:r>
        <w:t>compares and contrasts</w:t>
      </w:r>
      <w:proofErr w:type="gramEnd"/>
      <w:r>
        <w:t xml:space="preserve"> two secondary sources, namely, </w:t>
      </w:r>
      <w:r w:rsidR="000B1A5B">
        <w:t>Blain, Jenny, ‘Speaking Shamanistically: Seidr, Academia and Rationality, DISKUS Volume 6 2000</w:t>
      </w:r>
      <w:r w:rsidR="00793C75">
        <w:rPr>
          <w:rStyle w:val="FootnoteReference"/>
        </w:rPr>
        <w:footnoteReference w:id="1"/>
      </w:r>
      <w:r w:rsidR="00F34F6E">
        <w:t>,</w:t>
      </w:r>
      <w:r w:rsidR="000B1A5B">
        <w:t xml:space="preserve"> and Brink, T. L. 1978</w:t>
      </w:r>
      <w:r w:rsidR="00CC512A">
        <w:t>,</w:t>
      </w:r>
      <w:r w:rsidR="000B1A5B">
        <w:t xml:space="preserve"> ‘Inconsistency of Belief among Roman Catholic Girls: Concerning Religion, Astrology, Reincarnation Review of Religious Research, 20, 82-85.</w:t>
      </w:r>
      <w:r w:rsidR="00793C75">
        <w:rPr>
          <w:rStyle w:val="FootnoteReference"/>
        </w:rPr>
        <w:footnoteReference w:id="2"/>
      </w:r>
      <w:r w:rsidR="00F34F6E">
        <w:t xml:space="preserve"> </w:t>
      </w:r>
      <w:r w:rsidR="00CC512A">
        <w:t>The methodologies used will be considered, including issues around ethics, reflexivity and the position of the researchers on the insider / outsider continuum. To begin, academic rationales and context will be explored.</w:t>
      </w:r>
    </w:p>
    <w:p w14:paraId="13176CE1" w14:textId="77777777" w:rsidR="00243A99" w:rsidRDefault="00243A99"/>
    <w:p w14:paraId="743C3C77" w14:textId="7A9116F3" w:rsidR="008C6AC4" w:rsidRPr="00472900" w:rsidRDefault="008C6AC4" w:rsidP="00472900">
      <w:pPr>
        <w:pStyle w:val="Heading4"/>
        <w:rPr>
          <w:rFonts w:ascii="Calibri" w:hAnsi="Calibri" w:cs="Calibri"/>
          <w:i w:val="0"/>
          <w:iCs w:val="0"/>
        </w:rPr>
      </w:pPr>
      <w:r w:rsidRPr="00472900">
        <w:rPr>
          <w:rFonts w:ascii="Calibri" w:hAnsi="Calibri" w:cs="Calibri"/>
          <w:i w:val="0"/>
          <w:iCs w:val="0"/>
        </w:rPr>
        <w:t>Academic context and theoretical background</w:t>
      </w:r>
    </w:p>
    <w:p w14:paraId="03303B70" w14:textId="77777777" w:rsidR="00CC512A" w:rsidRPr="008C6AC4" w:rsidRDefault="00CC512A"/>
    <w:p w14:paraId="329CB5B8" w14:textId="50C726C4" w:rsidR="00283F8B" w:rsidRDefault="00CC512A" w:rsidP="00283F8B">
      <w:pPr>
        <w:ind w:firstLine="720"/>
      </w:pPr>
      <w:r>
        <w:t xml:space="preserve">Both papers start with a short introduction giving </w:t>
      </w:r>
      <w:r w:rsidR="008C6AC4">
        <w:t xml:space="preserve">some </w:t>
      </w:r>
      <w:r>
        <w:t>theoretical background</w:t>
      </w:r>
      <w:r w:rsidR="008C6AC4">
        <w:t xml:space="preserve">. </w:t>
      </w:r>
      <w:r w:rsidR="00565152">
        <w:t>Blain introduces Seidr as the subject of her research and refers to postmodernist theory as giving space for a phenomenological approach rooted in “participants discursive understanding”,</w:t>
      </w:r>
      <w:r w:rsidR="00565152">
        <w:rPr>
          <w:rStyle w:val="FootnoteReference"/>
        </w:rPr>
        <w:footnoteReference w:id="3"/>
      </w:r>
      <w:r w:rsidR="00565152">
        <w:t xml:space="preserve"> implying an academic rationale which </w:t>
      </w:r>
      <w:r w:rsidR="008C6AC4">
        <w:t>place</w:t>
      </w:r>
      <w:r w:rsidR="00565152">
        <w:t xml:space="preserve">s her research </w:t>
      </w:r>
      <w:r w:rsidR="008C6AC4">
        <w:t>as part of this development</w:t>
      </w:r>
      <w:r w:rsidR="008A2C17">
        <w:t xml:space="preserve"> without referring to specific examples of this development</w:t>
      </w:r>
      <w:r w:rsidR="00565152">
        <w:t xml:space="preserve">. </w:t>
      </w:r>
      <w:r w:rsidR="008C6AC4">
        <w:t xml:space="preserve">She contextualises her research </w:t>
      </w:r>
      <w:r w:rsidR="008A2C17">
        <w:t>in terms</w:t>
      </w:r>
      <w:r w:rsidR="008C6AC4">
        <w:t xml:space="preserve"> of the current state of ethnography, reinforcing and offering an example of the statement of George Marcus that “ethnography remains the ground for a continuing debate about</w:t>
      </w:r>
      <w:r w:rsidR="00DF51A9">
        <w:t>…</w:t>
      </w:r>
      <w:r w:rsidR="008C6AC4">
        <w:t>the research practices themselves of anthropology, which are in transformation.”</w:t>
      </w:r>
      <w:r w:rsidR="008C6AC4">
        <w:rPr>
          <w:rStyle w:val="FootnoteReference"/>
        </w:rPr>
        <w:footnoteReference w:id="4"/>
      </w:r>
      <w:r w:rsidR="008C6AC4">
        <w:t xml:space="preserve"> </w:t>
      </w:r>
      <w:r w:rsidR="00472900">
        <w:t>In a similar mode, Brink</w:t>
      </w:r>
      <w:r w:rsidR="00565152">
        <w:t xml:space="preserve"> </w:t>
      </w:r>
      <w:r w:rsidR="008C6AC4">
        <w:t>begin</w:t>
      </w:r>
      <w:r w:rsidR="005527AB">
        <w:t>s</w:t>
      </w:r>
      <w:r w:rsidR="008C6AC4">
        <w:t xml:space="preserve"> his paper with references to theories of belief advanced by social scientists. However</w:t>
      </w:r>
      <w:r w:rsidR="00C223CE">
        <w:t>,</w:t>
      </w:r>
      <w:r w:rsidR="008C6AC4">
        <w:t xml:space="preserve"> there is no evaluation of these theories, and </w:t>
      </w:r>
      <w:r w:rsidR="008A2C17">
        <w:t xml:space="preserve">again </w:t>
      </w:r>
      <w:r w:rsidR="008C6AC4">
        <w:t xml:space="preserve">the current research is not placed in the </w:t>
      </w:r>
      <w:r w:rsidR="00CB473D">
        <w:t xml:space="preserve">specific </w:t>
      </w:r>
      <w:r w:rsidR="008C6AC4">
        <w:t>context of these theories.</w:t>
      </w:r>
      <w:r w:rsidR="008C6AC4">
        <w:rPr>
          <w:rStyle w:val="FootnoteReference"/>
        </w:rPr>
        <w:footnoteReference w:id="5"/>
      </w:r>
      <w:r w:rsidR="008C6AC4">
        <w:t xml:space="preserve"> The project is only loose</w:t>
      </w:r>
      <w:r w:rsidR="000E427C">
        <w:t>ly</w:t>
      </w:r>
      <w:r w:rsidR="008C6AC4">
        <w:t xml:space="preserve"> based within a larger academic framework and that framework is not critically analyse</w:t>
      </w:r>
      <w:r w:rsidR="00D94A6C">
        <w:t>d.</w:t>
      </w:r>
      <w:r w:rsidR="00EE366C">
        <w:t xml:space="preserve"> </w:t>
      </w:r>
      <w:r w:rsidR="00D94A6C">
        <w:t xml:space="preserve">It can be said that </w:t>
      </w:r>
      <w:r w:rsidR="008A2C17">
        <w:t xml:space="preserve">neither paper achieves </w:t>
      </w:r>
      <w:r w:rsidR="00D94A6C">
        <w:t>the goal of a literature review, defined by Judith Bell and Stephen Waters as ‘providing the reader with a picture…of the state of knowledge…on the subject’</w:t>
      </w:r>
      <w:r w:rsidR="008A2C17">
        <w:t>.</w:t>
      </w:r>
      <w:r w:rsidR="00D94A6C">
        <w:rPr>
          <w:rStyle w:val="FootnoteReference"/>
        </w:rPr>
        <w:footnoteReference w:id="6"/>
      </w:r>
      <w:r w:rsidR="008A2C17">
        <w:t xml:space="preserve"> </w:t>
      </w:r>
      <w:r w:rsidR="00283F8B">
        <w:t xml:space="preserve">Both papers give broad academic context for their work but do not put that work clearly in the context of </w:t>
      </w:r>
      <w:r w:rsidR="00793C75">
        <w:t>specific</w:t>
      </w:r>
      <w:r w:rsidR="00283F8B">
        <w:t xml:space="preserve"> relevant literature.</w:t>
      </w:r>
    </w:p>
    <w:p w14:paraId="68CFFA39" w14:textId="77777777" w:rsidR="00283F8B" w:rsidRDefault="00283F8B" w:rsidP="00283F8B"/>
    <w:p w14:paraId="2C3D74BC" w14:textId="0A029868" w:rsidR="00472900" w:rsidRPr="00472900" w:rsidRDefault="00FE52D9" w:rsidP="00472900">
      <w:pPr>
        <w:pStyle w:val="Heading4"/>
        <w:rPr>
          <w:rFonts w:ascii="Calibri" w:hAnsi="Calibri" w:cs="Calibri"/>
          <w:i w:val="0"/>
          <w:iCs w:val="0"/>
        </w:rPr>
      </w:pPr>
      <w:r>
        <w:rPr>
          <w:rFonts w:ascii="Calibri" w:hAnsi="Calibri" w:cs="Calibri"/>
          <w:i w:val="0"/>
          <w:iCs w:val="0"/>
        </w:rPr>
        <w:t>Research</w:t>
      </w:r>
      <w:r w:rsidR="00472900" w:rsidRPr="00472900">
        <w:rPr>
          <w:rFonts w:ascii="Calibri" w:hAnsi="Calibri" w:cs="Calibri"/>
          <w:i w:val="0"/>
          <w:iCs w:val="0"/>
        </w:rPr>
        <w:t xml:space="preserve"> </w:t>
      </w:r>
      <w:proofErr w:type="gramStart"/>
      <w:r>
        <w:rPr>
          <w:rFonts w:ascii="Calibri" w:hAnsi="Calibri" w:cs="Calibri"/>
          <w:i w:val="0"/>
          <w:iCs w:val="0"/>
        </w:rPr>
        <w:t>m</w:t>
      </w:r>
      <w:r w:rsidR="00472900" w:rsidRPr="00472900">
        <w:rPr>
          <w:rFonts w:ascii="Calibri" w:hAnsi="Calibri" w:cs="Calibri"/>
          <w:i w:val="0"/>
          <w:iCs w:val="0"/>
        </w:rPr>
        <w:t>ethodology</w:t>
      </w:r>
      <w:proofErr w:type="gramEnd"/>
    </w:p>
    <w:p w14:paraId="1EA56A61" w14:textId="77777777" w:rsidR="00F34F6E" w:rsidRDefault="00F34F6E"/>
    <w:p w14:paraId="29CB02C8" w14:textId="1CCBCD0C" w:rsidR="00243A99" w:rsidRDefault="00F34F6E" w:rsidP="00283F8B">
      <w:pPr>
        <w:ind w:firstLine="720"/>
      </w:pPr>
      <w:r>
        <w:t xml:space="preserve">Brink takes a </w:t>
      </w:r>
      <w:r w:rsidR="004D40DE">
        <w:t>quantitative</w:t>
      </w:r>
      <w:r>
        <w:t xml:space="preserve"> approach, using a </w:t>
      </w:r>
      <w:r w:rsidR="00472900">
        <w:t xml:space="preserve">survey </w:t>
      </w:r>
      <w:r>
        <w:t>to examine the statistical distribution of differing beliefs in the target audience.</w:t>
      </w:r>
      <w:r w:rsidR="002B79AD">
        <w:t xml:space="preserve"> </w:t>
      </w:r>
      <w:r w:rsidR="00976D31">
        <w:t>The function of beliefs is considered within the positivist paradigm</w:t>
      </w:r>
      <w:r w:rsidR="00472900">
        <w:t>, in that he places an “emphasis on objective measurement of social issues”, as Monique Hennink, Inge Hutter and Ajay Bailey note in their definition of positivism.</w:t>
      </w:r>
      <w:r w:rsidR="00472900">
        <w:rPr>
          <w:rStyle w:val="FootnoteReference"/>
        </w:rPr>
        <w:footnoteReference w:id="7"/>
      </w:r>
      <w:r w:rsidR="00472900">
        <w:t xml:space="preserve"> </w:t>
      </w:r>
      <w:r w:rsidR="004D40DE">
        <w:t xml:space="preserve">Brink advances a hypothesis at beginning of his paper about beliefs he understands to be contradictory. </w:t>
      </w:r>
      <w:r w:rsidR="004D40DE">
        <w:rPr>
          <w:rStyle w:val="FootnoteReference"/>
        </w:rPr>
        <w:footnoteReference w:id="8"/>
      </w:r>
      <w:r w:rsidR="004D40DE">
        <w:t xml:space="preserve"> He then </w:t>
      </w:r>
      <w:r w:rsidR="004D40DE">
        <w:lastRenderedPageBreak/>
        <w:t>investigates these beliefs using a survey which shows that ‘the hypothesis was not confirmed’.</w:t>
      </w:r>
      <w:r w:rsidR="004D40DE">
        <w:rPr>
          <w:rStyle w:val="FootnoteReference"/>
        </w:rPr>
        <w:footnoteReference w:id="9"/>
      </w:r>
      <w:r w:rsidR="004D40DE">
        <w:t xml:space="preserve"> The data derived from the survey showed that the research participants held apparently contradictory beliefs. </w:t>
      </w:r>
      <w:r w:rsidR="00793C75">
        <w:t>To</w:t>
      </w:r>
      <w:r w:rsidR="004D40DE">
        <w:t xml:space="preserve"> this </w:t>
      </w:r>
      <w:r w:rsidR="00793C75">
        <w:t>extent</w:t>
      </w:r>
      <w:r w:rsidR="00243A99">
        <w:t xml:space="preserve"> the research can be said to be successful, in that a question was asked and answered, and the remit of the project was met. </w:t>
      </w:r>
      <w:r w:rsidR="006E13C2">
        <w:t>However</w:t>
      </w:r>
      <w:r w:rsidR="00575F99">
        <w:t>,</w:t>
      </w:r>
      <w:r w:rsidR="006E13C2">
        <w:t xml:space="preserve"> the remit of the project is given as ‘a study of the beliefs of adolescent girls’</w:t>
      </w:r>
      <w:r w:rsidR="006E13C2">
        <w:rPr>
          <w:rStyle w:val="FootnoteReference"/>
        </w:rPr>
        <w:footnoteReference w:id="10"/>
      </w:r>
      <w:r w:rsidR="006E13C2">
        <w:t xml:space="preserve"> and in this sense, </w:t>
      </w:r>
      <w:r w:rsidR="00243A99">
        <w:t xml:space="preserve">it may be said that the </w:t>
      </w:r>
      <w:r w:rsidR="00472900">
        <w:t xml:space="preserve">positivist and </w:t>
      </w:r>
      <w:r w:rsidR="00243A99">
        <w:t xml:space="preserve">quantitative approach taken allows for only a limited </w:t>
      </w:r>
      <w:r w:rsidR="00DF51A9">
        <w:t>understanding</w:t>
      </w:r>
      <w:r w:rsidR="00243A99">
        <w:t xml:space="preserve"> of th</w:t>
      </w:r>
      <w:r w:rsidR="006E13C2">
        <w:t>e</w:t>
      </w:r>
      <w:r w:rsidR="00243A99">
        <w:t xml:space="preserve"> beliefs </w:t>
      </w:r>
      <w:r w:rsidR="006E13C2">
        <w:t>of the participants</w:t>
      </w:r>
      <w:r w:rsidR="00243A99">
        <w:t>. The research methodology answers the question but as Brink says himself, also “raises more questions than it answers”.</w:t>
      </w:r>
      <w:r w:rsidR="00243A99">
        <w:rPr>
          <w:rStyle w:val="FootnoteReference"/>
        </w:rPr>
        <w:footnoteReference w:id="11"/>
      </w:r>
      <w:r w:rsidR="00243A99">
        <w:t xml:space="preserve"> </w:t>
      </w:r>
      <w:r w:rsidR="00472900">
        <w:t xml:space="preserve">As Hennink, Hutter and Bailey also note, this approach </w:t>
      </w:r>
      <w:r w:rsidR="000538AF">
        <w:t>‘</w:t>
      </w:r>
      <w:r w:rsidR="00472900">
        <w:t>fails to acknowledge the interactive and co-constructive nature of data collection with human beings</w:t>
      </w:r>
      <w:r w:rsidR="000538AF">
        <w:t>’</w:t>
      </w:r>
      <w:r w:rsidR="00472900">
        <w:t>.</w:t>
      </w:r>
      <w:r w:rsidR="00472900">
        <w:rPr>
          <w:rStyle w:val="FootnoteReference"/>
        </w:rPr>
        <w:footnoteReference w:id="12"/>
      </w:r>
      <w:r w:rsidR="00472900">
        <w:t xml:space="preserve"> </w:t>
      </w:r>
      <w:r w:rsidR="00DF51A9">
        <w:t>This critique is born out here, as Brink’s paper does not address how the participants themselves understand or define their beliefs, the specific form those beliefs take and whether they see those beliefs as mutually exclusive, as Brink does.</w:t>
      </w:r>
      <w:r w:rsidR="00DF51A9">
        <w:rPr>
          <w:rStyle w:val="FootnoteReference"/>
        </w:rPr>
        <w:footnoteReference w:id="13"/>
      </w:r>
      <w:r w:rsidR="00DF51A9">
        <w:t xml:space="preserve"> </w:t>
      </w:r>
      <w:r w:rsidR="00575F99">
        <w:t>The quantitative methodology used by Brink can therefore be seen as superficially successful but also limited.</w:t>
      </w:r>
    </w:p>
    <w:p w14:paraId="237F3C22" w14:textId="77777777" w:rsidR="00EB429B" w:rsidRDefault="00EB429B"/>
    <w:p w14:paraId="4A7C96BF" w14:textId="6D619481" w:rsidR="00BA3DD8" w:rsidRPr="00E030D5" w:rsidRDefault="00EB429B" w:rsidP="00E030D5">
      <w:pPr>
        <w:ind w:firstLine="720"/>
        <w:rPr>
          <w:rFonts w:cs="Calibri"/>
          <w:shd w:val="clear" w:color="auto" w:fill="FFFFFF"/>
        </w:rPr>
      </w:pPr>
      <w:r>
        <w:t>Blain, by contrast, takes an interpretivist</w:t>
      </w:r>
      <w:r w:rsidR="00E8469E">
        <w:t>, ethnographic</w:t>
      </w:r>
      <w:r>
        <w:t xml:space="preserve"> approach, </w:t>
      </w:r>
      <w:r w:rsidR="000538AF">
        <w:t>‘</w:t>
      </w:r>
      <w:r w:rsidR="00760F6A">
        <w:t>seeking to understand people’s lived experience from the perspective of people themselves</w:t>
      </w:r>
      <w:r w:rsidR="000538AF">
        <w:t>’</w:t>
      </w:r>
      <w:r w:rsidR="00760F6A">
        <w:t xml:space="preserve"> as Hennink, Hutter and Bailey continue in their comparison of research approaches.</w:t>
      </w:r>
      <w:r w:rsidR="00760F6A">
        <w:rPr>
          <w:rStyle w:val="FootnoteReference"/>
        </w:rPr>
        <w:footnoteReference w:id="14"/>
      </w:r>
      <w:r w:rsidR="00760F6A">
        <w:t xml:space="preserve"> </w:t>
      </w:r>
      <w:r w:rsidR="003D7E53">
        <w:t>Blain’s</w:t>
      </w:r>
      <w:r w:rsidR="00760F6A">
        <w:t xml:space="preserve"> approach </w:t>
      </w:r>
      <w:r w:rsidR="00575F99">
        <w:t xml:space="preserve">is </w:t>
      </w:r>
      <w:r w:rsidR="00760F6A">
        <w:t xml:space="preserve">phenomenological, defined by Moran as </w:t>
      </w:r>
      <w:r w:rsidR="000538AF">
        <w:t>‘</w:t>
      </w:r>
      <w:r w:rsidR="00760F6A">
        <w:t>the unprejudiced, descriptive study of whatever appears to consciousness, precisely in the manner in which it so appears.</w:t>
      </w:r>
      <w:r w:rsidR="000538AF">
        <w:t>’</w:t>
      </w:r>
      <w:r w:rsidR="00760F6A">
        <w:rPr>
          <w:rStyle w:val="FootnoteReference"/>
        </w:rPr>
        <w:footnoteReference w:id="15"/>
      </w:r>
      <w:r w:rsidR="00760F6A">
        <w:t xml:space="preserve"> </w:t>
      </w:r>
      <w:r w:rsidR="00EE366C">
        <w:t xml:space="preserve">She explores </w:t>
      </w:r>
      <w:r w:rsidR="000538AF">
        <w:t>‘</w:t>
      </w:r>
      <w:r w:rsidR="00EE366C">
        <w:t>the manner in which it so appears</w:t>
      </w:r>
      <w:r w:rsidR="000538AF">
        <w:t>’</w:t>
      </w:r>
      <w:r w:rsidR="00EE366C">
        <w:t xml:space="preserve"> in different ways, giving an example of the account of an </w:t>
      </w:r>
      <w:r w:rsidR="000538AF">
        <w:t>‘</w:t>
      </w:r>
      <w:r w:rsidR="00EE366C">
        <w:t>informed outsider</w:t>
      </w:r>
      <w:r w:rsidR="000538AF">
        <w:t>’</w:t>
      </w:r>
      <w:r w:rsidR="008A2C17">
        <w:t xml:space="preserve"> </w:t>
      </w:r>
      <w:r w:rsidR="00EE366C">
        <w:t>and following it with two accounts from the practitioner’s perspective.</w:t>
      </w:r>
      <w:r w:rsidR="00EE366C">
        <w:rPr>
          <w:rStyle w:val="FootnoteReference"/>
        </w:rPr>
        <w:footnoteReference w:id="16"/>
      </w:r>
      <w:r w:rsidR="00EE366C">
        <w:t xml:space="preserve"> </w:t>
      </w:r>
      <w:r w:rsidR="00E8469E">
        <w:t>This qualitative, narrative-based approach is appropriate here, given that, ‘Seid is not one event or sensation. A need for multiple, situated narratives becomes evident</w:t>
      </w:r>
      <w:r w:rsidR="00BA3DD8">
        <w:t>’</w:t>
      </w:r>
      <w:r w:rsidR="00E8469E">
        <w:rPr>
          <w:rStyle w:val="FootnoteReference"/>
        </w:rPr>
        <w:footnoteReference w:id="17"/>
      </w:r>
      <w:r w:rsidR="00E8469E">
        <w:t xml:space="preserve"> as Blain notes. </w:t>
      </w:r>
      <w:r w:rsidR="00BA3DD8">
        <w:t xml:space="preserve">She </w:t>
      </w:r>
      <w:r w:rsidR="00E8469E">
        <w:t>also takes an autoethnographic approach, referring not only to her own experiences of her subject of study, but also to the context in which her research takes place and her personal responses, for example by referring to her journey to carry out her research.</w:t>
      </w:r>
      <w:r w:rsidR="00BA3DD8">
        <w:rPr>
          <w:rStyle w:val="FootnoteReference"/>
        </w:rPr>
        <w:footnoteReference w:id="18"/>
      </w:r>
      <w:r w:rsidR="00FE52D9">
        <w:t xml:space="preserve"> </w:t>
      </w:r>
      <w:r w:rsidR="00A23322">
        <w:t xml:space="preserve"> She therefore also uses autoethnography as part of her research methodology, using ‘</w:t>
      </w:r>
      <w:r w:rsidR="00A23322" w:rsidRPr="00A23322">
        <w:rPr>
          <w:rFonts w:cs="Calibri"/>
          <w:shd w:val="clear" w:color="auto" w:fill="FFFFFF"/>
        </w:rPr>
        <w:t>personal experience to illustrate facets of cultural experience</w:t>
      </w:r>
      <w:r w:rsidR="00A23322">
        <w:rPr>
          <w:rFonts w:cs="Calibri"/>
          <w:shd w:val="clear" w:color="auto" w:fill="FFFFFF"/>
        </w:rPr>
        <w:t>’</w:t>
      </w:r>
      <w:r w:rsidR="000D0989">
        <w:rPr>
          <w:rStyle w:val="FootnoteReference"/>
          <w:rFonts w:cs="Calibri"/>
          <w:shd w:val="clear" w:color="auto" w:fill="FFFFFF"/>
        </w:rPr>
        <w:footnoteReference w:id="19"/>
      </w:r>
      <w:r w:rsidR="000D0989">
        <w:rPr>
          <w:rFonts w:cs="Calibri"/>
          <w:shd w:val="clear" w:color="auto" w:fill="FFFFFF"/>
        </w:rPr>
        <w:t xml:space="preserve"> as Carolyn Ellis, Tony Adams and Arthur P. Bochner describe the autoethnographic approach. </w:t>
      </w:r>
      <w:r w:rsidR="00E8469E">
        <w:t xml:space="preserve">Throughout her paper, the lines between research and personal experience are blurred, which can </w:t>
      </w:r>
      <w:proofErr w:type="gramStart"/>
      <w:r w:rsidR="00E8469E">
        <w:t>in itself be</w:t>
      </w:r>
      <w:proofErr w:type="gramEnd"/>
      <w:r w:rsidR="00E8469E">
        <w:t xml:space="preserve"> seen as a research methodology. Her paper becomes a kind of ‘meta-methodology’, a jumping off point for discussion of the process of knowledge creation, raising questions for example around the situatedness of the researcher.</w:t>
      </w:r>
      <w:r w:rsidR="00E8469E">
        <w:rPr>
          <w:rStyle w:val="FootnoteReference"/>
        </w:rPr>
        <w:footnoteReference w:id="20"/>
      </w:r>
      <w:r w:rsidR="00BA3DD8">
        <w:t xml:space="preserve"> </w:t>
      </w:r>
      <w:r w:rsidR="00A23322">
        <w:t xml:space="preserve">She therefore avoids the risk noted by </w:t>
      </w:r>
      <w:r w:rsidR="00A23322">
        <w:t xml:space="preserve">Alan </w:t>
      </w:r>
      <w:r w:rsidR="00A23322">
        <w:t xml:space="preserve">Bryman that phenomenology can be ‘indicative of little </w:t>
      </w:r>
      <w:r w:rsidR="00A23322">
        <w:lastRenderedPageBreak/>
        <w:t>more than a commitment to the actor’s perspective’.</w:t>
      </w:r>
      <w:r w:rsidR="00A23322">
        <w:rPr>
          <w:rStyle w:val="FootnoteReference"/>
        </w:rPr>
        <w:footnoteReference w:id="21"/>
      </w:r>
      <w:r w:rsidR="00A23322">
        <w:t xml:space="preserve"> The ‘actor’s perspective’ is indeed centred here but is a jumping off point for further reflection rather than simply a description.</w:t>
      </w:r>
      <w:r w:rsidR="00A23322">
        <w:t xml:space="preserve"> </w:t>
      </w:r>
      <w:r w:rsidR="00BA3DD8">
        <w:t>Blain</w:t>
      </w:r>
      <w:r w:rsidR="00E030D5">
        <w:t>’s methodology allows her</w:t>
      </w:r>
      <w:r w:rsidR="00BA3DD8">
        <w:t xml:space="preserve"> </w:t>
      </w:r>
      <w:r w:rsidR="00AC7068">
        <w:t>to reflect</w:t>
      </w:r>
      <w:r w:rsidR="00BA3DD8">
        <w:t xml:space="preserve"> on how her own research practices and the nature of scholarship in this area are transforming as Marcus suggests. </w:t>
      </w:r>
      <w:r w:rsidR="002624C1">
        <w:t>Both papers set out to explore what is known about beliefs but do so in very different ways, and in each case the methodology chosen impacts the results which are obtained.</w:t>
      </w:r>
    </w:p>
    <w:p w14:paraId="1BD221D0" w14:textId="77777777" w:rsidR="002624C1" w:rsidRDefault="002624C1" w:rsidP="00BA3DD8">
      <w:pPr>
        <w:ind w:firstLine="720"/>
      </w:pPr>
    </w:p>
    <w:p w14:paraId="22A3B75D" w14:textId="451640B7" w:rsidR="00760F6A" w:rsidRPr="00760F6A" w:rsidRDefault="00760F6A" w:rsidP="00760F6A">
      <w:pPr>
        <w:pStyle w:val="Heading5"/>
        <w:rPr>
          <w:rFonts w:ascii="Calibri" w:hAnsi="Calibri" w:cs="Calibri"/>
        </w:rPr>
      </w:pPr>
      <w:r w:rsidRPr="00760F6A">
        <w:rPr>
          <w:rFonts w:ascii="Calibri" w:hAnsi="Calibri" w:cs="Calibri"/>
        </w:rPr>
        <w:t>The insider / outsider continuum</w:t>
      </w:r>
    </w:p>
    <w:p w14:paraId="5F8EC12F" w14:textId="77777777" w:rsidR="00760F6A" w:rsidRDefault="00760F6A"/>
    <w:p w14:paraId="62BF558F" w14:textId="354E367C" w:rsidR="004162DA" w:rsidRDefault="009F09AC" w:rsidP="00FE52D9">
      <w:pPr>
        <w:ind w:firstLine="720"/>
      </w:pPr>
      <w:r>
        <w:t xml:space="preserve">In both cases insider / outsider spectrum plays a key role in the shaping of the projects. </w:t>
      </w:r>
      <w:r w:rsidR="002B79AD">
        <w:t>Brink seems to take an outsider approach throughout. The survey is administered during class time, so that there is no contract, indirect or otherwise, between the researcher and the research participants.</w:t>
      </w:r>
      <w:r w:rsidR="00E518B2">
        <w:rPr>
          <w:rStyle w:val="FootnoteReference"/>
        </w:rPr>
        <w:footnoteReference w:id="22"/>
      </w:r>
      <w:r w:rsidR="002B79AD">
        <w:t xml:space="preserve"> </w:t>
      </w:r>
      <w:r w:rsidR="00E030D5">
        <w:t>This is appropriate to the positivist, quantitative approach, which as Hennink, Hutter and Bailey note assumes that there is ‘no influence of the researcher on the process of data collection.’</w:t>
      </w:r>
      <w:r w:rsidR="00E030D5">
        <w:rPr>
          <w:rStyle w:val="FootnoteReference"/>
        </w:rPr>
        <w:footnoteReference w:id="23"/>
      </w:r>
      <w:r w:rsidR="00E030D5">
        <w:t xml:space="preserve"> </w:t>
      </w:r>
      <w:r w:rsidR="00976D31">
        <w:t xml:space="preserve">Blain, on the other hand, openly takes an insider approach, </w:t>
      </w:r>
      <w:r w:rsidR="005271F5">
        <w:t>stating in the second paragraph of her paper that her research is based on personal experience which she then contextualises with a wider anthropological approach.</w:t>
      </w:r>
      <w:r w:rsidR="007648F5">
        <w:rPr>
          <w:rStyle w:val="FootnoteReference"/>
        </w:rPr>
        <w:footnoteReference w:id="24"/>
      </w:r>
      <w:r w:rsidR="005271F5">
        <w:t xml:space="preserve"> She gives both outsider and insider accounts of the experience of her research participants (including her own) and uses the difference between them as a trigger for </w:t>
      </w:r>
      <w:r>
        <w:t>more in depth thinking about the process of knowledge creation and the current debates in anthropology</w:t>
      </w:r>
      <w:r w:rsidR="005271F5">
        <w:t>.</w:t>
      </w:r>
      <w:r w:rsidR="00E030D5">
        <w:rPr>
          <w:rStyle w:val="FootnoteReference"/>
        </w:rPr>
        <w:footnoteReference w:id="25"/>
      </w:r>
      <w:r w:rsidR="00CB1EB3">
        <w:t xml:space="preserve"> </w:t>
      </w:r>
      <w:r w:rsidR="006D7E3C">
        <w:t>Blain has explored the role of the insider elsewhere in her work</w:t>
      </w:r>
      <w:r w:rsidR="00E030D5">
        <w:t xml:space="preserve">, </w:t>
      </w:r>
      <w:r w:rsidR="006D7E3C">
        <w:t>point</w:t>
      </w:r>
      <w:r w:rsidR="00E030D5">
        <w:t>ing</w:t>
      </w:r>
      <w:r w:rsidR="006D7E3C">
        <w:t xml:space="preserve"> out that </w:t>
      </w:r>
      <w:r w:rsidR="000538AF">
        <w:t>‘</w:t>
      </w:r>
      <w:r w:rsidR="006D7E3C">
        <w:t>Ethnography is changing and the ‘insider’s’ view is no longer debarred.</w:t>
      </w:r>
      <w:r w:rsidR="000538AF">
        <w:t>’</w:t>
      </w:r>
      <w:r w:rsidR="006D7E3C">
        <w:rPr>
          <w:rStyle w:val="FootnoteReference"/>
        </w:rPr>
        <w:footnoteReference w:id="26"/>
      </w:r>
      <w:r w:rsidR="00E55FC5">
        <w:t>, echoing Marcus’s comments on the transformation of ethnography referred to above.</w:t>
      </w:r>
      <w:r w:rsidR="006D7E3C">
        <w:t xml:space="preserve"> </w:t>
      </w:r>
      <w:r>
        <w:t xml:space="preserve">In taking such a </w:t>
      </w:r>
      <w:r w:rsidR="007648F5">
        <w:t>clear</w:t>
      </w:r>
      <w:r>
        <w:t xml:space="preserve"> insider approach</w:t>
      </w:r>
      <w:r w:rsidR="007648F5">
        <w:t xml:space="preserve"> and acknowledging her subjectivity</w:t>
      </w:r>
      <w:r>
        <w:t>, Blain avoids the risk suggested by Marcus of</w:t>
      </w:r>
      <w:r w:rsidR="00EA12A1">
        <w:t xml:space="preserve"> a</w:t>
      </w:r>
      <w:r>
        <w:t xml:space="preserve"> </w:t>
      </w:r>
      <w:r w:rsidR="000538AF">
        <w:t>‘</w:t>
      </w:r>
      <w:r>
        <w:t xml:space="preserve">struggle in contemporary works of so-called postmodern anthropology </w:t>
      </w:r>
      <w:r w:rsidR="00EA12A1">
        <w:t>…</w:t>
      </w:r>
      <w:r>
        <w:t xml:space="preserve"> between the currently liberating techniques and cognitions of a modernist sensibility and the continuing desire to report objectively on a reality other than the anthropologist's own.</w:t>
      </w:r>
      <w:r w:rsidR="000538AF">
        <w:t>’</w:t>
      </w:r>
      <w:r>
        <w:rPr>
          <w:rStyle w:val="FootnoteReference"/>
        </w:rPr>
        <w:footnoteReference w:id="27"/>
      </w:r>
      <w:r>
        <w:t xml:space="preserve"> </w:t>
      </w:r>
      <w:r w:rsidR="00E24752">
        <w:t>The two papers are situated at very different points on the insider / outsider continuum,</w:t>
      </w:r>
      <w:r w:rsidR="00E8469E">
        <w:t xml:space="preserve"> </w:t>
      </w:r>
      <w:r w:rsidR="00E24752">
        <w:t>but in both cases at a point which is appropriate for the nature of the research project.</w:t>
      </w:r>
      <w:r w:rsidR="006648C7">
        <w:t xml:space="preserve"> </w:t>
      </w:r>
    </w:p>
    <w:p w14:paraId="7DEED134" w14:textId="77777777" w:rsidR="00F34F6E" w:rsidRDefault="00F34F6E"/>
    <w:p w14:paraId="270B086B" w14:textId="09BBEC90" w:rsidR="00F34F6E" w:rsidRPr="007648F5" w:rsidRDefault="00F34F6E" w:rsidP="007648F5">
      <w:pPr>
        <w:pStyle w:val="Heading5"/>
        <w:rPr>
          <w:rFonts w:ascii="Calibri" w:hAnsi="Calibri" w:cs="Calibri"/>
        </w:rPr>
      </w:pPr>
      <w:r w:rsidRPr="007648F5">
        <w:rPr>
          <w:rFonts w:ascii="Calibri" w:hAnsi="Calibri" w:cs="Calibri"/>
        </w:rPr>
        <w:t>Ethic</w:t>
      </w:r>
      <w:r w:rsidR="007648F5" w:rsidRPr="007648F5">
        <w:rPr>
          <w:rFonts w:ascii="Calibri" w:hAnsi="Calibri" w:cs="Calibri"/>
        </w:rPr>
        <w:t>al Considerations</w:t>
      </w:r>
      <w:r w:rsidR="00575F99">
        <w:rPr>
          <w:rFonts w:ascii="Calibri" w:hAnsi="Calibri" w:cs="Calibri"/>
        </w:rPr>
        <w:t xml:space="preserve"> and Reflexivity</w:t>
      </w:r>
    </w:p>
    <w:p w14:paraId="2CCFF940" w14:textId="77777777" w:rsidR="00F34F6E" w:rsidRDefault="00F34F6E"/>
    <w:p w14:paraId="77B06B8F" w14:textId="2077727A" w:rsidR="00A56FEA" w:rsidRDefault="00E24752" w:rsidP="007E7179">
      <w:pPr>
        <w:ind w:firstLine="720"/>
      </w:pPr>
      <w:r>
        <w:t xml:space="preserve">There are ambiguities around ethical issues in both papers, and the </w:t>
      </w:r>
      <w:r w:rsidR="000538AF">
        <w:t>‘</w:t>
      </w:r>
      <w:r>
        <w:t>position of ethical tension</w:t>
      </w:r>
      <w:r w:rsidR="000538AF">
        <w:t>’</w:t>
      </w:r>
      <w:r w:rsidR="00D211A2" w:rsidRPr="00D211A2">
        <w:rPr>
          <w:rStyle w:val="FootnoteReference"/>
        </w:rPr>
        <w:t xml:space="preserve"> </w:t>
      </w:r>
      <w:r w:rsidR="00D211A2">
        <w:rPr>
          <w:rStyle w:val="FootnoteReference"/>
        </w:rPr>
        <w:footnoteReference w:id="28"/>
      </w:r>
      <w:r w:rsidR="00D211A2">
        <w:t xml:space="preserve"> </w:t>
      </w:r>
      <w:r>
        <w:t xml:space="preserve"> noted by</w:t>
      </w:r>
      <w:r w:rsidR="00D211A2">
        <w:t xml:space="preserve"> Marilys Guillemin and Lynn Gillam</w:t>
      </w:r>
      <w:r>
        <w:t xml:space="preserve"> implicit in all research involving human participants is evident in different ways in both papers</w:t>
      </w:r>
      <w:r w:rsidR="00D211A2">
        <w:t>.</w:t>
      </w:r>
      <w:r w:rsidR="002669BD">
        <w:t xml:space="preserve"> Neither paper gives explicit information on ethical procedures.</w:t>
      </w:r>
      <w:r w:rsidR="00D211A2">
        <w:t xml:space="preserve"> The distribution of </w:t>
      </w:r>
      <w:r w:rsidR="00F34F6E">
        <w:t xml:space="preserve">Brink’s paper during </w:t>
      </w:r>
      <w:r w:rsidR="00D211A2">
        <w:t>school</w:t>
      </w:r>
      <w:r w:rsidR="00F34F6E">
        <w:t xml:space="preserve"> religious studies classes</w:t>
      </w:r>
      <w:r w:rsidR="00D211A2">
        <w:t xml:space="preserve"> </w:t>
      </w:r>
      <w:r w:rsidR="00F34F6E">
        <w:t>raises issues</w:t>
      </w:r>
      <w:r w:rsidR="00D211A2">
        <w:t xml:space="preserve"> around</w:t>
      </w:r>
      <w:r w:rsidR="00A56FEA">
        <w:t xml:space="preserve"> the power dynamic of </w:t>
      </w:r>
      <w:r w:rsidR="00F34F6E">
        <w:t>students being told to fill in the paper by the teacher, a gatekeeper for the research but also a figure of authorit</w:t>
      </w:r>
      <w:r w:rsidR="00747A78">
        <w:t>y</w:t>
      </w:r>
      <w:r w:rsidR="00F34F6E">
        <w:t xml:space="preserve">. </w:t>
      </w:r>
      <w:r w:rsidR="006C573A">
        <w:t xml:space="preserve">Blain </w:t>
      </w:r>
      <w:proofErr w:type="gramStart"/>
      <w:r w:rsidR="002669BD">
        <w:t>give</w:t>
      </w:r>
      <w:proofErr w:type="gramEnd"/>
      <w:r w:rsidR="002669BD">
        <w:t xml:space="preserve"> f</w:t>
      </w:r>
      <w:r w:rsidR="00DB19E6">
        <w:t xml:space="preserve">irst names for several of the research participants with no explanation as to whether consent was given for these to be shared or </w:t>
      </w:r>
      <w:r w:rsidR="00DB19E6">
        <w:lastRenderedPageBreak/>
        <w:t>whether they are pseudonyms.</w:t>
      </w:r>
      <w:r w:rsidR="007C17F4">
        <w:rPr>
          <w:rStyle w:val="FootnoteReference"/>
        </w:rPr>
        <w:footnoteReference w:id="29"/>
      </w:r>
      <w:r w:rsidR="007C17F4">
        <w:t xml:space="preserve"> </w:t>
      </w:r>
      <w:r w:rsidR="00D32F6D">
        <w:t xml:space="preserve">Her personal relationships with the research participants can be seen as </w:t>
      </w:r>
      <w:r w:rsidR="00D32F6D" w:rsidRPr="00D32F6D">
        <w:rPr>
          <w:rFonts w:cs="Calibri"/>
        </w:rPr>
        <w:t>‘</w:t>
      </w:r>
      <w:r w:rsidR="00D32F6D" w:rsidRPr="00D32F6D">
        <w:rPr>
          <w:rFonts w:cs="Calibri"/>
          <w:shd w:val="clear" w:color="auto" w:fill="FFFFFF"/>
        </w:rPr>
        <w:t>making relational ethics more complicated</w:t>
      </w:r>
      <w:r w:rsidR="00D32F6D" w:rsidRPr="00D32F6D">
        <w:rPr>
          <w:rFonts w:cs="Calibri"/>
          <w:shd w:val="clear" w:color="auto" w:fill="FFFFFF"/>
        </w:rPr>
        <w:t>’</w:t>
      </w:r>
      <w:r w:rsidR="00D32F6D">
        <w:rPr>
          <w:rStyle w:val="FootnoteReference"/>
          <w:rFonts w:cs="Calibri"/>
          <w:shd w:val="clear" w:color="auto" w:fill="FFFFFF"/>
        </w:rPr>
        <w:footnoteReference w:id="30"/>
      </w:r>
      <w:r w:rsidR="00D32F6D">
        <w:rPr>
          <w:rFonts w:cs="Calibri"/>
          <w:shd w:val="clear" w:color="auto" w:fill="FFFFFF"/>
        </w:rPr>
        <w:t xml:space="preserve"> as Ellis, Adams and Bochner have noted, but this is not explored in the paper. However, the two</w:t>
      </w:r>
      <w:r w:rsidR="00A56FEA">
        <w:t xml:space="preserve"> papers differ in their attitude to their participants. Brink refers to the students who are the object of his study as </w:t>
      </w:r>
      <w:r w:rsidR="000538AF">
        <w:t>‘</w:t>
      </w:r>
      <w:r w:rsidR="00A56FEA">
        <w:t xml:space="preserve">subjects”, reinforcing again the emphasis on objective measurement noted by Hennink, Hutter and Bailey, as quoted above. This becomes </w:t>
      </w:r>
      <w:r w:rsidR="005B6658">
        <w:t>‘</w:t>
      </w:r>
      <w:r w:rsidR="00A56FEA">
        <w:t>ethically problematic</w:t>
      </w:r>
      <w:r w:rsidR="005B6658">
        <w:t>’</w:t>
      </w:r>
      <w:r w:rsidR="00A56FEA">
        <w:t xml:space="preserve">, to again quote Guillemin and Gillam, </w:t>
      </w:r>
      <w:r w:rsidR="005B6658">
        <w:t>‘</w:t>
      </w:r>
      <w:r w:rsidR="00A56FEA">
        <w:t>because it fails to accord to individuals the respect they are owed.</w:t>
      </w:r>
      <w:r w:rsidR="005B6658">
        <w:t>’</w:t>
      </w:r>
      <w:r w:rsidR="00A56FEA">
        <w:rPr>
          <w:rStyle w:val="FootnoteReference"/>
        </w:rPr>
        <w:footnoteReference w:id="31"/>
      </w:r>
      <w:r w:rsidR="00A56FEA">
        <w:t xml:space="preserve"> </w:t>
      </w:r>
      <w:r w:rsidR="00284C2C">
        <w:t xml:space="preserve">Blain’s paper, on the other hand, </w:t>
      </w:r>
      <w:r w:rsidR="00D211A2">
        <w:t xml:space="preserve">quotes and explicitly acknowledges </w:t>
      </w:r>
      <w:r w:rsidR="00284C2C">
        <w:t>the contributions</w:t>
      </w:r>
      <w:r w:rsidR="00D211A2">
        <w:t xml:space="preserve"> of specific individuals</w:t>
      </w:r>
      <w:r w:rsidR="00284C2C">
        <w:t>.</w:t>
      </w:r>
      <w:r w:rsidR="00284C2C">
        <w:rPr>
          <w:rStyle w:val="FootnoteReference"/>
        </w:rPr>
        <w:footnoteReference w:id="32"/>
      </w:r>
      <w:r w:rsidR="007E7179">
        <w:t xml:space="preserve"> She therefore does </w:t>
      </w:r>
      <w:r w:rsidR="006648C7">
        <w:t>‘</w:t>
      </w:r>
      <w:r w:rsidR="007E7179">
        <w:t>accord individuals the respect they are owed</w:t>
      </w:r>
      <w:r w:rsidR="006648C7">
        <w:t>’</w:t>
      </w:r>
      <w:r w:rsidR="007E7179">
        <w:t>.</w:t>
      </w:r>
      <w:r w:rsidR="00D32F6D">
        <w:t xml:space="preserve"> Both papers contain ethical ambiguities, which differ in each case based on the type of research being conducted.</w:t>
      </w:r>
    </w:p>
    <w:p w14:paraId="7F180F37" w14:textId="77777777" w:rsidR="00A56FEA" w:rsidRDefault="00A56FEA"/>
    <w:p w14:paraId="7F3F947E" w14:textId="2C81DC24" w:rsidR="003D7E53" w:rsidRDefault="007E7179" w:rsidP="006648C7">
      <w:pPr>
        <w:ind w:firstLine="720"/>
      </w:pPr>
      <w:r>
        <w:t xml:space="preserve">The two papers </w:t>
      </w:r>
      <w:r>
        <w:t xml:space="preserve">also </w:t>
      </w:r>
      <w:r>
        <w:t>take different approaches to reflexivity. Brink does not adopt an explicitly reflexive approach. An element of personal response does appear towards the end of the paper when Brink expresses his surprise at the survey results.</w:t>
      </w:r>
      <w:r>
        <w:rPr>
          <w:rStyle w:val="FootnoteReference"/>
        </w:rPr>
        <w:footnoteReference w:id="33"/>
      </w:r>
      <w:r>
        <w:t xml:space="preserve"> However, there is no ‘conscious self-reflection…to make explicit [the researcher’s] potential influence on the research process’</w:t>
      </w:r>
      <w:r>
        <w:rPr>
          <w:rStyle w:val="FootnoteReference"/>
        </w:rPr>
        <w:footnoteReference w:id="34"/>
      </w:r>
      <w:r>
        <w:t xml:space="preserve"> as Hennink, Hutter and Bailey define reflexivity, so it can be argued that this is not an example of reflexivity.</w:t>
      </w:r>
      <w:r>
        <w:t xml:space="preserve"> On the other hand, r</w:t>
      </w:r>
      <w:r w:rsidR="00A819FB">
        <w:t xml:space="preserve">eflexivity is a key theme throughout Blain’s paper, running the risk acknowledged by Finlay that </w:t>
      </w:r>
      <w:r w:rsidR="005B6658">
        <w:t>‘</w:t>
      </w:r>
      <w:r w:rsidR="00A819FB">
        <w:t xml:space="preserve">the </w:t>
      </w:r>
      <w:r w:rsidR="00A819FB" w:rsidRPr="00A819FB">
        <w:t>researcher’s position can become unduly</w:t>
      </w:r>
      <w:r w:rsidR="00A819FB">
        <w:t xml:space="preserve"> </w:t>
      </w:r>
      <w:r w:rsidR="00A819FB" w:rsidRPr="00A819FB">
        <w:t>privileged,</w:t>
      </w:r>
      <w:r w:rsidR="00A819FB">
        <w:t xml:space="preserve"> </w:t>
      </w:r>
      <w:r w:rsidR="00A819FB" w:rsidRPr="00A819FB">
        <w:t>blocking</w:t>
      </w:r>
      <w:r w:rsidR="00A819FB">
        <w:t xml:space="preserve"> </w:t>
      </w:r>
      <w:r w:rsidR="00A819FB" w:rsidRPr="00A819FB">
        <w:t>out</w:t>
      </w:r>
      <w:r w:rsidR="00A819FB">
        <w:t xml:space="preserve"> </w:t>
      </w:r>
      <w:r w:rsidR="00A819FB" w:rsidRPr="00A819FB">
        <w:t>the</w:t>
      </w:r>
      <w:r w:rsidR="00A819FB">
        <w:t xml:space="preserve"> </w:t>
      </w:r>
      <w:r w:rsidR="00A819FB" w:rsidRPr="00A819FB">
        <w:t>participant’s</w:t>
      </w:r>
      <w:r w:rsidR="00A819FB">
        <w:t xml:space="preserve"> </w:t>
      </w:r>
      <w:r w:rsidR="00A819FB" w:rsidRPr="00A819FB">
        <w:t>voice</w:t>
      </w:r>
      <w:r w:rsidR="00A819FB">
        <w:t>.</w:t>
      </w:r>
      <w:r w:rsidR="005B6658">
        <w:t>’</w:t>
      </w:r>
      <w:r w:rsidR="00A819FB">
        <w:rPr>
          <w:rStyle w:val="FootnoteReference"/>
        </w:rPr>
        <w:footnoteReference w:id="35"/>
      </w:r>
      <w:r w:rsidR="00575F99">
        <w:t xml:space="preserve"> </w:t>
      </w:r>
      <w:r w:rsidR="00D211A2">
        <w:t>It can be argued however that Blain’s focus on her own experience makes her a participant as well as the researcher</w:t>
      </w:r>
      <w:r w:rsidR="00E35389">
        <w:t xml:space="preserve">, avoiding this risk at least to an extent. </w:t>
      </w:r>
      <w:r w:rsidR="00E8469E">
        <w:t xml:space="preserve">Reflexivity can be seen as part of Blain’s </w:t>
      </w:r>
      <w:r>
        <w:t>methodology, and she acknowledges</w:t>
      </w:r>
      <w:r w:rsidR="00E8469E">
        <w:t xml:space="preserve"> </w:t>
      </w:r>
      <w:r>
        <w:t xml:space="preserve">that ‘critical awareness and </w:t>
      </w:r>
      <w:r w:rsidR="00603B36">
        <w:t xml:space="preserve">reflexivity </w:t>
      </w:r>
      <w:r>
        <w:t xml:space="preserve">are constructed </w:t>
      </w:r>
      <w:r w:rsidR="00603B36">
        <w:t>in the intersections of the worlds</w:t>
      </w:r>
      <w:r w:rsidR="005B6658">
        <w:t>’</w:t>
      </w:r>
      <w:r>
        <w:rPr>
          <w:rStyle w:val="FootnoteReference"/>
        </w:rPr>
        <w:footnoteReference w:id="36"/>
      </w:r>
      <w:r w:rsidR="00131A52">
        <w:t>. She reflects on her experiences of sharing her research with academia and ‘the embarrassment I feel when dealing with those who will only accept “rationality”’</w:t>
      </w:r>
      <w:r w:rsidR="00131A52">
        <w:rPr>
          <w:rStyle w:val="FootnoteReference"/>
        </w:rPr>
        <w:footnoteReference w:id="37"/>
      </w:r>
      <w:r w:rsidR="00277ACD">
        <w:t xml:space="preserve"> suggesting an autoethnographic approach as explained by </w:t>
      </w:r>
      <w:r w:rsidR="00277ACD" w:rsidRPr="00277ACD">
        <w:rPr>
          <w:rFonts w:cs="Calibri"/>
          <w:color w:val="000000"/>
          <w:shd w:val="clear" w:color="auto" w:fill="FFFFFF"/>
        </w:rPr>
        <w:t>Christiane Kraft Alsop</w:t>
      </w:r>
      <w:r w:rsidR="00277ACD">
        <w:rPr>
          <w:rFonts w:cs="Calibri"/>
          <w:color w:val="000000"/>
          <w:shd w:val="clear" w:color="auto" w:fill="FFFFFF"/>
        </w:rPr>
        <w:t xml:space="preserve"> who speaks of the ‘</w:t>
      </w:r>
      <w:r w:rsidR="00277ACD" w:rsidRPr="00277ACD">
        <w:rPr>
          <w:rFonts w:cs="Calibri"/>
          <w:color w:val="000000"/>
          <w:shd w:val="clear" w:color="auto" w:fill="FFFFFF"/>
        </w:rPr>
        <w:t>attempt at practicing this self-reflexivity by having a closer look at one's own longings and belongings</w:t>
      </w:r>
      <w:r w:rsidR="00277ACD">
        <w:rPr>
          <w:rFonts w:cs="Calibri"/>
          <w:color w:val="000000"/>
          <w:shd w:val="clear" w:color="auto" w:fill="FFFFFF"/>
        </w:rPr>
        <w:t xml:space="preserve">… [which] </w:t>
      </w:r>
      <w:r w:rsidR="00277ACD" w:rsidRPr="00277ACD">
        <w:rPr>
          <w:rFonts w:cs="Calibri"/>
          <w:color w:val="000000"/>
          <w:shd w:val="clear" w:color="auto" w:fill="FFFFFF"/>
        </w:rPr>
        <w:t>places the self within a social context by connecting the personal and the cultura</w:t>
      </w:r>
      <w:r w:rsidR="00277ACD">
        <w:rPr>
          <w:rFonts w:ascii="Arial" w:hAnsi="Arial" w:cs="Arial"/>
          <w:color w:val="000000"/>
          <w:shd w:val="clear" w:color="auto" w:fill="FFFFFF"/>
        </w:rPr>
        <w:t>l</w:t>
      </w:r>
      <w:r w:rsidR="00277ACD">
        <w:rPr>
          <w:rFonts w:cs="Calibri"/>
          <w:color w:val="000000"/>
          <w:shd w:val="clear" w:color="auto" w:fill="FFFFFF"/>
        </w:rPr>
        <w:t>’</w:t>
      </w:r>
      <w:r w:rsidR="00277ACD">
        <w:rPr>
          <w:rStyle w:val="FootnoteReference"/>
          <w:rFonts w:cs="Calibri"/>
          <w:color w:val="000000"/>
          <w:shd w:val="clear" w:color="auto" w:fill="FFFFFF"/>
        </w:rPr>
        <w:footnoteReference w:id="38"/>
      </w:r>
      <w:r w:rsidR="00277ACD">
        <w:rPr>
          <w:rFonts w:cs="Calibri"/>
          <w:color w:val="000000"/>
          <w:shd w:val="clear" w:color="auto" w:fill="FFFFFF"/>
        </w:rPr>
        <w:t xml:space="preserve"> This </w:t>
      </w:r>
      <w:r w:rsidR="006648C7">
        <w:rPr>
          <w:rFonts w:cs="Calibri"/>
          <w:color w:val="000000"/>
          <w:shd w:val="clear" w:color="auto" w:fill="FFFFFF"/>
        </w:rPr>
        <w:t>describes</w:t>
      </w:r>
      <w:r w:rsidR="00277ACD">
        <w:rPr>
          <w:rFonts w:cs="Calibri"/>
          <w:color w:val="000000"/>
          <w:shd w:val="clear" w:color="auto" w:fill="FFFFFF"/>
        </w:rPr>
        <w:t xml:space="preserve"> Blain’s reflexive process</w:t>
      </w:r>
      <w:r w:rsidR="00563410">
        <w:rPr>
          <w:rFonts w:cs="Calibri"/>
          <w:color w:val="000000"/>
          <w:shd w:val="clear" w:color="auto" w:fill="FFFFFF"/>
        </w:rPr>
        <w:t>, which contributes to her broader conclusions about the nature of knowledge creation and</w:t>
      </w:r>
      <w:r w:rsidR="006648C7">
        <w:rPr>
          <w:rFonts w:cs="Calibri"/>
          <w:color w:val="000000"/>
          <w:shd w:val="clear" w:color="auto" w:fill="FFFFFF"/>
        </w:rPr>
        <w:t xml:space="preserve"> the</w:t>
      </w:r>
      <w:r w:rsidR="00563410">
        <w:rPr>
          <w:rFonts w:cs="Calibri"/>
          <w:color w:val="000000"/>
          <w:shd w:val="clear" w:color="auto" w:fill="FFFFFF"/>
        </w:rPr>
        <w:t xml:space="preserve"> constraints around it</w:t>
      </w:r>
      <w:r w:rsidR="006648C7">
        <w:rPr>
          <w:rFonts w:cs="Calibri"/>
          <w:color w:val="000000"/>
          <w:shd w:val="clear" w:color="auto" w:fill="FFFFFF"/>
        </w:rPr>
        <w:t xml:space="preserve">. </w:t>
      </w:r>
      <w:r w:rsidR="006648C7">
        <w:t>The two papers therefore show researchers positioning themselves in very different ways</w:t>
      </w:r>
      <w:r w:rsidR="006648C7">
        <w:t xml:space="preserve"> in terms of their role in the research process</w:t>
      </w:r>
      <w:r w:rsidR="00AC7068">
        <w:t>, but once again in ways that are appropriate to the research itself</w:t>
      </w:r>
      <w:r w:rsidR="006648C7">
        <w:t>.</w:t>
      </w:r>
    </w:p>
    <w:p w14:paraId="50F6930E" w14:textId="77777777" w:rsidR="004E7915" w:rsidRDefault="004E7915"/>
    <w:p w14:paraId="14F3CC57" w14:textId="77777777" w:rsidR="00AC7068" w:rsidRDefault="00AC7068"/>
    <w:p w14:paraId="6E9DBCD6" w14:textId="77777777" w:rsidR="00AC7068" w:rsidRDefault="00AC7068"/>
    <w:p w14:paraId="3A39DB6D" w14:textId="77777777" w:rsidR="00AC7068" w:rsidRDefault="00AC7068"/>
    <w:p w14:paraId="73D16342" w14:textId="5459CC0D" w:rsidR="00F34F6E" w:rsidRPr="00793C75" w:rsidRDefault="00793C75">
      <w:pPr>
        <w:rPr>
          <w:color w:val="0F4761" w:themeColor="accent1" w:themeShade="BF"/>
        </w:rPr>
      </w:pPr>
      <w:r w:rsidRPr="00793C75">
        <w:rPr>
          <w:color w:val="0F4761" w:themeColor="accent1" w:themeShade="BF"/>
        </w:rPr>
        <w:lastRenderedPageBreak/>
        <w:t>Structure and Style</w:t>
      </w:r>
    </w:p>
    <w:p w14:paraId="0B4039DE" w14:textId="77777777" w:rsidR="00AC7068" w:rsidRDefault="00AC7068" w:rsidP="003D7E53">
      <w:pPr>
        <w:ind w:firstLine="720"/>
      </w:pPr>
    </w:p>
    <w:p w14:paraId="1DA2525A" w14:textId="426932D4" w:rsidR="003D7E53" w:rsidRDefault="005B6658" w:rsidP="003D7E53">
      <w:pPr>
        <w:ind w:firstLine="720"/>
      </w:pPr>
      <w:r>
        <w:t xml:space="preserve">In keeping with their differing methodological approaches, the two papers differ in structure and style. </w:t>
      </w:r>
      <w:r w:rsidR="00F34F6E">
        <w:t>Brink’s paper has a clear and logical structure</w:t>
      </w:r>
      <w:r>
        <w:t xml:space="preserve">, </w:t>
      </w:r>
      <w:r w:rsidR="00F34F6E">
        <w:t>begi</w:t>
      </w:r>
      <w:r>
        <w:t>nning</w:t>
      </w:r>
      <w:r w:rsidR="00F34F6E">
        <w:t xml:space="preserve"> with a rationale for the research</w:t>
      </w:r>
      <w:r w:rsidR="002B79AD">
        <w:t xml:space="preserve"> </w:t>
      </w:r>
      <w:r>
        <w:t xml:space="preserve">and giving </w:t>
      </w:r>
      <w:r w:rsidR="003D7E53">
        <w:t xml:space="preserve">a </w:t>
      </w:r>
      <w:r w:rsidR="002B79AD">
        <w:t xml:space="preserve">hypothesis </w:t>
      </w:r>
      <w:r>
        <w:t>for</w:t>
      </w:r>
      <w:r w:rsidR="002B79AD">
        <w:t xml:space="preserve"> what form these beliefs are likely to take. The research methodology </w:t>
      </w:r>
      <w:r>
        <w:t xml:space="preserve">and results are clearly </w:t>
      </w:r>
      <w:r w:rsidR="002B79AD">
        <w:t>laid out</w:t>
      </w:r>
      <w:r>
        <w:t>, followed by conclusions</w:t>
      </w:r>
      <w:r w:rsidR="002B79AD">
        <w:t xml:space="preserve"> </w:t>
      </w:r>
      <w:r>
        <w:t>which explore t</w:t>
      </w:r>
      <w:r w:rsidR="002B79AD">
        <w:t>he implications of the research results</w:t>
      </w:r>
      <w:r>
        <w:t xml:space="preserve">. </w:t>
      </w:r>
      <w:r w:rsidR="002B79AD">
        <w:t xml:space="preserve">A clear </w:t>
      </w:r>
      <w:proofErr w:type="gramStart"/>
      <w:r w:rsidR="002B79AD">
        <w:t>final conclusion</w:t>
      </w:r>
      <w:proofErr w:type="gramEnd"/>
      <w:r w:rsidR="002B79AD">
        <w:t xml:space="preserve"> is drawn about the nature of adolescent’s beliefs.</w:t>
      </w:r>
      <w:r w:rsidR="000538AF">
        <w:t xml:space="preserve"> </w:t>
      </w:r>
      <w:r w:rsidR="00B801C4">
        <w:t>Bla</w:t>
      </w:r>
      <w:r w:rsidR="00830465">
        <w:t>in’s paper</w:t>
      </w:r>
      <w:r w:rsidR="000538AF">
        <w:t>, on the other hand,</w:t>
      </w:r>
      <w:r w:rsidR="00830465">
        <w:t xml:space="preserve"> takes a more </w:t>
      </w:r>
      <w:r w:rsidR="00575F99">
        <w:t>fluid approac</w:t>
      </w:r>
      <w:r w:rsidR="003D7E53">
        <w:t>h, moving</w:t>
      </w:r>
      <w:r w:rsidR="003D7E53">
        <w:t xml:space="preserve"> between personal narrative, outsider and insider accounts of shamanic experiences and reflections on those accounts.</w:t>
      </w:r>
      <w:r w:rsidR="003D7E53">
        <w:t xml:space="preserve"> </w:t>
      </w:r>
      <w:r w:rsidR="00830465">
        <w:t xml:space="preserve">She explores different ways of describing the experiences of her participants, using this </w:t>
      </w:r>
      <w:proofErr w:type="gramStart"/>
      <w:r w:rsidR="00830465">
        <w:t>as a way to</w:t>
      </w:r>
      <w:proofErr w:type="gramEnd"/>
      <w:r w:rsidR="00830465">
        <w:t xml:space="preserve"> explore differing approaches to research and the advantages and disadvantages of these approaches. She uses her own research as a springboard for a consideration of </w:t>
      </w:r>
      <w:r w:rsidR="00B801C4">
        <w:t xml:space="preserve">anthropological issues such as </w:t>
      </w:r>
      <w:r>
        <w:t>‘</w:t>
      </w:r>
      <w:r w:rsidR="00B801C4">
        <w:t>going native</w:t>
      </w:r>
      <w:r>
        <w:t>’</w:t>
      </w:r>
      <w:r w:rsidR="00B801C4">
        <w:t xml:space="preserve"> and how meaning is </w:t>
      </w:r>
      <w:r w:rsidR="006648C7">
        <w:t>created</w:t>
      </w:r>
      <w:r w:rsidR="006648C7">
        <w:rPr>
          <w:rStyle w:val="FootnoteReference"/>
        </w:rPr>
        <w:footnoteReference w:id="39"/>
      </w:r>
      <w:r w:rsidR="00B801C4">
        <w:t xml:space="preserve"> before drawing a conclusion by </w:t>
      </w:r>
      <w:proofErr w:type="gramStart"/>
      <w:r w:rsidR="00B801C4">
        <w:t>referring back</w:t>
      </w:r>
      <w:proofErr w:type="gramEnd"/>
      <w:r w:rsidR="00B801C4">
        <w:t xml:space="preserve"> to her initial anecdote</w:t>
      </w:r>
      <w:r w:rsidR="007C17F4">
        <w:t>, thus completing the narrative circle</w:t>
      </w:r>
      <w:r w:rsidR="00B801C4">
        <w:t>.</w:t>
      </w:r>
      <w:r w:rsidR="007C17F4">
        <w:t xml:space="preserve"> </w:t>
      </w:r>
      <w:r w:rsidR="000538AF">
        <w:t xml:space="preserve">In both cases, </w:t>
      </w:r>
      <w:r w:rsidR="00CB2639">
        <w:t xml:space="preserve">the structure of the paper reflects the nature of the research. </w:t>
      </w:r>
    </w:p>
    <w:p w14:paraId="3661EAD8" w14:textId="77777777" w:rsidR="00CB2639" w:rsidRDefault="00CB2639" w:rsidP="003D7E53">
      <w:pPr>
        <w:ind w:firstLine="720"/>
      </w:pPr>
    </w:p>
    <w:p w14:paraId="122FB785" w14:textId="07A45082" w:rsidR="006648C7" w:rsidRDefault="003D7E53" w:rsidP="003D7E53">
      <w:pPr>
        <w:ind w:firstLine="720"/>
      </w:pPr>
      <w:r>
        <w:t xml:space="preserve">The papers are written in different styles but </w:t>
      </w:r>
      <w:r w:rsidR="00CB2639">
        <w:t xml:space="preserve">again </w:t>
      </w:r>
      <w:r>
        <w:t xml:space="preserve">in both cases the style is appropriate to the research methodology. Blain’s use of narrative leads her to use more </w:t>
      </w:r>
      <w:r w:rsidR="008A2C17">
        <w:t xml:space="preserve">informal, </w:t>
      </w:r>
      <w:r>
        <w:t>colloquial language, perhaps reflecting the paper’s initial presentation at a conference. For example, she relates her experience at airport customs using dialogue and anecdote.</w:t>
      </w:r>
      <w:r>
        <w:rPr>
          <w:rStyle w:val="FootnoteReference"/>
        </w:rPr>
        <w:footnoteReference w:id="40"/>
      </w:r>
      <w:r>
        <w:t xml:space="preserve"> Brink, on the other hand, uses </w:t>
      </w:r>
      <w:r w:rsidR="008A2C17">
        <w:t xml:space="preserve">formal, </w:t>
      </w:r>
      <w:proofErr w:type="gramStart"/>
      <w:r>
        <w:t>concise</w:t>
      </w:r>
      <w:proofErr w:type="gramEnd"/>
      <w:r>
        <w:t xml:space="preserve"> and clearly focused</w:t>
      </w:r>
      <w:r>
        <w:t xml:space="preserve"> language, </w:t>
      </w:r>
      <w:r w:rsidR="00EE2F60">
        <w:t>with short sentences and little technical language.</w:t>
      </w:r>
      <w:r w:rsidR="00EE2F60">
        <w:rPr>
          <w:rStyle w:val="FootnoteReference"/>
        </w:rPr>
        <w:footnoteReference w:id="41"/>
      </w:r>
      <w:r w:rsidR="008A2C17">
        <w:t xml:space="preserve"> There is a clear contrast in the style of writing, again appropriate to the research in each case.</w:t>
      </w:r>
    </w:p>
    <w:p w14:paraId="6F8721AD" w14:textId="77777777" w:rsidR="004E7915" w:rsidRDefault="004E7915" w:rsidP="004E7915"/>
    <w:p w14:paraId="277E1757" w14:textId="1C005956" w:rsidR="00A96454" w:rsidRPr="00C417E4" w:rsidRDefault="00C417E4" w:rsidP="004E7915">
      <w:pPr>
        <w:rPr>
          <w:color w:val="0F4761" w:themeColor="accent1" w:themeShade="BF"/>
        </w:rPr>
      </w:pPr>
      <w:r w:rsidRPr="00C417E4">
        <w:rPr>
          <w:color w:val="0F4761" w:themeColor="accent1" w:themeShade="BF"/>
        </w:rPr>
        <w:t xml:space="preserve">Philosophical Approaches </w:t>
      </w:r>
    </w:p>
    <w:p w14:paraId="66D4EAF1" w14:textId="77777777" w:rsidR="00C417E4" w:rsidRDefault="00C417E4" w:rsidP="004E7915"/>
    <w:p w14:paraId="41F7E8CA" w14:textId="7B368FD3" w:rsidR="000538AF" w:rsidRPr="005D2E7F" w:rsidRDefault="00A96454" w:rsidP="005D2E7F">
      <w:pPr>
        <w:ind w:firstLine="720"/>
      </w:pPr>
      <w:r>
        <w:t xml:space="preserve">Whilst both papers deal with issues and ideas around spiritual beliefs, they take very different approaches to delineating and exploring those beliefs. </w:t>
      </w:r>
      <w:r w:rsidR="00C417E4">
        <w:t>As explored above, Blain</w:t>
      </w:r>
      <w:r>
        <w:t xml:space="preserve"> takes a broad approach to what it means to hold a belief and </w:t>
      </w:r>
      <w:r w:rsidR="00C417E4">
        <w:t>considers</w:t>
      </w:r>
      <w:r>
        <w:t xml:space="preserve"> in depth the experiences and cosmologies of her research participants. Brink, on the other hand, takes the statistics as sufficient evidence of a particular belief without </w:t>
      </w:r>
      <w:r w:rsidR="00C417E4">
        <w:t>exploring</w:t>
      </w:r>
      <w:r>
        <w:t xml:space="preserve"> individual experiences</w:t>
      </w:r>
      <w:r w:rsidR="00C417E4">
        <w:t xml:space="preserve"> or </w:t>
      </w:r>
      <w:r>
        <w:t xml:space="preserve">understandings which </w:t>
      </w:r>
      <w:r w:rsidR="00224EE9">
        <w:t>c</w:t>
      </w:r>
      <w:r>
        <w:t xml:space="preserve">ould have brought richer data. </w:t>
      </w:r>
      <w:r w:rsidR="00C417E4">
        <w:t>Indeed, towards the end of her paper, Blain comments that ‘</w:t>
      </w:r>
      <w:r w:rsidR="005B6658">
        <w:t>‘</w:t>
      </w:r>
      <w:r w:rsidR="00C417E4">
        <w:t>Belief” is…not a good description for the relation of shamanists and other beings’, noting the inadequacy of concepts of belief in describing relationships which are ‘simply there’</w:t>
      </w:r>
      <w:r w:rsidR="00C417E4">
        <w:rPr>
          <w:rStyle w:val="FootnoteReference"/>
        </w:rPr>
        <w:footnoteReference w:id="42"/>
      </w:r>
      <w:r w:rsidR="00C417E4">
        <w:t>. She explicitly explores the limits of researching extra-ordinary experiences</w:t>
      </w:r>
      <w:r w:rsidR="00105DB3">
        <w:t>, noting the need to move between the ‘discourse of “spirits” and the discourse of “rationality”’.</w:t>
      </w:r>
      <w:r w:rsidR="00105DB3">
        <w:rPr>
          <w:rStyle w:val="FootnoteReference"/>
        </w:rPr>
        <w:footnoteReference w:id="43"/>
      </w:r>
      <w:r w:rsidR="00105DB3">
        <w:t xml:space="preserve"> Brink, on the other hand, seeks to fit questions of belief into Blain’s “discourse of rationality” without questioning that discourse as Blain does. The two papers can be seen to illustrate the two approaches described by Clifford Geertz, who see</w:t>
      </w:r>
      <w:r w:rsidR="000538AF">
        <w:t>s</w:t>
      </w:r>
      <w:r w:rsidR="00105DB3">
        <w:t xml:space="preserve"> </w:t>
      </w:r>
      <w:r w:rsidR="00105DB3">
        <w:rPr>
          <w:shd w:val="clear" w:color="auto" w:fill="FFFFFF"/>
        </w:rPr>
        <w:t>‘the a</w:t>
      </w:r>
      <w:r w:rsidR="00105DB3">
        <w:rPr>
          <w:shd w:val="clear" w:color="auto" w:fill="FFFFFF"/>
        </w:rPr>
        <w:t xml:space="preserve">nalysis of </w:t>
      </w:r>
      <w:r w:rsidR="00105DB3">
        <w:rPr>
          <w:shd w:val="clear" w:color="auto" w:fill="FFFFFF"/>
        </w:rPr>
        <w:t xml:space="preserve">[culture] </w:t>
      </w:r>
      <w:r w:rsidR="00105DB3">
        <w:rPr>
          <w:shd w:val="clear" w:color="auto" w:fill="FFFFFF"/>
        </w:rPr>
        <w:t>to be therefore not an experimental science in search of law but an interpretive one in search of meaning</w:t>
      </w:r>
      <w:r w:rsidR="00105DB3">
        <w:rPr>
          <w:shd w:val="clear" w:color="auto" w:fill="FFFFFF"/>
        </w:rPr>
        <w:t>’.</w:t>
      </w:r>
      <w:r w:rsidR="00105DB3">
        <w:rPr>
          <w:rStyle w:val="FootnoteReference"/>
          <w:shd w:val="clear" w:color="auto" w:fill="FFFFFF"/>
        </w:rPr>
        <w:footnoteReference w:id="44"/>
      </w:r>
      <w:r w:rsidR="000538AF">
        <w:rPr>
          <w:shd w:val="clear" w:color="auto" w:fill="FFFFFF"/>
        </w:rPr>
        <w:t xml:space="preserve"> Brink seeks to delineate a “law” but struggles to explain ‘beliefs which could not fit together in the same logical system’</w:t>
      </w:r>
      <w:r w:rsidR="005D2E7F">
        <w:rPr>
          <w:shd w:val="clear" w:color="auto" w:fill="FFFFFF"/>
        </w:rPr>
        <w:t>.</w:t>
      </w:r>
      <w:r w:rsidR="000538AF">
        <w:rPr>
          <w:rStyle w:val="FootnoteReference"/>
          <w:shd w:val="clear" w:color="auto" w:fill="FFFFFF"/>
        </w:rPr>
        <w:footnoteReference w:id="45"/>
      </w:r>
      <w:r w:rsidR="00224EE9">
        <w:rPr>
          <w:shd w:val="clear" w:color="auto" w:fill="FFFFFF"/>
        </w:rPr>
        <w:t xml:space="preserve"> </w:t>
      </w:r>
      <w:r w:rsidR="005D2E7F">
        <w:t xml:space="preserve">The advantage of this approach is that it has the potential, at least in the context of a quantitative social sciences approach, to be generalised more </w:t>
      </w:r>
      <w:r w:rsidR="005D2E7F">
        <w:lastRenderedPageBreak/>
        <w:t>broadly, perhaps to adolescent beliefs in other contexts</w:t>
      </w:r>
      <w:r w:rsidR="005D2E7F">
        <w:t xml:space="preserve"> as Brink himself suggests.</w:t>
      </w:r>
      <w:r w:rsidR="005D2E7F">
        <w:rPr>
          <w:rStyle w:val="FootnoteReference"/>
        </w:rPr>
        <w:footnoteReference w:id="46"/>
      </w:r>
      <w:r w:rsidR="005D2E7F">
        <w:t xml:space="preserve"> </w:t>
      </w:r>
      <w:r w:rsidR="00224EE9">
        <w:rPr>
          <w:shd w:val="clear" w:color="auto" w:fill="FFFFFF"/>
        </w:rPr>
        <w:t>Blain, by contrast, explores what she refers to as a ‘maze of meanings’</w:t>
      </w:r>
      <w:r w:rsidR="00224EE9">
        <w:rPr>
          <w:rStyle w:val="FootnoteReference"/>
          <w:shd w:val="clear" w:color="auto" w:fill="FFFFFF"/>
        </w:rPr>
        <w:footnoteReference w:id="47"/>
      </w:r>
      <w:r w:rsidR="00224EE9">
        <w:rPr>
          <w:shd w:val="clear" w:color="auto" w:fill="FFFFFF"/>
        </w:rPr>
        <w:t xml:space="preserve"> in more depth</w:t>
      </w:r>
      <w:r w:rsidR="005D2E7F">
        <w:rPr>
          <w:shd w:val="clear" w:color="auto" w:fill="FFFFFF"/>
        </w:rPr>
        <w:t>. H</w:t>
      </w:r>
      <w:r w:rsidR="00224EE9">
        <w:rPr>
          <w:shd w:val="clear" w:color="auto" w:fill="FFFFFF"/>
        </w:rPr>
        <w:t>er broader philosophical approach allows her to draw broader conclusions</w:t>
      </w:r>
      <w:r w:rsidR="005D2E7F">
        <w:rPr>
          <w:shd w:val="clear" w:color="auto" w:fill="FFFFFF"/>
        </w:rPr>
        <w:t xml:space="preserve"> but </w:t>
      </w:r>
      <w:r w:rsidR="005D2E7F">
        <w:t xml:space="preserve">the </w:t>
      </w:r>
      <w:r w:rsidR="005D2E7F">
        <w:t>focus on</w:t>
      </w:r>
      <w:r w:rsidR="00AC7068">
        <w:t xml:space="preserve"> </w:t>
      </w:r>
      <w:proofErr w:type="spellStart"/>
      <w:r w:rsidR="00AC7068">
        <w:t>a</w:t>
      </w:r>
      <w:proofErr w:type="spellEnd"/>
      <w:r w:rsidR="00AC7068">
        <w:t xml:space="preserve"> small number of</w:t>
      </w:r>
      <w:r w:rsidR="005D2E7F">
        <w:t xml:space="preserve"> </w:t>
      </w:r>
      <w:r w:rsidR="00AC7068">
        <w:t>individual</w:t>
      </w:r>
      <w:r w:rsidR="005D2E7F">
        <w:t xml:space="preserve"> narrative accounts</w:t>
      </w:r>
      <w:r w:rsidR="005D2E7F">
        <w:t xml:space="preserve"> means that </w:t>
      </w:r>
      <w:r w:rsidR="005D2E7F">
        <w:t xml:space="preserve">whilst the research </w:t>
      </w:r>
      <w:r w:rsidR="005D2E7F">
        <w:t>cannot be generalised</w:t>
      </w:r>
      <w:r w:rsidR="005D2E7F">
        <w:t xml:space="preserve"> in terms of wider shamanic beliefs, it does allow her to explore the constraints of research and of academic discourse. </w:t>
      </w:r>
      <w:r w:rsidR="00AC7068">
        <w:t>The different philosophical approach in each paper influences not only the research carried out but also the conclusions drawn.</w:t>
      </w:r>
    </w:p>
    <w:p w14:paraId="79AB7F54" w14:textId="77777777" w:rsidR="002624C1" w:rsidRDefault="002624C1" w:rsidP="000538AF">
      <w:pPr>
        <w:ind w:firstLine="720"/>
        <w:rPr>
          <w:shd w:val="clear" w:color="auto" w:fill="FFFFFF"/>
        </w:rPr>
      </w:pPr>
    </w:p>
    <w:p w14:paraId="54292D0C" w14:textId="62C35913" w:rsidR="00A96454" w:rsidRPr="002624C1" w:rsidRDefault="002624C1" w:rsidP="004E7915">
      <w:pPr>
        <w:rPr>
          <w:color w:val="0F4761" w:themeColor="accent1" w:themeShade="BF"/>
        </w:rPr>
      </w:pPr>
      <w:r w:rsidRPr="002624C1">
        <w:rPr>
          <w:color w:val="0F4761" w:themeColor="accent1" w:themeShade="BF"/>
        </w:rPr>
        <w:t>Conclusion</w:t>
      </w:r>
    </w:p>
    <w:p w14:paraId="734448D1" w14:textId="77777777" w:rsidR="002624C1" w:rsidRDefault="002624C1" w:rsidP="004E7915"/>
    <w:p w14:paraId="2E78689E" w14:textId="2D3FE999" w:rsidR="002624C1" w:rsidRDefault="002624C1" w:rsidP="002624C1">
      <w:pPr>
        <w:ind w:firstLine="720"/>
      </w:pPr>
      <w:r>
        <w:t xml:space="preserve">This paper has </w:t>
      </w:r>
      <w:proofErr w:type="gramStart"/>
      <w:r>
        <w:t>compared and contrasted</w:t>
      </w:r>
      <w:proofErr w:type="gramEnd"/>
      <w:r>
        <w:t xml:space="preserve"> the papers by Blain and Brink, both of which explore issues around religious tradition and belief. Both papers begin with a broad overview of their intended research and the academic context for it. The research methodologies used also differ, with Brink taking a positivist, quantitative approach which is answers the research hypothesis but can also be seen as limited.  Blain draws on phenomenology and autoethnography to explore her subject in depth and to consider wider issues around the development of ethnography and the nature of knowledge creation. The different research methodologies place the two researchers at very different points on the insider / outsider spectrum</w:t>
      </w:r>
      <w:r w:rsidR="00E518B2">
        <w:t>. Both papers show some ethical ambiguities</w:t>
      </w:r>
      <w:r w:rsidR="00224EE9">
        <w:t xml:space="preserve">, although Blain is more explicit in </w:t>
      </w:r>
      <w:r w:rsidR="008A2C17">
        <w:t>acknowledging</w:t>
      </w:r>
      <w:r w:rsidR="00224EE9">
        <w:t xml:space="preserve"> the voices of the participants</w:t>
      </w:r>
      <w:r w:rsidR="008A2C17">
        <w:t xml:space="preserve"> as well as her own voice.</w:t>
      </w:r>
      <w:r w:rsidR="00224EE9">
        <w:t xml:space="preserve"> The two papers also show contrasting approaches to reflexivity, with Brink situating himself outside of the research process whilst Blain reflects explicitly on her role within it.</w:t>
      </w:r>
      <w:r w:rsidR="008A2C17">
        <w:t xml:space="preserve"> The structure and style of both papers also differ, with Brink taking a more formal approach in contrast to the more informal language used by Blain.</w:t>
      </w:r>
      <w:r w:rsidR="00224EE9">
        <w:t xml:space="preserve"> </w:t>
      </w:r>
      <w:proofErr w:type="gramStart"/>
      <w:r w:rsidR="00224EE9">
        <w:t>All of</w:t>
      </w:r>
      <w:proofErr w:type="gramEnd"/>
      <w:r w:rsidR="00224EE9">
        <w:t xml:space="preserve"> these differences can be summed up with a consideration of the different philosophical approaches the two papers take, demonstrating different epistemologies.</w:t>
      </w:r>
    </w:p>
    <w:p w14:paraId="0DB08A09" w14:textId="77777777" w:rsidR="001A48FC" w:rsidRDefault="001A48FC" w:rsidP="004E7915"/>
    <w:p w14:paraId="01357547" w14:textId="77777777" w:rsidR="00BA3DD8" w:rsidRDefault="00BA3DD8" w:rsidP="004E7915"/>
    <w:p w14:paraId="4230246E" w14:textId="77777777" w:rsidR="006D5E69" w:rsidRDefault="006D5E69" w:rsidP="004E7915"/>
    <w:p w14:paraId="003F3CE3" w14:textId="77777777" w:rsidR="008340C1" w:rsidRDefault="008340C1" w:rsidP="004E7915"/>
    <w:p w14:paraId="0EB5CCB2" w14:textId="77777777" w:rsidR="008340C1" w:rsidRDefault="008340C1" w:rsidP="004E7915"/>
    <w:p w14:paraId="47719C5F" w14:textId="11EF92F8" w:rsidR="00D32F6D" w:rsidRDefault="00D32F6D">
      <w:r>
        <w:br w:type="page"/>
      </w:r>
    </w:p>
    <w:p w14:paraId="2EE6004C" w14:textId="77777777" w:rsidR="008340C1" w:rsidRDefault="008340C1" w:rsidP="004E7915"/>
    <w:p w14:paraId="54DCD0A5" w14:textId="586D3D01" w:rsidR="008340C1" w:rsidRDefault="008340C1" w:rsidP="004E7915">
      <w:pPr>
        <w:rPr>
          <w:color w:val="0F4761" w:themeColor="accent1" w:themeShade="BF"/>
          <w:sz w:val="24"/>
          <w:szCs w:val="24"/>
        </w:rPr>
      </w:pPr>
      <w:r w:rsidRPr="00D32F6D">
        <w:rPr>
          <w:color w:val="0F4761" w:themeColor="accent1" w:themeShade="BF"/>
          <w:sz w:val="24"/>
          <w:szCs w:val="24"/>
        </w:rPr>
        <w:t>References</w:t>
      </w:r>
    </w:p>
    <w:p w14:paraId="3C7986B3" w14:textId="77777777" w:rsidR="00D32F6D" w:rsidRDefault="00D32F6D" w:rsidP="004E7915">
      <w:pPr>
        <w:rPr>
          <w:color w:val="0F4761" w:themeColor="accent1" w:themeShade="BF"/>
          <w:sz w:val="24"/>
          <w:szCs w:val="24"/>
        </w:rPr>
      </w:pPr>
    </w:p>
    <w:p w14:paraId="0A8BBBE9" w14:textId="77777777" w:rsidR="00D32F6D" w:rsidRPr="00D32F6D" w:rsidRDefault="00D32F6D" w:rsidP="004E7915">
      <w:pPr>
        <w:rPr>
          <w:sz w:val="24"/>
          <w:szCs w:val="24"/>
        </w:rPr>
      </w:pPr>
    </w:p>
    <w:p w14:paraId="602693DF" w14:textId="77777777" w:rsidR="004E7915" w:rsidRDefault="004E7915"/>
    <w:p w14:paraId="7CAD29DD" w14:textId="4F5A8340" w:rsidR="000D0989" w:rsidRPr="000D0989" w:rsidRDefault="000D0989" w:rsidP="000D0989">
      <w:pPr>
        <w:pStyle w:val="FootnoteText"/>
        <w:rPr>
          <w:rFonts w:cs="Calibri"/>
          <w:sz w:val="22"/>
          <w:szCs w:val="22"/>
        </w:rPr>
      </w:pPr>
      <w:r w:rsidRPr="000D0989">
        <w:rPr>
          <w:rFonts w:cs="Calibri"/>
          <w:sz w:val="22"/>
          <w:szCs w:val="22"/>
          <w:shd w:val="clear" w:color="auto" w:fill="FFFFFF"/>
        </w:rPr>
        <w:t xml:space="preserve">Ellis, Carolyn, Tony E. </w:t>
      </w:r>
      <w:proofErr w:type="gramStart"/>
      <w:r w:rsidRPr="000D0989">
        <w:rPr>
          <w:rFonts w:cs="Calibri"/>
          <w:sz w:val="22"/>
          <w:szCs w:val="22"/>
          <w:shd w:val="clear" w:color="auto" w:fill="FFFFFF"/>
        </w:rPr>
        <w:t>Adams</w:t>
      </w:r>
      <w:proofErr w:type="gramEnd"/>
      <w:r w:rsidRPr="000D0989">
        <w:rPr>
          <w:rFonts w:cs="Calibri"/>
          <w:sz w:val="22"/>
          <w:szCs w:val="22"/>
          <w:shd w:val="clear" w:color="auto" w:fill="FFFFFF"/>
        </w:rPr>
        <w:t xml:space="preserve"> and Arthur P. Bochner. 2011. "Autoethnography: An Overview."</w:t>
      </w:r>
      <w:r w:rsidRPr="000D0989">
        <w:rPr>
          <w:rFonts w:cs="Calibri"/>
          <w:i/>
          <w:iCs/>
          <w:sz w:val="22"/>
          <w:szCs w:val="22"/>
          <w:shd w:val="clear" w:color="auto" w:fill="FFFFFF"/>
        </w:rPr>
        <w:t> Forum : Qualitative Social Research</w:t>
      </w:r>
      <w:r w:rsidRPr="000D0989">
        <w:rPr>
          <w:rFonts w:cs="Calibri"/>
          <w:sz w:val="22"/>
          <w:szCs w:val="22"/>
          <w:shd w:val="clear" w:color="auto" w:fill="FFFFFF"/>
        </w:rPr>
        <w:t xml:space="preserve"> 12(1), </w:t>
      </w:r>
      <w:hyperlink r:id="rId9" w:history="1">
        <w:r w:rsidRPr="00D73BBA">
          <w:rPr>
            <w:rStyle w:val="Hyperlink"/>
            <w:rFonts w:cs="Calibri"/>
            <w:sz w:val="22"/>
            <w:szCs w:val="22"/>
            <w:shd w:val="clear" w:color="auto" w:fill="FFFFFF"/>
          </w:rPr>
          <w:t>https://www.proquest.com/scholarly-journals/autoethnography-overview/docview/870465772/se-2</w:t>
        </w:r>
        <w:r w:rsidRPr="00D73BBA">
          <w:rPr>
            <w:rStyle w:val="Hyperlink"/>
            <w:rFonts w:ascii="Verdana" w:hAnsi="Verdana"/>
            <w:sz w:val="22"/>
            <w:szCs w:val="22"/>
            <w:shd w:val="clear" w:color="auto" w:fill="FFFFFF"/>
          </w:rPr>
          <w:t xml:space="preserve"> </w:t>
        </w:r>
        <w:r w:rsidRPr="00D73BBA">
          <w:rPr>
            <w:rStyle w:val="Hyperlink"/>
            <w:rFonts w:cs="Calibri"/>
            <w:sz w:val="22"/>
            <w:szCs w:val="22"/>
            <w:shd w:val="clear" w:color="auto" w:fill="FFFFFF"/>
          </w:rPr>
          <w:t>p. 1-19</w:t>
        </w:r>
      </w:hyperlink>
      <w:r>
        <w:rPr>
          <w:rFonts w:cs="Calibri"/>
          <w:sz w:val="22"/>
          <w:szCs w:val="22"/>
          <w:shd w:val="clear" w:color="auto" w:fill="FFFFFF"/>
        </w:rPr>
        <w:t xml:space="preserve"> </w:t>
      </w:r>
      <w:r w:rsidRPr="000D0989">
        <w:rPr>
          <w:rFonts w:cs="Calibri"/>
          <w:sz w:val="22"/>
          <w:szCs w:val="22"/>
          <w:shd w:val="clear" w:color="auto" w:fill="FFFFFF"/>
        </w:rPr>
        <w:t>Accessed 10/03/2024</w:t>
      </w:r>
    </w:p>
    <w:p w14:paraId="17B45853" w14:textId="77777777" w:rsidR="000D0989" w:rsidRDefault="000D0989"/>
    <w:sectPr w:rsidR="000D09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FC858" w14:textId="77777777" w:rsidR="00F25F21" w:rsidRDefault="00F25F21" w:rsidP="002B79AD">
      <w:r>
        <w:separator/>
      </w:r>
    </w:p>
  </w:endnote>
  <w:endnote w:type="continuationSeparator" w:id="0">
    <w:p w14:paraId="4AFB620F" w14:textId="77777777" w:rsidR="00F25F21" w:rsidRDefault="00F25F21" w:rsidP="002B7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347A4" w14:textId="77777777" w:rsidR="00F25F21" w:rsidRDefault="00F25F21" w:rsidP="002B79AD">
      <w:r>
        <w:separator/>
      </w:r>
    </w:p>
  </w:footnote>
  <w:footnote w:type="continuationSeparator" w:id="0">
    <w:p w14:paraId="228A1EC6" w14:textId="77777777" w:rsidR="00F25F21" w:rsidRDefault="00F25F21" w:rsidP="002B79AD">
      <w:r>
        <w:continuationSeparator/>
      </w:r>
    </w:p>
  </w:footnote>
  <w:footnote w:id="1">
    <w:p w14:paraId="35EFA1F6" w14:textId="7424AA53" w:rsidR="00793C75" w:rsidRDefault="00793C75">
      <w:pPr>
        <w:pStyle w:val="FootnoteText"/>
      </w:pPr>
      <w:r>
        <w:rPr>
          <w:rStyle w:val="FootnoteReference"/>
        </w:rPr>
        <w:footnoteRef/>
      </w:r>
      <w:r>
        <w:t xml:space="preserve"> </w:t>
      </w:r>
      <w:r w:rsidRPr="005271F5">
        <w:t xml:space="preserve">Blain, J. 2000. ‘Speaking Shamanistically: Seidr, Academia and Rationality’. In DISKUS Volume 6 (2000). </w:t>
      </w:r>
      <w:hyperlink r:id="rId1" w:history="1">
        <w:r w:rsidRPr="00C30B67">
          <w:rPr>
            <w:rStyle w:val="Hyperlink"/>
          </w:rPr>
          <w:t>https://jbasr.com/basr/diskus/diskus1-6/blain.txt</w:t>
        </w:r>
      </w:hyperlink>
      <w:r>
        <w:t xml:space="preserve"> </w:t>
      </w:r>
      <w:r w:rsidRPr="00111FA2">
        <w:t xml:space="preserve"> Accessed </w:t>
      </w:r>
      <w:proofErr w:type="gramStart"/>
      <w:r w:rsidRPr="00111FA2">
        <w:t>15/2/24</w:t>
      </w:r>
      <w:proofErr w:type="gramEnd"/>
    </w:p>
  </w:footnote>
  <w:footnote w:id="2">
    <w:p w14:paraId="530CD5C0" w14:textId="1740C447" w:rsidR="00793C75" w:rsidRDefault="00793C75">
      <w:pPr>
        <w:pStyle w:val="FootnoteText"/>
      </w:pPr>
      <w:r>
        <w:rPr>
          <w:rStyle w:val="FootnoteReference"/>
        </w:rPr>
        <w:footnoteRef/>
      </w:r>
      <w:r>
        <w:t xml:space="preserve"> </w:t>
      </w:r>
      <w:r w:rsidRPr="009F09AC">
        <w:t xml:space="preserve">Brink, T. L. 1978. ‘Inconsistency of Belief among Roman Catholic Girls: Concerning Religion, Astrology, Reincarnation.’ Review of Religious Research, 20, </w:t>
      </w:r>
      <w:r>
        <w:t>p</w:t>
      </w:r>
      <w:r>
        <w:t>p</w:t>
      </w:r>
      <w:r>
        <w:t>. 82</w:t>
      </w:r>
    </w:p>
  </w:footnote>
  <w:footnote w:id="3">
    <w:p w14:paraId="4234639B" w14:textId="372F3191" w:rsidR="00565152" w:rsidRDefault="00565152">
      <w:pPr>
        <w:pStyle w:val="FootnoteText"/>
      </w:pPr>
      <w:r>
        <w:rPr>
          <w:rStyle w:val="FootnoteReference"/>
        </w:rPr>
        <w:footnoteRef/>
      </w:r>
      <w:r>
        <w:t xml:space="preserve"> </w:t>
      </w:r>
      <w:r w:rsidRPr="005271F5">
        <w:t>Blain, J. 2000. ‘Speaking Shamanistically: Seidr, Academia and Rationality’</w:t>
      </w:r>
      <w:r>
        <w:t xml:space="preserve">, p. 1 </w:t>
      </w:r>
    </w:p>
  </w:footnote>
  <w:footnote w:id="4">
    <w:p w14:paraId="57D7B5FD" w14:textId="5A329E88" w:rsidR="008C6AC4" w:rsidRDefault="008C6AC4" w:rsidP="00CB473D">
      <w:pPr>
        <w:pStyle w:val="NoSpacing"/>
      </w:pPr>
      <w:r>
        <w:rPr>
          <w:rStyle w:val="FootnoteReference"/>
        </w:rPr>
        <w:footnoteRef/>
      </w:r>
      <w:r>
        <w:t xml:space="preserve"> </w:t>
      </w:r>
      <w:r w:rsidRPr="006C573A">
        <w:rPr>
          <w:rFonts w:ascii="Calibri" w:hAnsi="Calibri" w:cs="Calibri"/>
          <w:sz w:val="20"/>
          <w:szCs w:val="20"/>
          <w:lang w:eastAsia="en-GB"/>
        </w:rPr>
        <w:t xml:space="preserve">Marcus, George E. “Sticking with Ethnography through Thick and Thin (1997).” </w:t>
      </w:r>
      <w:r w:rsidRPr="006C573A">
        <w:rPr>
          <w:rFonts w:ascii="Calibri" w:hAnsi="Calibri" w:cs="Calibri"/>
          <w:i/>
          <w:iCs/>
          <w:sz w:val="20"/>
          <w:szCs w:val="20"/>
          <w:lang w:eastAsia="en-GB"/>
        </w:rPr>
        <w:t>Ethnography through Thick and Thin</w:t>
      </w:r>
      <w:r w:rsidRPr="006C573A">
        <w:rPr>
          <w:rFonts w:ascii="Calibri" w:hAnsi="Calibri" w:cs="Calibri"/>
          <w:sz w:val="20"/>
          <w:szCs w:val="20"/>
          <w:lang w:eastAsia="en-GB"/>
        </w:rPr>
        <w:t>, Princeton University Press, 1998, p. 23</w:t>
      </w:r>
      <w:r w:rsidR="00CB473D">
        <w:rPr>
          <w:rFonts w:ascii="Calibri" w:hAnsi="Calibri" w:cs="Calibri"/>
          <w:sz w:val="20"/>
          <w:szCs w:val="20"/>
          <w:lang w:eastAsia="en-GB"/>
        </w:rPr>
        <w:t>2</w:t>
      </w:r>
    </w:p>
  </w:footnote>
  <w:footnote w:id="5">
    <w:p w14:paraId="4A4A4CAF" w14:textId="77777777" w:rsidR="008C6AC4" w:rsidRDefault="008C6AC4" w:rsidP="008C6AC4">
      <w:pPr>
        <w:pStyle w:val="FootnoteText"/>
      </w:pPr>
      <w:r>
        <w:rPr>
          <w:rStyle w:val="FootnoteReference"/>
        </w:rPr>
        <w:footnoteRef/>
      </w:r>
      <w:r>
        <w:t xml:space="preserve"> </w:t>
      </w:r>
      <w:r w:rsidRPr="002B79AD">
        <w:t xml:space="preserve">Brink, T. L. 1978. ‘Inconsistency of Belief among Roman Catholic Girls: Concerning Religion, Astrology, Reincarnation.’ </w:t>
      </w:r>
      <w:r>
        <w:t>p. 82</w:t>
      </w:r>
    </w:p>
  </w:footnote>
  <w:footnote w:id="6">
    <w:p w14:paraId="115E78C3" w14:textId="1857D82E" w:rsidR="00D94A6C" w:rsidRDefault="00D94A6C">
      <w:pPr>
        <w:pStyle w:val="FootnoteText"/>
      </w:pPr>
      <w:r>
        <w:rPr>
          <w:rStyle w:val="FootnoteReference"/>
        </w:rPr>
        <w:footnoteRef/>
      </w:r>
      <w:r>
        <w:t xml:space="preserve"> Judith Bell and Stephen Waters, doing your Research Project     p. 125</w:t>
      </w:r>
    </w:p>
  </w:footnote>
  <w:footnote w:id="7">
    <w:p w14:paraId="5EA086CA" w14:textId="3B6B7D2D" w:rsidR="00472900" w:rsidRDefault="00472900" w:rsidP="00472900">
      <w:pPr>
        <w:pStyle w:val="FootnoteText"/>
      </w:pPr>
      <w:r>
        <w:rPr>
          <w:rStyle w:val="FootnoteReference"/>
        </w:rPr>
        <w:footnoteRef/>
      </w:r>
      <w:r>
        <w:t xml:space="preserve"> Monique Hennink, Inge Hutter and Ajay Bailey, </w:t>
      </w:r>
      <w:r w:rsidRPr="005527AB">
        <w:rPr>
          <w:i/>
          <w:iCs/>
        </w:rPr>
        <w:t>Qualitative Research Methods</w:t>
      </w:r>
      <w:r>
        <w:t xml:space="preserve"> (Sage Publications</w:t>
      </w:r>
      <w:r w:rsidR="00AC7068">
        <w:t>, London</w:t>
      </w:r>
      <w:r>
        <w:t>) 2011, p. 14</w:t>
      </w:r>
    </w:p>
  </w:footnote>
  <w:footnote w:id="8">
    <w:p w14:paraId="453E3F09" w14:textId="23897290" w:rsidR="004D40DE" w:rsidRDefault="004D40DE">
      <w:pPr>
        <w:pStyle w:val="FootnoteText"/>
      </w:pPr>
      <w:r>
        <w:rPr>
          <w:rStyle w:val="FootnoteReference"/>
        </w:rPr>
        <w:footnoteRef/>
      </w:r>
      <w:r>
        <w:t xml:space="preserve"> </w:t>
      </w:r>
      <w:r w:rsidRPr="009F09AC">
        <w:t>Brink, T. L. 1978. ‘Inconsistency of Belief among Roman Catholic Girls: Concerning Religion, Astrology, Reincarnation.’</w:t>
      </w:r>
      <w:r w:rsidR="00AC7068">
        <w:t>,</w:t>
      </w:r>
      <w:r w:rsidRPr="009F09AC">
        <w:t xml:space="preserve"> </w:t>
      </w:r>
      <w:r>
        <w:t>p. 82</w:t>
      </w:r>
    </w:p>
  </w:footnote>
  <w:footnote w:id="9">
    <w:p w14:paraId="6C67DBAF" w14:textId="1CB0B603" w:rsidR="004D40DE" w:rsidRDefault="004D40DE">
      <w:pPr>
        <w:pStyle w:val="FootnoteText"/>
      </w:pPr>
      <w:r>
        <w:rPr>
          <w:rStyle w:val="FootnoteReference"/>
        </w:rPr>
        <w:footnoteRef/>
      </w:r>
      <w:r>
        <w:t xml:space="preserve"> </w:t>
      </w:r>
      <w:r w:rsidRPr="009F09AC">
        <w:t>Brink, T. L. 1978. ‘Inconsistency of Belief among Roman Catholic Girls: Concerning Religion, Astrology, Reincarnation.’</w:t>
      </w:r>
      <w:r>
        <w:t>, p. 84</w:t>
      </w:r>
    </w:p>
  </w:footnote>
  <w:footnote w:id="10">
    <w:p w14:paraId="77C9B29F" w14:textId="5D3E1FBB" w:rsidR="006E13C2" w:rsidRDefault="006E13C2">
      <w:pPr>
        <w:pStyle w:val="FootnoteText"/>
      </w:pPr>
      <w:r>
        <w:rPr>
          <w:rStyle w:val="FootnoteReference"/>
        </w:rPr>
        <w:footnoteRef/>
      </w:r>
      <w:r>
        <w:t xml:space="preserve"> </w:t>
      </w:r>
      <w:r w:rsidRPr="009F09AC">
        <w:t>Brink, T. L. 1978. ‘Inconsistency of Belief among Roman Catholic Girls: Concerning Religion, Astrology, Reincarnation.’</w:t>
      </w:r>
      <w:r>
        <w:t>, p. 82</w:t>
      </w:r>
    </w:p>
  </w:footnote>
  <w:footnote w:id="11">
    <w:p w14:paraId="032EBC05" w14:textId="23E00997" w:rsidR="00243A99" w:rsidRDefault="00243A99" w:rsidP="00243A99">
      <w:pPr>
        <w:pStyle w:val="FootnoteText"/>
      </w:pPr>
      <w:r>
        <w:rPr>
          <w:rStyle w:val="FootnoteReference"/>
        </w:rPr>
        <w:footnoteRef/>
      </w:r>
      <w:r>
        <w:t xml:space="preserve"> </w:t>
      </w:r>
      <w:r w:rsidRPr="009F09AC">
        <w:t xml:space="preserve">Brink, T. L. 1978. ‘Inconsistency of Belief among Roman Catholic Girls: Concerning Religion, Astrology, Reincarnation.’, </w:t>
      </w:r>
      <w:r>
        <w:t>p. 84</w:t>
      </w:r>
    </w:p>
  </w:footnote>
  <w:footnote w:id="12">
    <w:p w14:paraId="5FB09DFF" w14:textId="007AB516" w:rsidR="00472900" w:rsidRDefault="00472900">
      <w:pPr>
        <w:pStyle w:val="FootnoteText"/>
      </w:pPr>
      <w:r>
        <w:rPr>
          <w:rStyle w:val="FootnoteReference"/>
        </w:rPr>
        <w:footnoteRef/>
      </w:r>
      <w:r>
        <w:t xml:space="preserve"> Monique Hennink, Inge Hutter and Ajay Bailey, </w:t>
      </w:r>
      <w:r w:rsidRPr="005527AB">
        <w:rPr>
          <w:i/>
          <w:iCs/>
        </w:rPr>
        <w:t>Qualitative Research Methods</w:t>
      </w:r>
      <w:r>
        <w:t xml:space="preserve"> (Sage Publications PLACE) 2011 BETTER REF, p. 14</w:t>
      </w:r>
    </w:p>
  </w:footnote>
  <w:footnote w:id="13">
    <w:p w14:paraId="63EDD853" w14:textId="1E41BF6A" w:rsidR="00DF51A9" w:rsidRDefault="00DF51A9" w:rsidP="00DF51A9">
      <w:pPr>
        <w:pStyle w:val="FootnoteText"/>
      </w:pPr>
      <w:r>
        <w:rPr>
          <w:rStyle w:val="FootnoteReference"/>
        </w:rPr>
        <w:footnoteRef/>
      </w:r>
      <w:r>
        <w:t xml:space="preserve"> </w:t>
      </w:r>
      <w:r w:rsidR="00E030D5" w:rsidRPr="009F09AC">
        <w:t>Brink, T. L. 1978. ‘Inconsistency of Belief among Roman Catholic Girls: Concerning Religion, Astrology, Reincarnation.’,</w:t>
      </w:r>
      <w:r w:rsidR="00E030D5">
        <w:t xml:space="preserve"> </w:t>
      </w:r>
      <w:r>
        <w:t>p. 82</w:t>
      </w:r>
    </w:p>
  </w:footnote>
  <w:footnote w:id="14">
    <w:p w14:paraId="77A19570" w14:textId="1EDBD73A" w:rsidR="00760F6A" w:rsidRDefault="00760F6A">
      <w:pPr>
        <w:pStyle w:val="FootnoteText"/>
      </w:pPr>
      <w:r>
        <w:rPr>
          <w:rStyle w:val="FootnoteReference"/>
        </w:rPr>
        <w:footnoteRef/>
      </w:r>
      <w:r>
        <w:t xml:space="preserve"> Monique Hennink, Inge Hutter and Ajay Bailey, </w:t>
      </w:r>
      <w:r w:rsidRPr="005527AB">
        <w:rPr>
          <w:i/>
          <w:iCs/>
        </w:rPr>
        <w:t>Qualitative Research Methods</w:t>
      </w:r>
      <w:r>
        <w:t xml:space="preserve"> (Sage Publications PLACE) 2011 BETTER REF, p. 14 or ibid</w:t>
      </w:r>
    </w:p>
  </w:footnote>
  <w:footnote w:id="15">
    <w:p w14:paraId="463F05A7" w14:textId="5A9893B5" w:rsidR="00760F6A" w:rsidRDefault="00760F6A">
      <w:pPr>
        <w:pStyle w:val="FootnoteText"/>
      </w:pPr>
      <w:r>
        <w:rPr>
          <w:rStyle w:val="FootnoteReference"/>
        </w:rPr>
        <w:footnoteRef/>
      </w:r>
      <w:r>
        <w:t xml:space="preserve"> Dermot Moran, Editor’s Introduction, The Phenomenology Reader, Routledge PLACE date, p. 1</w:t>
      </w:r>
    </w:p>
  </w:footnote>
  <w:footnote w:id="16">
    <w:p w14:paraId="7AC8F898" w14:textId="54E2BAFA" w:rsidR="00EE366C" w:rsidRDefault="00EE366C">
      <w:pPr>
        <w:pStyle w:val="FootnoteText"/>
      </w:pPr>
      <w:r>
        <w:rPr>
          <w:rStyle w:val="FootnoteReference"/>
        </w:rPr>
        <w:footnoteRef/>
      </w:r>
      <w:r>
        <w:t xml:space="preserve"> </w:t>
      </w:r>
      <w:r w:rsidR="00E030D5" w:rsidRPr="005271F5">
        <w:t>Blain, J. 2000. ‘Speaking Shamanistically: Seidr, Academia and Rationality’</w:t>
      </w:r>
      <w:r>
        <w:t xml:space="preserve">, p. </w:t>
      </w:r>
      <w:r w:rsidR="00E030D5">
        <w:t>5</w:t>
      </w:r>
    </w:p>
  </w:footnote>
  <w:footnote w:id="17">
    <w:p w14:paraId="4D9A0488" w14:textId="0CF97CB1" w:rsidR="00E8469E" w:rsidRDefault="00E8469E">
      <w:pPr>
        <w:pStyle w:val="FootnoteText"/>
      </w:pPr>
      <w:r>
        <w:rPr>
          <w:rStyle w:val="FootnoteReference"/>
        </w:rPr>
        <w:footnoteRef/>
      </w:r>
      <w:r>
        <w:t xml:space="preserve"> Ibid, p. 8</w:t>
      </w:r>
    </w:p>
  </w:footnote>
  <w:footnote w:id="18">
    <w:p w14:paraId="330C8AD3" w14:textId="391C370A" w:rsidR="00BA3DD8" w:rsidRDefault="00BA3DD8">
      <w:pPr>
        <w:pStyle w:val="FootnoteText"/>
      </w:pPr>
      <w:r>
        <w:rPr>
          <w:rStyle w:val="FootnoteReference"/>
        </w:rPr>
        <w:footnoteRef/>
      </w:r>
      <w:r>
        <w:t xml:space="preserve"> Ibid, p. 2</w:t>
      </w:r>
    </w:p>
  </w:footnote>
  <w:footnote w:id="19">
    <w:p w14:paraId="46A6BC00" w14:textId="655A47AC" w:rsidR="000D0989" w:rsidRPr="000D0989" w:rsidRDefault="000D0989">
      <w:pPr>
        <w:pStyle w:val="FootnoteText"/>
        <w:rPr>
          <w:rFonts w:cs="Calibri"/>
        </w:rPr>
      </w:pPr>
      <w:r>
        <w:rPr>
          <w:rStyle w:val="FootnoteReference"/>
        </w:rPr>
        <w:footnoteRef/>
      </w:r>
      <w:r>
        <w:t xml:space="preserve"> </w:t>
      </w:r>
      <w:bookmarkStart w:id="1" w:name="_Hlk160962402"/>
      <w:r w:rsidRPr="000D0989">
        <w:rPr>
          <w:rFonts w:cs="Calibri"/>
          <w:shd w:val="clear" w:color="auto" w:fill="FFFFFF"/>
        </w:rPr>
        <w:t xml:space="preserve">Ellis, Carolyn, Tony E. </w:t>
      </w:r>
      <w:proofErr w:type="gramStart"/>
      <w:r w:rsidRPr="000D0989">
        <w:rPr>
          <w:rFonts w:cs="Calibri"/>
          <w:shd w:val="clear" w:color="auto" w:fill="FFFFFF"/>
        </w:rPr>
        <w:t>Adams</w:t>
      </w:r>
      <w:proofErr w:type="gramEnd"/>
      <w:r w:rsidRPr="000D0989">
        <w:rPr>
          <w:rFonts w:cs="Calibri"/>
          <w:shd w:val="clear" w:color="auto" w:fill="FFFFFF"/>
        </w:rPr>
        <w:t xml:space="preserve"> and Arthur P. Bochner. 2011. "Autoethnography: An Overview."</w:t>
      </w:r>
      <w:r w:rsidRPr="000D0989">
        <w:rPr>
          <w:rFonts w:cs="Calibri"/>
          <w:i/>
          <w:iCs/>
          <w:shd w:val="clear" w:color="auto" w:fill="FFFFFF"/>
        </w:rPr>
        <w:t> Forum : Qualitative Social Research</w:t>
      </w:r>
      <w:r w:rsidRPr="000D0989">
        <w:rPr>
          <w:rFonts w:cs="Calibri"/>
          <w:shd w:val="clear" w:color="auto" w:fill="FFFFFF"/>
        </w:rPr>
        <w:t> 12(1)</w:t>
      </w:r>
      <w:r>
        <w:rPr>
          <w:rFonts w:cs="Calibri"/>
          <w:shd w:val="clear" w:color="auto" w:fill="FFFFFF"/>
        </w:rPr>
        <w:t>,</w:t>
      </w:r>
      <w:r w:rsidRPr="000D0989">
        <w:rPr>
          <w:rFonts w:cs="Calibri"/>
          <w:shd w:val="clear" w:color="auto" w:fill="FFFFFF"/>
        </w:rPr>
        <w:t xml:space="preserve"> </w:t>
      </w:r>
      <w:hyperlink r:id="rId2" w:history="1">
        <w:r w:rsidRPr="000D0989">
          <w:rPr>
            <w:rStyle w:val="Hyperlink"/>
            <w:rFonts w:cs="Calibri"/>
            <w:color w:val="auto"/>
            <w:shd w:val="clear" w:color="auto" w:fill="FFFFFF"/>
          </w:rPr>
          <w:t>https://www.proquest.com/scholarly-journals/autoethnography-overview/docview/870465772/se-2</w:t>
        </w:r>
      </w:hyperlink>
      <w:r>
        <w:rPr>
          <w:rFonts w:ascii="Verdana" w:hAnsi="Verdana"/>
          <w:color w:val="555555"/>
          <w:sz w:val="18"/>
          <w:szCs w:val="18"/>
          <w:shd w:val="clear" w:color="auto" w:fill="FFFFFF"/>
        </w:rPr>
        <w:t xml:space="preserve"> </w:t>
      </w:r>
      <w:r>
        <w:rPr>
          <w:rFonts w:cs="Calibri"/>
          <w:shd w:val="clear" w:color="auto" w:fill="FFFFFF"/>
        </w:rPr>
        <w:t>p. 4 Accessed 10/03/2024</w:t>
      </w:r>
      <w:bookmarkEnd w:id="1"/>
    </w:p>
  </w:footnote>
  <w:footnote w:id="20">
    <w:p w14:paraId="1EAE256C" w14:textId="77777777" w:rsidR="00E8469E" w:rsidRDefault="00E8469E" w:rsidP="00E8469E">
      <w:pPr>
        <w:pStyle w:val="FootnoteText"/>
      </w:pPr>
      <w:r>
        <w:rPr>
          <w:rStyle w:val="FootnoteReference"/>
        </w:rPr>
        <w:footnoteRef/>
      </w:r>
      <w:r>
        <w:t xml:space="preserve"> Ibid, p. 8</w:t>
      </w:r>
    </w:p>
  </w:footnote>
  <w:footnote w:id="21">
    <w:p w14:paraId="4B63FFA5" w14:textId="23DF7EB2" w:rsidR="00A23322" w:rsidRDefault="00A23322">
      <w:pPr>
        <w:pStyle w:val="FootnoteText"/>
      </w:pPr>
      <w:r>
        <w:rPr>
          <w:rStyle w:val="FootnoteReference"/>
        </w:rPr>
        <w:footnoteRef/>
      </w:r>
      <w:r>
        <w:t xml:space="preserve"> Alan Bryman, </w:t>
      </w:r>
      <w:r w:rsidRPr="00A23322">
        <w:rPr>
          <w:i/>
          <w:iCs/>
        </w:rPr>
        <w:t>Quantity and Quality in Social Research</w:t>
      </w:r>
      <w:r>
        <w:t xml:space="preserve">, Routledge, London, 1988, p. 53 </w:t>
      </w:r>
    </w:p>
  </w:footnote>
  <w:footnote w:id="22">
    <w:p w14:paraId="4FB3D6FA" w14:textId="38179693" w:rsidR="00E518B2" w:rsidRDefault="00E518B2">
      <w:pPr>
        <w:pStyle w:val="FootnoteText"/>
      </w:pPr>
      <w:r>
        <w:rPr>
          <w:rStyle w:val="FootnoteReference"/>
        </w:rPr>
        <w:footnoteRef/>
      </w:r>
      <w:r>
        <w:t xml:space="preserve"> </w:t>
      </w:r>
      <w:r w:rsidRPr="009F09AC">
        <w:t xml:space="preserve">Brink, T. L. 1978. ‘Inconsistency of Belief among Roman Catholic Girls: Concerning Religion, Astrology, Reincarnation.’, </w:t>
      </w:r>
      <w:r>
        <w:t>p. 8</w:t>
      </w:r>
      <w:r>
        <w:t>3</w:t>
      </w:r>
    </w:p>
  </w:footnote>
  <w:footnote w:id="23">
    <w:p w14:paraId="79897C57" w14:textId="062A805A" w:rsidR="00E030D5" w:rsidRDefault="00E030D5">
      <w:pPr>
        <w:pStyle w:val="FootnoteText"/>
      </w:pPr>
      <w:r>
        <w:rPr>
          <w:rStyle w:val="FootnoteReference"/>
        </w:rPr>
        <w:footnoteRef/>
      </w:r>
      <w:r>
        <w:t xml:space="preserve"> </w:t>
      </w:r>
      <w:r>
        <w:t xml:space="preserve">Monique Hennink, Inge Hutter and Ajay Bailey, </w:t>
      </w:r>
      <w:r w:rsidRPr="005527AB">
        <w:rPr>
          <w:i/>
          <w:iCs/>
        </w:rPr>
        <w:t>Qualitative Research Methods</w:t>
      </w:r>
      <w:r>
        <w:t xml:space="preserve"> (Sage Publications PLACE) 2011 BETTER REF, p. 14 </w:t>
      </w:r>
    </w:p>
  </w:footnote>
  <w:footnote w:id="24">
    <w:p w14:paraId="0E427885" w14:textId="6C2EC063" w:rsidR="007648F5" w:rsidRDefault="007648F5" w:rsidP="007648F5">
      <w:r>
        <w:rPr>
          <w:rStyle w:val="FootnoteReference"/>
        </w:rPr>
        <w:footnoteRef/>
      </w:r>
      <w:r>
        <w:t xml:space="preserve"> </w:t>
      </w:r>
      <w:r w:rsidRPr="005271F5">
        <w:rPr>
          <w:sz w:val="20"/>
          <w:szCs w:val="20"/>
        </w:rPr>
        <w:t>Blain, J. 2000. ‘Speaking Shamanistically: Seidr, Academia and Rationality’</w:t>
      </w:r>
      <w:r>
        <w:rPr>
          <w:sz w:val="20"/>
          <w:szCs w:val="20"/>
        </w:rPr>
        <w:t>, p. 1</w:t>
      </w:r>
    </w:p>
  </w:footnote>
  <w:footnote w:id="25">
    <w:p w14:paraId="5C2D32F0" w14:textId="51E72522" w:rsidR="00E030D5" w:rsidRDefault="00E030D5" w:rsidP="00E030D5">
      <w:r>
        <w:rPr>
          <w:rStyle w:val="FootnoteReference"/>
        </w:rPr>
        <w:footnoteRef/>
      </w:r>
      <w:r>
        <w:t xml:space="preserve"> </w:t>
      </w:r>
      <w:r w:rsidRPr="005271F5">
        <w:rPr>
          <w:sz w:val="20"/>
          <w:szCs w:val="20"/>
        </w:rPr>
        <w:t>Blain, J. 2000. ‘Speaking Shamanistically: Seidr, Academia and Rationality’</w:t>
      </w:r>
      <w:r>
        <w:rPr>
          <w:sz w:val="20"/>
          <w:szCs w:val="20"/>
        </w:rPr>
        <w:t xml:space="preserve">, p. </w:t>
      </w:r>
      <w:r>
        <w:rPr>
          <w:sz w:val="20"/>
          <w:szCs w:val="20"/>
        </w:rPr>
        <w:t>7</w:t>
      </w:r>
    </w:p>
  </w:footnote>
  <w:footnote w:id="26">
    <w:p w14:paraId="694C94B2" w14:textId="02F3ED19" w:rsidR="006D7E3C" w:rsidRDefault="006D7E3C">
      <w:pPr>
        <w:pStyle w:val="FootnoteText"/>
      </w:pPr>
      <w:r>
        <w:rPr>
          <w:rStyle w:val="FootnoteReference"/>
        </w:rPr>
        <w:footnoteRef/>
      </w:r>
      <w:r>
        <w:t xml:space="preserve"> Blain, Nine Worlds of Seid-Magic, p.2</w:t>
      </w:r>
      <w:r w:rsidR="00E518B2">
        <w:t xml:space="preserve"> PROPER REF</w:t>
      </w:r>
    </w:p>
  </w:footnote>
  <w:footnote w:id="27">
    <w:p w14:paraId="4F58DC76" w14:textId="586DB252" w:rsidR="009F09AC" w:rsidRDefault="009F09AC" w:rsidP="007C17F4">
      <w:pPr>
        <w:pStyle w:val="NoSpacing"/>
      </w:pPr>
      <w:r>
        <w:rPr>
          <w:rStyle w:val="FootnoteReference"/>
        </w:rPr>
        <w:footnoteRef/>
      </w:r>
      <w:r>
        <w:t xml:space="preserve"> </w:t>
      </w:r>
      <w:r w:rsidRPr="009F09AC">
        <w:rPr>
          <w:rFonts w:ascii="Calibri" w:hAnsi="Calibri" w:cs="Calibri"/>
          <w:sz w:val="20"/>
          <w:szCs w:val="20"/>
          <w:lang w:eastAsia="en-GB"/>
        </w:rPr>
        <w:t xml:space="preserve">Marcus, George E. “On Ideologies of Reflexivity in Contemporary Efforts to Remake the Human Sciences (1994).” </w:t>
      </w:r>
      <w:r w:rsidRPr="009F09AC">
        <w:rPr>
          <w:rFonts w:ascii="Calibri" w:hAnsi="Calibri" w:cs="Calibri"/>
          <w:i/>
          <w:iCs/>
          <w:sz w:val="20"/>
          <w:szCs w:val="20"/>
          <w:lang w:eastAsia="en-GB"/>
        </w:rPr>
        <w:t>Ethnography through Thick and Thin</w:t>
      </w:r>
      <w:r w:rsidRPr="009F09AC">
        <w:rPr>
          <w:rFonts w:ascii="Calibri" w:hAnsi="Calibri" w:cs="Calibri"/>
          <w:sz w:val="20"/>
          <w:szCs w:val="20"/>
          <w:lang w:eastAsia="en-GB"/>
        </w:rPr>
        <w:t xml:space="preserve">, Princeton University Press, 1998, p. 194 </w:t>
      </w:r>
    </w:p>
  </w:footnote>
  <w:footnote w:id="28">
    <w:p w14:paraId="417C9579" w14:textId="77777777" w:rsidR="00D211A2" w:rsidRDefault="00D211A2" w:rsidP="00D211A2">
      <w:pPr>
        <w:pStyle w:val="FootnoteText"/>
      </w:pPr>
      <w:r>
        <w:rPr>
          <w:rStyle w:val="FootnoteReference"/>
        </w:rPr>
        <w:footnoteRef/>
      </w:r>
      <w:r>
        <w:t xml:space="preserve"> Guillemin, Marilys and Lynn Gillam. 'Ethics, Reflexivity, and "Ethnically Important Moments” in Research'. Qualitative Inquiry Vol. 10: 2 (2004), p. 271</w:t>
      </w:r>
    </w:p>
  </w:footnote>
  <w:footnote w:id="29">
    <w:p w14:paraId="093A0976" w14:textId="7717E4C6" w:rsidR="007C17F4" w:rsidRDefault="007C17F4" w:rsidP="007C17F4">
      <w:r>
        <w:rPr>
          <w:rStyle w:val="FootnoteReference"/>
        </w:rPr>
        <w:footnoteRef/>
      </w:r>
      <w:r>
        <w:t xml:space="preserve"> </w:t>
      </w:r>
      <w:r w:rsidRPr="005271F5">
        <w:rPr>
          <w:sz w:val="20"/>
          <w:szCs w:val="20"/>
        </w:rPr>
        <w:t>Blain, J. 2000. ‘Speaking Shamanistically: Seidr, Academia and Rationality’</w:t>
      </w:r>
      <w:r>
        <w:rPr>
          <w:sz w:val="20"/>
          <w:szCs w:val="20"/>
        </w:rPr>
        <w:t xml:space="preserve">, p. 2 </w:t>
      </w:r>
    </w:p>
  </w:footnote>
  <w:footnote w:id="30">
    <w:p w14:paraId="5E57F627" w14:textId="6683F427" w:rsidR="00D32F6D" w:rsidRPr="00D32F6D" w:rsidRDefault="00D32F6D">
      <w:pPr>
        <w:pStyle w:val="FootnoteText"/>
        <w:rPr>
          <w:rFonts w:cs="Calibri"/>
        </w:rPr>
      </w:pPr>
      <w:r>
        <w:rPr>
          <w:rStyle w:val="FootnoteReference"/>
        </w:rPr>
        <w:footnoteRef/>
      </w:r>
      <w:r>
        <w:t xml:space="preserve"> </w:t>
      </w:r>
      <w:r w:rsidRPr="000D0989">
        <w:rPr>
          <w:rFonts w:cs="Calibri"/>
          <w:shd w:val="clear" w:color="auto" w:fill="FFFFFF"/>
        </w:rPr>
        <w:t xml:space="preserve">Ellis, Carolyn, Tony E. </w:t>
      </w:r>
      <w:proofErr w:type="gramStart"/>
      <w:r w:rsidRPr="000D0989">
        <w:rPr>
          <w:rFonts w:cs="Calibri"/>
          <w:shd w:val="clear" w:color="auto" w:fill="FFFFFF"/>
        </w:rPr>
        <w:t>Adams</w:t>
      </w:r>
      <w:proofErr w:type="gramEnd"/>
      <w:r w:rsidRPr="000D0989">
        <w:rPr>
          <w:rFonts w:cs="Calibri"/>
          <w:shd w:val="clear" w:color="auto" w:fill="FFFFFF"/>
        </w:rPr>
        <w:t xml:space="preserve"> and Arthur P. Bochner. 2011. "Autoethnography: An Overview."</w:t>
      </w:r>
      <w:r w:rsidRPr="000D0989">
        <w:rPr>
          <w:rFonts w:cs="Calibri"/>
          <w:i/>
          <w:iCs/>
          <w:shd w:val="clear" w:color="auto" w:fill="FFFFFF"/>
        </w:rPr>
        <w:t> Forum : Qualitative Social Research</w:t>
      </w:r>
      <w:r w:rsidRPr="000D0989">
        <w:rPr>
          <w:rFonts w:cs="Calibri"/>
          <w:shd w:val="clear" w:color="auto" w:fill="FFFFFF"/>
        </w:rPr>
        <w:t> 12(1)</w:t>
      </w:r>
      <w:r>
        <w:rPr>
          <w:rFonts w:cs="Calibri"/>
          <w:shd w:val="clear" w:color="auto" w:fill="FFFFFF"/>
        </w:rPr>
        <w:t>,</w:t>
      </w:r>
      <w:r w:rsidRPr="000D0989">
        <w:rPr>
          <w:rFonts w:cs="Calibri"/>
          <w:shd w:val="clear" w:color="auto" w:fill="FFFFFF"/>
        </w:rPr>
        <w:t xml:space="preserve"> </w:t>
      </w:r>
      <w:hyperlink r:id="rId3" w:history="1">
        <w:r w:rsidRPr="000D0989">
          <w:rPr>
            <w:rStyle w:val="Hyperlink"/>
            <w:rFonts w:cs="Calibri"/>
            <w:color w:val="auto"/>
            <w:shd w:val="clear" w:color="auto" w:fill="FFFFFF"/>
          </w:rPr>
          <w:t>https://www.proquest.com/scholarly-journals/autoethnography-overview/docview/870465772/se-2</w:t>
        </w:r>
      </w:hyperlink>
      <w:r>
        <w:rPr>
          <w:rFonts w:ascii="Verdana" w:hAnsi="Verdana"/>
          <w:color w:val="555555"/>
          <w:sz w:val="18"/>
          <w:szCs w:val="18"/>
          <w:shd w:val="clear" w:color="auto" w:fill="FFFFFF"/>
        </w:rPr>
        <w:t xml:space="preserve"> </w:t>
      </w:r>
      <w:r>
        <w:rPr>
          <w:rFonts w:cs="Calibri"/>
          <w:shd w:val="clear" w:color="auto" w:fill="FFFFFF"/>
        </w:rPr>
        <w:t xml:space="preserve">p. </w:t>
      </w:r>
      <w:r>
        <w:rPr>
          <w:rFonts w:cs="Calibri"/>
          <w:shd w:val="clear" w:color="auto" w:fill="FFFFFF"/>
        </w:rPr>
        <w:t>9</w:t>
      </w:r>
      <w:r>
        <w:rPr>
          <w:rFonts w:cs="Calibri"/>
          <w:shd w:val="clear" w:color="auto" w:fill="FFFFFF"/>
        </w:rPr>
        <w:t xml:space="preserve"> Accessed 10/03/2024</w:t>
      </w:r>
    </w:p>
  </w:footnote>
  <w:footnote w:id="31">
    <w:p w14:paraId="4E0DFF66" w14:textId="5F12040B" w:rsidR="00A56FEA" w:rsidRDefault="00A56FEA">
      <w:pPr>
        <w:pStyle w:val="FootnoteText"/>
      </w:pPr>
      <w:r>
        <w:rPr>
          <w:rStyle w:val="FootnoteReference"/>
        </w:rPr>
        <w:footnoteRef/>
      </w:r>
      <w:r>
        <w:t xml:space="preserve"> Guillemin, Marilys and Lynn Gillam. 'Ethics, Reflexivity, and "Ethnically Important Moments” in Research'., p. 271</w:t>
      </w:r>
    </w:p>
  </w:footnote>
  <w:footnote w:id="32">
    <w:p w14:paraId="3870F349" w14:textId="47FF696C" w:rsidR="00284C2C" w:rsidRDefault="00284C2C">
      <w:pPr>
        <w:pStyle w:val="FootnoteText"/>
      </w:pPr>
      <w:r>
        <w:rPr>
          <w:rStyle w:val="FootnoteReference"/>
        </w:rPr>
        <w:footnoteRef/>
      </w:r>
      <w:r>
        <w:t xml:space="preserve"> For example, </w:t>
      </w:r>
      <w:r w:rsidRPr="005271F5">
        <w:t>Blain, J. 2000. ‘Speaking Shamanistically: Seidr, Academia and Rationality’</w:t>
      </w:r>
      <w:r>
        <w:t>, p. 2</w:t>
      </w:r>
    </w:p>
  </w:footnote>
  <w:footnote w:id="33">
    <w:p w14:paraId="360489A1" w14:textId="77777777" w:rsidR="007E7179" w:rsidRDefault="007E7179" w:rsidP="007E7179">
      <w:pPr>
        <w:pStyle w:val="FootnoteText"/>
      </w:pPr>
      <w:r>
        <w:rPr>
          <w:rStyle w:val="FootnoteReference"/>
        </w:rPr>
        <w:footnoteRef/>
      </w:r>
      <w:r>
        <w:t xml:space="preserve"> </w:t>
      </w:r>
      <w:r w:rsidRPr="002B79AD">
        <w:t xml:space="preserve">Brink, T. L. 1978. ‘Inconsistency of Belief among Roman Catholic Girls: Concerning Religion, Astrology, Reincarnation.’ </w:t>
      </w:r>
      <w:r>
        <w:t>p. 84</w:t>
      </w:r>
    </w:p>
  </w:footnote>
  <w:footnote w:id="34">
    <w:p w14:paraId="6720BD4D" w14:textId="77777777" w:rsidR="007E7179" w:rsidRDefault="007E7179" w:rsidP="007E7179">
      <w:pPr>
        <w:pStyle w:val="FootnoteText"/>
      </w:pPr>
      <w:r>
        <w:rPr>
          <w:rStyle w:val="FootnoteReference"/>
        </w:rPr>
        <w:footnoteRef/>
      </w:r>
      <w:r>
        <w:t xml:space="preserve"> Monique Hennink, Inge Hutter and Ajay Bailey, </w:t>
      </w:r>
      <w:r w:rsidRPr="005527AB">
        <w:rPr>
          <w:i/>
          <w:iCs/>
        </w:rPr>
        <w:t>Qualitative Research Methods</w:t>
      </w:r>
      <w:r>
        <w:t xml:space="preserve"> (Sage Publications PLACE) 2011 BETTER REF, p. 19</w:t>
      </w:r>
    </w:p>
  </w:footnote>
  <w:footnote w:id="35">
    <w:p w14:paraId="2F63C28D" w14:textId="19ECEAAC" w:rsidR="00A819FB" w:rsidRPr="00575F99" w:rsidRDefault="00A819FB" w:rsidP="00A819FB">
      <w:pPr>
        <w:shd w:val="clear" w:color="auto" w:fill="FFFFFF"/>
        <w:rPr>
          <w:rFonts w:cs="Calibri"/>
          <w:sz w:val="20"/>
          <w:szCs w:val="20"/>
        </w:rPr>
      </w:pPr>
      <w:r w:rsidRPr="00A819FB">
        <w:rPr>
          <w:rStyle w:val="FootnoteReference"/>
          <w:rFonts w:cs="Calibri"/>
          <w:sz w:val="20"/>
          <w:szCs w:val="20"/>
        </w:rPr>
        <w:footnoteRef/>
      </w:r>
      <w:r w:rsidRPr="00A819FB">
        <w:rPr>
          <w:rFonts w:cs="Calibri"/>
          <w:sz w:val="20"/>
          <w:szCs w:val="20"/>
        </w:rPr>
        <w:t xml:space="preserve"> </w:t>
      </w:r>
      <w:r w:rsidRPr="00575F99">
        <w:rPr>
          <w:rStyle w:val="nlmstring-name"/>
          <w:rFonts w:cs="Calibri"/>
          <w:sz w:val="20"/>
          <w:szCs w:val="20"/>
        </w:rPr>
        <w:t>Linda Finlay</w:t>
      </w:r>
      <w:r w:rsidRPr="00575F99">
        <w:rPr>
          <w:rFonts w:cs="Calibri"/>
          <w:sz w:val="20"/>
          <w:szCs w:val="20"/>
        </w:rPr>
        <w:t>, “Outing” the Researcher: The Provenance, Process, and Practice of Reflexivity”</w:t>
      </w:r>
    </w:p>
    <w:p w14:paraId="0831F14D" w14:textId="61B3F8A4" w:rsidR="00A819FB" w:rsidRPr="00A819FB" w:rsidRDefault="00A819FB" w:rsidP="00A819FB">
      <w:pPr>
        <w:pStyle w:val="FootnoteText"/>
        <w:rPr>
          <w:rFonts w:cs="Calibri"/>
        </w:rPr>
      </w:pPr>
      <w:r w:rsidRPr="00575F99">
        <w:rPr>
          <w:rStyle w:val="journalname"/>
          <w:rFonts w:cs="Calibri"/>
          <w:shd w:val="clear" w:color="auto" w:fill="FFFFFF"/>
        </w:rPr>
        <w:t>Qualitative Health Research</w:t>
      </w:r>
      <w:r w:rsidRPr="00575F99">
        <w:rPr>
          <w:rFonts w:cs="Calibri"/>
          <w:shd w:val="clear" w:color="auto" w:fill="FFFFFF"/>
        </w:rPr>
        <w:t> </w:t>
      </w:r>
      <w:r w:rsidRPr="00575F99">
        <w:rPr>
          <w:rStyle w:val="year"/>
          <w:rFonts w:cs="Calibri"/>
          <w:shd w:val="clear" w:color="auto" w:fill="FFFFFF"/>
        </w:rPr>
        <w:t>2002</w:t>
      </w:r>
      <w:r w:rsidRPr="00575F99">
        <w:rPr>
          <w:rFonts w:cs="Calibri"/>
          <w:shd w:val="clear" w:color="auto" w:fill="FFFFFF"/>
        </w:rPr>
        <w:t> </w:t>
      </w:r>
      <w:r w:rsidRPr="00575F99">
        <w:rPr>
          <w:rStyle w:val="volume"/>
          <w:rFonts w:cs="Calibri"/>
          <w:shd w:val="clear" w:color="auto" w:fill="FFFFFF"/>
        </w:rPr>
        <w:t>12</w:t>
      </w:r>
      <w:r w:rsidRPr="00575F99">
        <w:rPr>
          <w:rFonts w:cs="Calibri"/>
          <w:shd w:val="clear" w:color="auto" w:fill="FFFFFF"/>
        </w:rPr>
        <w:t>:</w:t>
      </w:r>
      <w:r w:rsidRPr="00575F99">
        <w:rPr>
          <w:rStyle w:val="issue"/>
          <w:rFonts w:cs="Calibri"/>
          <w:shd w:val="clear" w:color="auto" w:fill="FFFFFF"/>
        </w:rPr>
        <w:t>4</w:t>
      </w:r>
      <w:r w:rsidRPr="00575F99">
        <w:rPr>
          <w:rFonts w:cs="Calibri"/>
          <w:shd w:val="clear" w:color="auto" w:fill="FFFFFF"/>
        </w:rPr>
        <w:t>, </w:t>
      </w:r>
      <w:r w:rsidRPr="00575F99">
        <w:rPr>
          <w:rStyle w:val="page"/>
          <w:rFonts w:cs="Calibri"/>
          <w:shd w:val="clear" w:color="auto" w:fill="FFFFFF"/>
        </w:rPr>
        <w:t>p.541</w:t>
      </w:r>
    </w:p>
  </w:footnote>
  <w:footnote w:id="36">
    <w:p w14:paraId="53F667F6" w14:textId="557E4288" w:rsidR="007E7179" w:rsidRDefault="007E7179">
      <w:pPr>
        <w:pStyle w:val="FootnoteText"/>
      </w:pPr>
      <w:r>
        <w:rPr>
          <w:rStyle w:val="FootnoteReference"/>
        </w:rPr>
        <w:footnoteRef/>
      </w:r>
      <w:r>
        <w:t xml:space="preserve"> </w:t>
      </w:r>
      <w:r w:rsidRPr="005271F5">
        <w:t>Blain, J. 2000. ‘Speaking Shamanistically: Seidr, Academia and Rationality’</w:t>
      </w:r>
      <w:r>
        <w:t xml:space="preserve">, p. </w:t>
      </w:r>
      <w:r>
        <w:t>13</w:t>
      </w:r>
    </w:p>
  </w:footnote>
  <w:footnote w:id="37">
    <w:p w14:paraId="700ADBCD" w14:textId="72B32B95" w:rsidR="00131A52" w:rsidRDefault="00131A52">
      <w:pPr>
        <w:pStyle w:val="FootnoteText"/>
      </w:pPr>
      <w:r>
        <w:rPr>
          <w:rStyle w:val="FootnoteReference"/>
        </w:rPr>
        <w:footnoteRef/>
      </w:r>
      <w:r>
        <w:t xml:space="preserve"> Ibid, p. 13</w:t>
      </w:r>
    </w:p>
  </w:footnote>
  <w:footnote w:id="38">
    <w:p w14:paraId="4ECB52A1" w14:textId="70E88332" w:rsidR="00277ACD" w:rsidRPr="00277ACD" w:rsidRDefault="00277ACD">
      <w:pPr>
        <w:pStyle w:val="FootnoteText"/>
        <w:rPr>
          <w:rFonts w:cs="Calibri"/>
        </w:rPr>
      </w:pPr>
      <w:r>
        <w:rPr>
          <w:rStyle w:val="FootnoteReference"/>
        </w:rPr>
        <w:footnoteRef/>
      </w:r>
      <w:r>
        <w:t xml:space="preserve"> </w:t>
      </w:r>
      <w:r w:rsidRPr="00277ACD">
        <w:rPr>
          <w:rFonts w:cs="Calibri"/>
          <w:color w:val="000000"/>
          <w:shd w:val="clear" w:color="auto" w:fill="FFFFFF"/>
        </w:rPr>
        <w:t>Alsop, Christiane K. (2002). Home and Away: Self-reflexive Auto-/Ethnography [55 paragraphs]. </w:t>
      </w:r>
      <w:r w:rsidRPr="00277ACD">
        <w:rPr>
          <w:rFonts w:cs="Calibri"/>
          <w:i/>
          <w:iCs/>
          <w:color w:val="000000"/>
          <w:shd w:val="clear" w:color="auto" w:fill="FFFFFF"/>
        </w:rPr>
        <w:t>Forum Qualitative Sozialforschung / Forum: Qualitative Social Research</w:t>
      </w:r>
      <w:r w:rsidRPr="00277ACD">
        <w:rPr>
          <w:rFonts w:cs="Calibri"/>
          <w:color w:val="000000"/>
          <w:shd w:val="clear" w:color="auto" w:fill="FFFFFF"/>
        </w:rPr>
        <w:t>, </w:t>
      </w:r>
      <w:r w:rsidRPr="00277ACD">
        <w:rPr>
          <w:rFonts w:cs="Calibri"/>
          <w:i/>
          <w:iCs/>
          <w:color w:val="000000"/>
          <w:shd w:val="clear" w:color="auto" w:fill="FFFFFF"/>
        </w:rPr>
        <w:t>3</w:t>
      </w:r>
      <w:r w:rsidRPr="00277ACD">
        <w:rPr>
          <w:rFonts w:cs="Calibri"/>
          <w:color w:val="000000"/>
          <w:shd w:val="clear" w:color="auto" w:fill="FFFFFF"/>
        </w:rPr>
        <w:t xml:space="preserve">(3), Art. 10, </w:t>
      </w:r>
      <w:hyperlink r:id="rId4" w:history="1">
        <w:r w:rsidRPr="00D73BBA">
          <w:rPr>
            <w:rStyle w:val="Hyperlink"/>
            <w:rFonts w:cs="Calibri"/>
            <w:shd w:val="clear" w:color="auto" w:fill="FFFFFF"/>
          </w:rPr>
          <w:t>http://nbn-resolving.de/urn:nbn:de:0114-fqs0203105</w:t>
        </w:r>
      </w:hyperlink>
      <w:r w:rsidRPr="00277ACD">
        <w:rPr>
          <w:rFonts w:cs="Calibri"/>
          <w:color w:val="000000"/>
          <w:shd w:val="clear" w:color="auto" w:fill="FFFFFF"/>
        </w:rPr>
        <w:t>.</w:t>
      </w:r>
      <w:r>
        <w:rPr>
          <w:rFonts w:cs="Calibri"/>
          <w:color w:val="000000"/>
          <w:shd w:val="clear" w:color="auto" w:fill="FFFFFF"/>
        </w:rPr>
        <w:t xml:space="preserve"> Accessed </w:t>
      </w:r>
      <w:proofErr w:type="gramStart"/>
      <w:r>
        <w:rPr>
          <w:rFonts w:cs="Calibri"/>
          <w:color w:val="000000"/>
          <w:shd w:val="clear" w:color="auto" w:fill="FFFFFF"/>
        </w:rPr>
        <w:t>10/03/2024</w:t>
      </w:r>
      <w:proofErr w:type="gramEnd"/>
    </w:p>
  </w:footnote>
  <w:footnote w:id="39">
    <w:p w14:paraId="45F8E7BE" w14:textId="6D81435A" w:rsidR="006648C7" w:rsidRDefault="006648C7">
      <w:pPr>
        <w:pStyle w:val="FootnoteText"/>
      </w:pPr>
      <w:r>
        <w:rPr>
          <w:rStyle w:val="FootnoteReference"/>
        </w:rPr>
        <w:footnoteRef/>
      </w:r>
      <w:r>
        <w:t xml:space="preserve"> </w:t>
      </w:r>
      <w:r w:rsidRPr="005271F5">
        <w:t>Blain, J. 2000. ‘Speaking Shamanistically: Seidr, Academia and Rationality’</w:t>
      </w:r>
      <w:r>
        <w:t xml:space="preserve">, p. </w:t>
      </w:r>
      <w:r>
        <w:t>13</w:t>
      </w:r>
    </w:p>
  </w:footnote>
  <w:footnote w:id="40">
    <w:p w14:paraId="3C6A26EA" w14:textId="78BF0699" w:rsidR="003D7E53" w:rsidRDefault="003D7E53">
      <w:pPr>
        <w:pStyle w:val="FootnoteText"/>
      </w:pPr>
      <w:r>
        <w:rPr>
          <w:rStyle w:val="FootnoteReference"/>
        </w:rPr>
        <w:footnoteRef/>
      </w:r>
      <w:r>
        <w:t xml:space="preserve"> </w:t>
      </w:r>
      <w:r w:rsidRPr="005271F5">
        <w:t>Blain, J. 2000. ‘Speaking Shamanistically: Seidr, Academia and Rationality’</w:t>
      </w:r>
      <w:r>
        <w:t xml:space="preserve">, p. </w:t>
      </w:r>
      <w:r>
        <w:t>2</w:t>
      </w:r>
    </w:p>
  </w:footnote>
  <w:footnote w:id="41">
    <w:p w14:paraId="411B94AA" w14:textId="1063A64E" w:rsidR="00EE2F60" w:rsidRDefault="00EE2F60">
      <w:pPr>
        <w:pStyle w:val="FootnoteText"/>
      </w:pPr>
      <w:r>
        <w:rPr>
          <w:rStyle w:val="FootnoteReference"/>
        </w:rPr>
        <w:footnoteRef/>
      </w:r>
      <w:r>
        <w:t xml:space="preserve"> For example, </w:t>
      </w:r>
      <w:r w:rsidRPr="002B79AD">
        <w:t xml:space="preserve">Brink, T. L. 1978. ‘Inconsistency of Belief among Roman Catholic Girls: Concerning Religion, Astrology, Reincarnation. </w:t>
      </w:r>
      <w:r>
        <w:t>p. 8</w:t>
      </w:r>
      <w:r>
        <w:t>4</w:t>
      </w:r>
    </w:p>
  </w:footnote>
  <w:footnote w:id="42">
    <w:p w14:paraId="6307AD28" w14:textId="4CE61095" w:rsidR="00C417E4" w:rsidRDefault="00C417E4">
      <w:pPr>
        <w:pStyle w:val="FootnoteText"/>
      </w:pPr>
      <w:r>
        <w:rPr>
          <w:rStyle w:val="FootnoteReference"/>
        </w:rPr>
        <w:footnoteRef/>
      </w:r>
      <w:r>
        <w:t xml:space="preserve"> </w:t>
      </w:r>
      <w:r w:rsidRPr="005271F5">
        <w:t>Blain, J. 2000. ‘Speaking Shamanistically: Seidr, Academia and Rationality’</w:t>
      </w:r>
      <w:r>
        <w:t xml:space="preserve">, p. </w:t>
      </w:r>
      <w:r>
        <w:t>1</w:t>
      </w:r>
      <w:r>
        <w:t>2</w:t>
      </w:r>
    </w:p>
  </w:footnote>
  <w:footnote w:id="43">
    <w:p w14:paraId="4F4A0B82" w14:textId="5AF202DB" w:rsidR="00105DB3" w:rsidRDefault="00105DB3">
      <w:pPr>
        <w:pStyle w:val="FootnoteText"/>
      </w:pPr>
      <w:r>
        <w:rPr>
          <w:rStyle w:val="FootnoteReference"/>
        </w:rPr>
        <w:footnoteRef/>
      </w:r>
      <w:r>
        <w:t xml:space="preserve"> Ibid, p. 12</w:t>
      </w:r>
    </w:p>
  </w:footnote>
  <w:footnote w:id="44">
    <w:p w14:paraId="7B9EBC54" w14:textId="5E823CDA" w:rsidR="00105DB3" w:rsidRPr="000538AF" w:rsidRDefault="00105DB3">
      <w:pPr>
        <w:pStyle w:val="FootnoteText"/>
        <w:rPr>
          <w:rFonts w:cs="Calibri"/>
        </w:rPr>
      </w:pPr>
      <w:r>
        <w:rPr>
          <w:rStyle w:val="FootnoteReference"/>
        </w:rPr>
        <w:footnoteRef/>
      </w:r>
      <w:r>
        <w:t xml:space="preserve"> </w:t>
      </w:r>
      <w:r w:rsidR="000538AF" w:rsidRPr="000538AF">
        <w:rPr>
          <w:rStyle w:val="citation-author"/>
          <w:rFonts w:cs="Calibri"/>
          <w:color w:val="1E1E1E"/>
        </w:rPr>
        <w:t>Geertz, Clifford. </w:t>
      </w:r>
      <w:r w:rsidR="000538AF" w:rsidRPr="000538AF">
        <w:rPr>
          <w:rFonts w:cs="Calibri"/>
          <w:i/>
          <w:iCs/>
          <w:color w:val="1E1E1E"/>
        </w:rPr>
        <w:t>The Interpretation of Cultures: Selected Essays.</w:t>
      </w:r>
      <w:r w:rsidR="000538AF" w:rsidRPr="000538AF">
        <w:rPr>
          <w:rFonts w:cs="Calibri"/>
          <w:color w:val="1E1E1E"/>
          <w:shd w:val="clear" w:color="auto" w:fill="FFFFFF"/>
        </w:rPr>
        <w:t> New York: Basic Books, 1973, </w:t>
      </w:r>
      <w:r w:rsidR="000538AF" w:rsidRPr="000538AF">
        <w:rPr>
          <w:rFonts w:cs="Calibri"/>
          <w:color w:val="1E1E1E"/>
          <w:shd w:val="clear" w:color="auto" w:fill="FFFFFF"/>
        </w:rPr>
        <w:t>p. 5</w:t>
      </w:r>
    </w:p>
  </w:footnote>
  <w:footnote w:id="45">
    <w:p w14:paraId="21F5DDC3" w14:textId="344E5EE8" w:rsidR="000538AF" w:rsidRPr="000538AF" w:rsidRDefault="000538AF" w:rsidP="000538AF">
      <w:pPr>
        <w:rPr>
          <w:sz w:val="20"/>
          <w:szCs w:val="20"/>
        </w:rPr>
      </w:pPr>
      <w:r>
        <w:rPr>
          <w:rStyle w:val="FootnoteReference"/>
        </w:rPr>
        <w:footnoteRef/>
      </w:r>
      <w:r>
        <w:t xml:space="preserve"> </w:t>
      </w:r>
      <w:r w:rsidRPr="002B79AD">
        <w:rPr>
          <w:sz w:val="20"/>
          <w:szCs w:val="20"/>
        </w:rPr>
        <w:t xml:space="preserve">Brink, T. L. 1978. ‘Inconsistency of Belief among Roman Catholic Girls: Concerning Religion, Astrology, Reincarnation. </w:t>
      </w:r>
      <w:r>
        <w:rPr>
          <w:sz w:val="20"/>
          <w:szCs w:val="20"/>
        </w:rPr>
        <w:t>p. 8</w:t>
      </w:r>
      <w:r>
        <w:rPr>
          <w:sz w:val="20"/>
          <w:szCs w:val="20"/>
        </w:rPr>
        <w:t>5</w:t>
      </w:r>
    </w:p>
  </w:footnote>
  <w:footnote w:id="46">
    <w:p w14:paraId="4C323C2B" w14:textId="7DD28459" w:rsidR="005D2E7F" w:rsidRPr="005D2E7F" w:rsidRDefault="005D2E7F" w:rsidP="005D2E7F">
      <w:pPr>
        <w:rPr>
          <w:sz w:val="20"/>
          <w:szCs w:val="20"/>
        </w:rPr>
      </w:pPr>
      <w:r>
        <w:rPr>
          <w:rStyle w:val="FootnoteReference"/>
        </w:rPr>
        <w:footnoteRef/>
      </w:r>
      <w:r>
        <w:t xml:space="preserve"> </w:t>
      </w:r>
      <w:r w:rsidRPr="002B79AD">
        <w:rPr>
          <w:sz w:val="20"/>
          <w:szCs w:val="20"/>
        </w:rPr>
        <w:t xml:space="preserve">Brink, T. L. 1978. ‘Inconsistency of Belief among Roman Catholic Girls: Concerning Religion, Astrology, Reincarnation. </w:t>
      </w:r>
      <w:r>
        <w:rPr>
          <w:sz w:val="20"/>
          <w:szCs w:val="20"/>
        </w:rPr>
        <w:t>p. 8</w:t>
      </w:r>
      <w:r>
        <w:rPr>
          <w:sz w:val="20"/>
          <w:szCs w:val="20"/>
        </w:rPr>
        <w:t>4</w:t>
      </w:r>
    </w:p>
  </w:footnote>
  <w:footnote w:id="47">
    <w:p w14:paraId="079BC620" w14:textId="1A4EEE89" w:rsidR="00224EE9" w:rsidRDefault="00224EE9">
      <w:pPr>
        <w:pStyle w:val="FootnoteText"/>
      </w:pPr>
      <w:r>
        <w:rPr>
          <w:rStyle w:val="FootnoteReference"/>
        </w:rPr>
        <w:footnoteRef/>
      </w:r>
      <w:r>
        <w:t xml:space="preserve"> </w:t>
      </w:r>
      <w:r w:rsidRPr="005271F5">
        <w:t>Blain, J. 2000. ‘Speaking Shamanistically: Seidr, Academia and Rationality’</w:t>
      </w:r>
      <w:r>
        <w:t xml:space="preserve">, p. </w:t>
      </w:r>
      <w:r>
        <w:t>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325"/>
    <w:rsid w:val="000538AF"/>
    <w:rsid w:val="000B1A5B"/>
    <w:rsid w:val="000D0989"/>
    <w:rsid w:val="000E427C"/>
    <w:rsid w:val="00105DB3"/>
    <w:rsid w:val="00111FA2"/>
    <w:rsid w:val="00125A4A"/>
    <w:rsid w:val="00131A52"/>
    <w:rsid w:val="001A1070"/>
    <w:rsid w:val="001A48FC"/>
    <w:rsid w:val="00211771"/>
    <w:rsid w:val="00223EE6"/>
    <w:rsid w:val="00224EE9"/>
    <w:rsid w:val="00243A99"/>
    <w:rsid w:val="002624C1"/>
    <w:rsid w:val="002669BD"/>
    <w:rsid w:val="00266FF0"/>
    <w:rsid w:val="00277ACD"/>
    <w:rsid w:val="00283F8B"/>
    <w:rsid w:val="00284C2C"/>
    <w:rsid w:val="002B22B5"/>
    <w:rsid w:val="002B79AD"/>
    <w:rsid w:val="00363B1C"/>
    <w:rsid w:val="003D7E53"/>
    <w:rsid w:val="004001D4"/>
    <w:rsid w:val="004162DA"/>
    <w:rsid w:val="00472900"/>
    <w:rsid w:val="00497636"/>
    <w:rsid w:val="004D40DE"/>
    <w:rsid w:val="004E7915"/>
    <w:rsid w:val="005271F5"/>
    <w:rsid w:val="005527AB"/>
    <w:rsid w:val="00563410"/>
    <w:rsid w:val="00565152"/>
    <w:rsid w:val="00575F99"/>
    <w:rsid w:val="005B6658"/>
    <w:rsid w:val="005D2E7F"/>
    <w:rsid w:val="006015A4"/>
    <w:rsid w:val="00603B36"/>
    <w:rsid w:val="006648C7"/>
    <w:rsid w:val="006B6D0A"/>
    <w:rsid w:val="006C573A"/>
    <w:rsid w:val="006D5E69"/>
    <w:rsid w:val="006D7E3C"/>
    <w:rsid w:val="006E13C2"/>
    <w:rsid w:val="00702290"/>
    <w:rsid w:val="00747A78"/>
    <w:rsid w:val="00760F6A"/>
    <w:rsid w:val="007648F5"/>
    <w:rsid w:val="00764CCF"/>
    <w:rsid w:val="00793C75"/>
    <w:rsid w:val="007C17F4"/>
    <w:rsid w:val="007E7179"/>
    <w:rsid w:val="008101C8"/>
    <w:rsid w:val="00830465"/>
    <w:rsid w:val="008340C1"/>
    <w:rsid w:val="00893C3F"/>
    <w:rsid w:val="008A2C17"/>
    <w:rsid w:val="008C6AC4"/>
    <w:rsid w:val="008D2E63"/>
    <w:rsid w:val="008E422D"/>
    <w:rsid w:val="008F1842"/>
    <w:rsid w:val="00902FC7"/>
    <w:rsid w:val="00907EB9"/>
    <w:rsid w:val="009304B3"/>
    <w:rsid w:val="00976D31"/>
    <w:rsid w:val="009A1AC2"/>
    <w:rsid w:val="009F09AC"/>
    <w:rsid w:val="00A23322"/>
    <w:rsid w:val="00A56FEA"/>
    <w:rsid w:val="00A819FB"/>
    <w:rsid w:val="00A96454"/>
    <w:rsid w:val="00AC7068"/>
    <w:rsid w:val="00B14376"/>
    <w:rsid w:val="00B30F2B"/>
    <w:rsid w:val="00B801C4"/>
    <w:rsid w:val="00BA0B49"/>
    <w:rsid w:val="00BA3DD8"/>
    <w:rsid w:val="00C04DC7"/>
    <w:rsid w:val="00C223CE"/>
    <w:rsid w:val="00C30B67"/>
    <w:rsid w:val="00C417E4"/>
    <w:rsid w:val="00C87325"/>
    <w:rsid w:val="00CB1EB3"/>
    <w:rsid w:val="00CB2639"/>
    <w:rsid w:val="00CB30AD"/>
    <w:rsid w:val="00CB473D"/>
    <w:rsid w:val="00CC512A"/>
    <w:rsid w:val="00D07E88"/>
    <w:rsid w:val="00D211A2"/>
    <w:rsid w:val="00D32F6D"/>
    <w:rsid w:val="00D521C8"/>
    <w:rsid w:val="00D82CB1"/>
    <w:rsid w:val="00D94A6C"/>
    <w:rsid w:val="00DB19E6"/>
    <w:rsid w:val="00DF51A9"/>
    <w:rsid w:val="00DF5CF2"/>
    <w:rsid w:val="00E030D5"/>
    <w:rsid w:val="00E14655"/>
    <w:rsid w:val="00E24752"/>
    <w:rsid w:val="00E35389"/>
    <w:rsid w:val="00E518B2"/>
    <w:rsid w:val="00E55FC5"/>
    <w:rsid w:val="00E81F4E"/>
    <w:rsid w:val="00E8469E"/>
    <w:rsid w:val="00E84B25"/>
    <w:rsid w:val="00EA12A1"/>
    <w:rsid w:val="00EB429B"/>
    <w:rsid w:val="00ED3D25"/>
    <w:rsid w:val="00EE2F60"/>
    <w:rsid w:val="00EE366C"/>
    <w:rsid w:val="00F25F21"/>
    <w:rsid w:val="00F34F6E"/>
    <w:rsid w:val="00F73ED8"/>
    <w:rsid w:val="00FA573B"/>
    <w:rsid w:val="00FE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870D4D"/>
  <w15:chartTrackingRefBased/>
  <w15:docId w15:val="{D8F2D5EC-A4D1-4D54-BE1A-9B327BEA8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B1C"/>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C8732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C8732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732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732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732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732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semiHidden/>
    <w:unhideWhenUsed/>
    <w:rsid w:val="00363B1C"/>
    <w:rPr>
      <w:sz w:val="20"/>
      <w:szCs w:val="20"/>
    </w:rPr>
  </w:style>
  <w:style w:type="character" w:customStyle="1" w:styleId="FootnoteTextChar">
    <w:name w:val="Footnote Text Char"/>
    <w:basedOn w:val="DefaultParagraphFont"/>
    <w:link w:val="FootnoteText"/>
    <w:uiPriority w:val="99"/>
    <w:semiHidden/>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C8732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C8732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8732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8732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8732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8732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873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3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32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32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873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7325"/>
    <w:rPr>
      <w:i/>
      <w:iCs/>
      <w:color w:val="404040" w:themeColor="text1" w:themeTint="BF"/>
    </w:rPr>
  </w:style>
  <w:style w:type="character" w:styleId="IntenseEmphasis">
    <w:name w:val="Intense Emphasis"/>
    <w:basedOn w:val="DefaultParagraphFont"/>
    <w:uiPriority w:val="21"/>
    <w:qFormat/>
    <w:rsid w:val="00C87325"/>
    <w:rPr>
      <w:i/>
      <w:iCs/>
      <w:color w:val="0F4761" w:themeColor="accent1" w:themeShade="BF"/>
    </w:rPr>
  </w:style>
  <w:style w:type="paragraph" w:styleId="IntenseQuote">
    <w:name w:val="Intense Quote"/>
    <w:basedOn w:val="Normal"/>
    <w:next w:val="Normal"/>
    <w:link w:val="IntenseQuoteChar"/>
    <w:uiPriority w:val="30"/>
    <w:qFormat/>
    <w:rsid w:val="00C873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325"/>
    <w:rPr>
      <w:i/>
      <w:iCs/>
      <w:color w:val="0F4761" w:themeColor="accent1" w:themeShade="BF"/>
    </w:rPr>
  </w:style>
  <w:style w:type="character" w:styleId="IntenseReference">
    <w:name w:val="Intense Reference"/>
    <w:basedOn w:val="DefaultParagraphFont"/>
    <w:uiPriority w:val="32"/>
    <w:qFormat/>
    <w:rsid w:val="00C87325"/>
    <w:rPr>
      <w:b/>
      <w:bCs/>
      <w:smallCaps/>
      <w:color w:val="0F4761" w:themeColor="accent1" w:themeShade="BF"/>
      <w:spacing w:val="5"/>
    </w:rPr>
  </w:style>
  <w:style w:type="character" w:styleId="Hyperlink">
    <w:name w:val="Hyperlink"/>
    <w:basedOn w:val="DefaultParagraphFont"/>
    <w:uiPriority w:val="99"/>
    <w:unhideWhenUsed/>
    <w:rsid w:val="00C87325"/>
    <w:rPr>
      <w:color w:val="467886" w:themeColor="hyperlink"/>
      <w:u w:val="single"/>
    </w:rPr>
  </w:style>
  <w:style w:type="character" w:styleId="UnresolvedMention">
    <w:name w:val="Unresolved Mention"/>
    <w:basedOn w:val="DefaultParagraphFont"/>
    <w:uiPriority w:val="99"/>
    <w:semiHidden/>
    <w:unhideWhenUsed/>
    <w:rsid w:val="00C87325"/>
    <w:rPr>
      <w:color w:val="605E5C"/>
      <w:shd w:val="clear" w:color="auto" w:fill="E1DFDD"/>
    </w:rPr>
  </w:style>
  <w:style w:type="character" w:styleId="FollowedHyperlink">
    <w:name w:val="FollowedHyperlink"/>
    <w:basedOn w:val="DefaultParagraphFont"/>
    <w:uiPriority w:val="99"/>
    <w:semiHidden/>
    <w:unhideWhenUsed/>
    <w:rsid w:val="00C30B67"/>
    <w:rPr>
      <w:color w:val="96607D" w:themeColor="followedHyperlink"/>
      <w:u w:val="single"/>
    </w:rPr>
  </w:style>
  <w:style w:type="character" w:customStyle="1" w:styleId="nlmstring-name">
    <w:name w:val="nlm_string-name"/>
    <w:basedOn w:val="DefaultParagraphFont"/>
    <w:rsid w:val="00A819FB"/>
  </w:style>
  <w:style w:type="character" w:customStyle="1" w:styleId="journalname">
    <w:name w:val="journalname"/>
    <w:basedOn w:val="DefaultParagraphFont"/>
    <w:rsid w:val="00A819FB"/>
  </w:style>
  <w:style w:type="character" w:customStyle="1" w:styleId="year">
    <w:name w:val="year"/>
    <w:basedOn w:val="DefaultParagraphFont"/>
    <w:rsid w:val="00A819FB"/>
  </w:style>
  <w:style w:type="character" w:customStyle="1" w:styleId="volume">
    <w:name w:val="volume"/>
    <w:basedOn w:val="DefaultParagraphFont"/>
    <w:rsid w:val="00A819FB"/>
  </w:style>
  <w:style w:type="character" w:customStyle="1" w:styleId="issue">
    <w:name w:val="issue"/>
    <w:basedOn w:val="DefaultParagraphFont"/>
    <w:rsid w:val="00A819FB"/>
  </w:style>
  <w:style w:type="character" w:customStyle="1" w:styleId="page">
    <w:name w:val="page"/>
    <w:basedOn w:val="DefaultParagraphFont"/>
    <w:rsid w:val="00A819FB"/>
  </w:style>
  <w:style w:type="paragraph" w:styleId="NormalWeb">
    <w:name w:val="Normal (Web)"/>
    <w:basedOn w:val="Normal"/>
    <w:rsid w:val="00E84B25"/>
    <w:pPr>
      <w:suppressAutoHyphens/>
      <w:spacing w:before="280" w:after="280"/>
    </w:pPr>
    <w:rPr>
      <w:rFonts w:ascii="Georgia" w:eastAsia="SimSun" w:hAnsi="Georgia" w:cs="Georgia"/>
      <w:color w:val="000000"/>
      <w:kern w:val="0"/>
      <w:sz w:val="21"/>
      <w:szCs w:val="21"/>
      <w:lang w:eastAsia="zh-CN"/>
      <w14:ligatures w14:val="none"/>
    </w:rPr>
  </w:style>
  <w:style w:type="character" w:customStyle="1" w:styleId="citation-author">
    <w:name w:val="citation-author"/>
    <w:basedOn w:val="DefaultParagraphFont"/>
    <w:rsid w:val="00053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5210187">
      <w:bodyDiv w:val="1"/>
      <w:marLeft w:val="0"/>
      <w:marRight w:val="0"/>
      <w:marTop w:val="0"/>
      <w:marBottom w:val="0"/>
      <w:divBdr>
        <w:top w:val="none" w:sz="0" w:space="0" w:color="auto"/>
        <w:left w:val="none" w:sz="0" w:space="0" w:color="auto"/>
        <w:bottom w:val="none" w:sz="0" w:space="0" w:color="auto"/>
        <w:right w:val="none" w:sz="0" w:space="0" w:color="auto"/>
      </w:divBdr>
      <w:divsChild>
        <w:div w:id="4092300">
          <w:marLeft w:val="0"/>
          <w:marRight w:val="0"/>
          <w:marTop w:val="0"/>
          <w:marBottom w:val="0"/>
          <w:divBdr>
            <w:top w:val="none" w:sz="0" w:space="0" w:color="auto"/>
            <w:left w:val="none" w:sz="0" w:space="0" w:color="auto"/>
            <w:bottom w:val="none" w:sz="0" w:space="0" w:color="auto"/>
            <w:right w:val="none" w:sz="0" w:space="0" w:color="auto"/>
          </w:divBdr>
          <w:divsChild>
            <w:div w:id="190467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204984">
      <w:bodyDiv w:val="1"/>
      <w:marLeft w:val="0"/>
      <w:marRight w:val="0"/>
      <w:marTop w:val="0"/>
      <w:marBottom w:val="0"/>
      <w:divBdr>
        <w:top w:val="none" w:sz="0" w:space="0" w:color="auto"/>
        <w:left w:val="none" w:sz="0" w:space="0" w:color="auto"/>
        <w:bottom w:val="none" w:sz="0" w:space="0" w:color="auto"/>
        <w:right w:val="none" w:sz="0" w:space="0" w:color="auto"/>
      </w:divBdr>
    </w:div>
    <w:div w:id="1533112976">
      <w:bodyDiv w:val="1"/>
      <w:marLeft w:val="0"/>
      <w:marRight w:val="0"/>
      <w:marTop w:val="0"/>
      <w:marBottom w:val="0"/>
      <w:divBdr>
        <w:top w:val="none" w:sz="0" w:space="0" w:color="auto"/>
        <w:left w:val="none" w:sz="0" w:space="0" w:color="auto"/>
        <w:bottom w:val="none" w:sz="0" w:space="0" w:color="auto"/>
        <w:right w:val="none" w:sz="0" w:space="0" w:color="auto"/>
      </w:divBdr>
      <w:divsChild>
        <w:div w:id="1490173028">
          <w:marLeft w:val="0"/>
          <w:marRight w:val="0"/>
          <w:marTop w:val="0"/>
          <w:marBottom w:val="0"/>
          <w:divBdr>
            <w:top w:val="none" w:sz="0" w:space="0" w:color="auto"/>
            <w:left w:val="none" w:sz="0" w:space="0" w:color="auto"/>
            <w:bottom w:val="none" w:sz="0" w:space="0" w:color="auto"/>
            <w:right w:val="none" w:sz="0" w:space="0" w:color="auto"/>
          </w:divBdr>
          <w:divsChild>
            <w:div w:id="19923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27121">
      <w:bodyDiv w:val="1"/>
      <w:marLeft w:val="0"/>
      <w:marRight w:val="0"/>
      <w:marTop w:val="0"/>
      <w:marBottom w:val="0"/>
      <w:divBdr>
        <w:top w:val="none" w:sz="0" w:space="0" w:color="auto"/>
        <w:left w:val="none" w:sz="0" w:space="0" w:color="auto"/>
        <w:bottom w:val="none" w:sz="0" w:space="0" w:color="auto"/>
        <w:right w:val="none" w:sz="0" w:space="0" w:color="auto"/>
      </w:divBdr>
      <w:divsChild>
        <w:div w:id="714617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quest.com/scholarly-journals/autoethnography-overview/docview/870465772/se-2%20p.%201-1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roquest.com/scholarly-journals/autoethnography-overview/docview/870465772/se-2" TargetMode="External"/><Relationship Id="rId2" Type="http://schemas.openxmlformats.org/officeDocument/2006/relationships/hyperlink" Target="https://www.proquest.com/scholarly-journals/autoethnography-overview/docview/870465772/se-2" TargetMode="External"/><Relationship Id="rId1" Type="http://schemas.openxmlformats.org/officeDocument/2006/relationships/hyperlink" Target="https://jbasr.com/basr/diskus/diskus1-6/blain.txt" TargetMode="External"/><Relationship Id="rId4" Type="http://schemas.openxmlformats.org/officeDocument/2006/relationships/hyperlink" Target="http://nbn-resolving.de/urn:nbn:de:0114-fqs0203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54FFCE3-610D-45AA-B7FC-8386F8A92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2710</Words>
  <Characters>15043</Characters>
  <Application>Microsoft Office Word</Application>
  <DocSecurity>0</DocSecurity>
  <Lines>278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2</cp:revision>
  <dcterms:created xsi:type="dcterms:W3CDTF">2024-03-10T12:47:00Z</dcterms:created>
  <dcterms:modified xsi:type="dcterms:W3CDTF">2024-03-10T12:47:00Z</dcterms:modified>
</cp:coreProperties>
</file>