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auto"/>
          <w:sz w:val="24"/>
          <w:szCs w:val="24"/>
          <w:lang w:val="en-GB"/>
        </w:rPr>
        <w:id w:val="-801461726"/>
        <w:docPartObj>
          <w:docPartGallery w:val="Table of Contents"/>
          <w:docPartUnique/>
        </w:docPartObj>
      </w:sdtPr>
      <w:sdtEndPr>
        <w:rPr>
          <w:b/>
          <w:bCs/>
          <w:noProof/>
        </w:rPr>
      </w:sdtEndPr>
      <w:sdtContent>
        <w:p w14:paraId="79609869" w14:textId="77777777" w:rsidR="00EE58A3" w:rsidRDefault="00EE58A3">
          <w:pPr>
            <w:pStyle w:val="TOCHeading"/>
            <w:rPr>
              <w:rFonts w:ascii="Arial" w:eastAsiaTheme="minorHAnsi" w:hAnsi="Arial" w:cs="Arial"/>
              <w:color w:val="auto"/>
              <w:sz w:val="24"/>
              <w:szCs w:val="24"/>
              <w:lang w:val="en-GB"/>
            </w:rPr>
          </w:pPr>
        </w:p>
        <w:p w14:paraId="7D3350DF" w14:textId="77777777" w:rsidR="00EF289F" w:rsidRPr="00EF289F" w:rsidRDefault="00EF289F" w:rsidP="00EF289F">
          <w:pPr>
            <w:spacing w:before="100" w:beforeAutospacing="1" w:after="100" w:afterAutospacing="1" w:line="240" w:lineRule="auto"/>
            <w:outlineLvl w:val="0"/>
            <w:divId w:val="1741098424"/>
            <w:rPr>
              <w:rFonts w:ascii="Arial" w:eastAsia="Times New Roman" w:hAnsi="Arial" w:cs="Arial"/>
              <w:b/>
              <w:bCs/>
              <w:kern w:val="36"/>
              <w:sz w:val="48"/>
              <w:szCs w:val="48"/>
              <w:lang w:eastAsia="en-GB"/>
            </w:rPr>
          </w:pPr>
          <w:r w:rsidRPr="00EF289F">
            <w:rPr>
              <w:rFonts w:ascii="Arial" w:eastAsia="Times New Roman" w:hAnsi="Arial" w:cs="Arial"/>
              <w:b/>
              <w:bCs/>
              <w:kern w:val="36"/>
              <w:sz w:val="48"/>
              <w:szCs w:val="48"/>
              <w:lang w:eastAsia="en-GB"/>
            </w:rPr>
            <w:t>Introduction to Independent Research Skills</w:t>
          </w:r>
        </w:p>
        <w:p w14:paraId="34B26F3A" w14:textId="77777777" w:rsidR="00EF289F" w:rsidRPr="00EF289F" w:rsidRDefault="00EF289F" w:rsidP="00EF289F">
          <w:pPr>
            <w:spacing w:before="100" w:beforeAutospacing="1" w:after="100" w:afterAutospacing="1" w:line="240" w:lineRule="auto"/>
            <w:divId w:val="1741098424"/>
            <w:rPr>
              <w:rFonts w:ascii="Arial" w:eastAsiaTheme="minorEastAsia" w:hAnsi="Arial" w:cs="Arial"/>
              <w:sz w:val="24"/>
              <w:szCs w:val="24"/>
              <w:lang w:eastAsia="en-GB"/>
            </w:rPr>
          </w:pPr>
          <w:r w:rsidRPr="00EF289F">
            <w:rPr>
              <w:rFonts w:ascii="Arial" w:eastAsiaTheme="minorEastAsia" w:hAnsi="Arial" w:cs="Arial"/>
              <w:b/>
              <w:bCs/>
              <w:sz w:val="24"/>
              <w:szCs w:val="24"/>
              <w:lang w:eastAsia="en-GB"/>
            </w:rPr>
            <w:t>Component 2: Written Assignment (Research Report)</w:t>
          </w:r>
        </w:p>
        <w:p w14:paraId="3C61D36B" w14:textId="77777777" w:rsidR="00EF289F" w:rsidRPr="00EF289F" w:rsidRDefault="00EF289F" w:rsidP="00EF289F">
          <w:pPr>
            <w:spacing w:before="100" w:beforeAutospacing="1" w:after="100" w:afterAutospacing="1" w:line="240" w:lineRule="auto"/>
            <w:divId w:val="1741098424"/>
            <w:rPr>
              <w:rFonts w:ascii="Arial" w:eastAsiaTheme="minorEastAsia" w:hAnsi="Arial" w:cs="Arial"/>
              <w:sz w:val="24"/>
              <w:szCs w:val="24"/>
              <w:lang w:eastAsia="en-GB"/>
            </w:rPr>
          </w:pPr>
          <w:r w:rsidRPr="00EF289F">
            <w:rPr>
              <w:rFonts w:ascii="Arial" w:eastAsiaTheme="minorEastAsia" w:hAnsi="Arial" w:cs="Arial"/>
              <w:b/>
              <w:bCs/>
              <w:sz w:val="24"/>
              <w:szCs w:val="24"/>
              <w:lang w:eastAsia="en-GB"/>
            </w:rPr>
            <w:t>Module Code:</w:t>
          </w:r>
          <w:r w:rsidRPr="00EF289F">
            <w:rPr>
              <w:rFonts w:ascii="Arial" w:eastAsiaTheme="minorEastAsia" w:hAnsi="Arial" w:cs="Arial"/>
              <w:sz w:val="24"/>
              <w:szCs w:val="24"/>
              <w:lang w:eastAsia="en-GB"/>
            </w:rPr>
            <w:t xml:space="preserve"> BMHP5019</w:t>
          </w:r>
          <w:r w:rsidRPr="00EF289F">
            <w:rPr>
              <w:rFonts w:ascii="Arial" w:eastAsiaTheme="minorEastAsia" w:hAnsi="Arial" w:cs="Arial"/>
              <w:sz w:val="24"/>
              <w:szCs w:val="24"/>
              <w:lang w:eastAsia="en-GB"/>
            </w:rPr>
            <w:br/>
          </w:r>
          <w:r w:rsidRPr="00EF289F">
            <w:rPr>
              <w:rFonts w:ascii="Arial" w:eastAsiaTheme="minorEastAsia" w:hAnsi="Arial" w:cs="Arial"/>
              <w:b/>
              <w:bCs/>
              <w:sz w:val="24"/>
              <w:szCs w:val="24"/>
              <w:lang w:eastAsia="en-GB"/>
            </w:rPr>
            <w:t>Programme:</w:t>
          </w:r>
          <w:r w:rsidRPr="00EF289F">
            <w:rPr>
              <w:rFonts w:ascii="Arial" w:eastAsiaTheme="minorEastAsia" w:hAnsi="Arial" w:cs="Arial"/>
              <w:sz w:val="24"/>
              <w:szCs w:val="24"/>
              <w:lang w:eastAsia="en-GB"/>
            </w:rPr>
            <w:t xml:space="preserve"> BSc (</w:t>
          </w:r>
          <w:proofErr w:type="spellStart"/>
          <w:r w:rsidRPr="00EF289F">
            <w:rPr>
              <w:rFonts w:ascii="Arial" w:eastAsiaTheme="minorEastAsia" w:hAnsi="Arial" w:cs="Arial"/>
              <w:sz w:val="24"/>
              <w:szCs w:val="24"/>
              <w:lang w:eastAsia="en-GB"/>
            </w:rPr>
            <w:t>Hons</w:t>
          </w:r>
          <w:proofErr w:type="spellEnd"/>
          <w:r w:rsidRPr="00EF289F">
            <w:rPr>
              <w:rFonts w:ascii="Arial" w:eastAsiaTheme="minorEastAsia" w:hAnsi="Arial" w:cs="Arial"/>
              <w:sz w:val="24"/>
              <w:szCs w:val="24"/>
              <w:lang w:eastAsia="en-GB"/>
            </w:rPr>
            <w:t>) Health and Social Care</w:t>
          </w:r>
        </w:p>
        <w:p w14:paraId="38B3E925" w14:textId="30A533D1" w:rsidR="00540A10" w:rsidRDefault="00EF289F" w:rsidP="00EF289F">
          <w:pPr>
            <w:spacing w:before="100" w:beforeAutospacing="1" w:after="100" w:afterAutospacing="1" w:line="240" w:lineRule="auto"/>
            <w:divId w:val="1741098424"/>
            <w:rPr>
              <w:rFonts w:ascii="Arial" w:eastAsiaTheme="minorEastAsia" w:hAnsi="Arial" w:cs="Arial"/>
              <w:sz w:val="24"/>
              <w:szCs w:val="24"/>
              <w:lang w:eastAsia="en-GB"/>
            </w:rPr>
          </w:pPr>
          <w:r w:rsidRPr="00EF289F">
            <w:rPr>
              <w:rFonts w:ascii="Arial" w:eastAsiaTheme="minorEastAsia" w:hAnsi="Arial" w:cs="Arial"/>
              <w:b/>
              <w:bCs/>
              <w:sz w:val="24"/>
              <w:szCs w:val="24"/>
              <w:lang w:eastAsia="en-GB"/>
            </w:rPr>
            <w:t>Student Name:</w:t>
          </w:r>
          <w:r w:rsidRPr="00EF289F">
            <w:rPr>
              <w:rFonts w:ascii="Arial" w:eastAsiaTheme="minorEastAsia" w:hAnsi="Arial" w:cs="Arial"/>
              <w:sz w:val="24"/>
              <w:szCs w:val="24"/>
              <w:lang w:eastAsia="en-GB"/>
            </w:rPr>
            <w:t xml:space="preserve"> </w:t>
          </w:r>
          <w:r w:rsidR="00540A10">
            <w:rPr>
              <w:rFonts w:ascii="Arial" w:eastAsiaTheme="minorEastAsia" w:hAnsi="Arial" w:cs="Arial"/>
              <w:sz w:val="24"/>
              <w:szCs w:val="24"/>
              <w:lang w:eastAsia="en-GB"/>
            </w:rPr>
            <w:t>Venice Woodhouse</w:t>
          </w:r>
        </w:p>
        <w:p w14:paraId="4ED5E51F" w14:textId="36A3E831" w:rsidR="00EF289F" w:rsidRPr="00EF289F" w:rsidRDefault="00EF289F" w:rsidP="00EF289F">
          <w:pPr>
            <w:spacing w:before="100" w:beforeAutospacing="1" w:after="100" w:afterAutospacing="1" w:line="240" w:lineRule="auto"/>
            <w:divId w:val="1741098424"/>
            <w:rPr>
              <w:rFonts w:ascii="Arial" w:eastAsiaTheme="minorEastAsia" w:hAnsi="Arial" w:cs="Arial"/>
              <w:sz w:val="24"/>
              <w:szCs w:val="24"/>
              <w:lang w:eastAsia="en-GB"/>
            </w:rPr>
          </w:pPr>
          <w:r w:rsidRPr="00EF289F">
            <w:rPr>
              <w:rFonts w:ascii="Arial" w:eastAsiaTheme="minorEastAsia" w:hAnsi="Arial" w:cs="Arial"/>
              <w:b/>
              <w:bCs/>
              <w:sz w:val="24"/>
              <w:szCs w:val="24"/>
              <w:lang w:eastAsia="en-GB"/>
            </w:rPr>
            <w:t>Student ID:</w:t>
          </w:r>
          <w:r w:rsidRPr="00EF289F">
            <w:rPr>
              <w:rFonts w:ascii="Arial" w:eastAsiaTheme="minorEastAsia" w:hAnsi="Arial" w:cs="Arial"/>
              <w:sz w:val="24"/>
              <w:szCs w:val="24"/>
              <w:lang w:eastAsia="en-GB"/>
            </w:rPr>
            <w:t xml:space="preserve"> </w:t>
          </w:r>
          <w:r w:rsidR="00CE2D24" w:rsidRPr="00CE2D24">
            <w:rPr>
              <w:rFonts w:ascii="Arial" w:hAnsi="Arial" w:cs="Arial"/>
            </w:rPr>
            <w:t>2411223</w:t>
          </w:r>
        </w:p>
        <w:p w14:paraId="7EC3BCC3" w14:textId="77777777" w:rsidR="00EF289F" w:rsidRPr="00EF289F" w:rsidRDefault="00EF289F" w:rsidP="00EF289F">
          <w:pPr>
            <w:spacing w:before="100" w:beforeAutospacing="1" w:after="100" w:afterAutospacing="1" w:line="240" w:lineRule="auto"/>
            <w:divId w:val="1741098424"/>
            <w:rPr>
              <w:rFonts w:ascii="Arial" w:eastAsiaTheme="minorEastAsia" w:hAnsi="Arial" w:cs="Arial"/>
              <w:sz w:val="24"/>
              <w:szCs w:val="24"/>
              <w:lang w:eastAsia="en-GB"/>
            </w:rPr>
          </w:pPr>
          <w:r w:rsidRPr="00EF289F">
            <w:rPr>
              <w:rFonts w:ascii="Arial" w:eastAsiaTheme="minorEastAsia" w:hAnsi="Arial" w:cs="Arial"/>
              <w:b/>
              <w:bCs/>
              <w:sz w:val="24"/>
              <w:szCs w:val="24"/>
              <w:lang w:eastAsia="en-GB"/>
            </w:rPr>
            <w:t>Submission Date:</w:t>
          </w:r>
          <w:r w:rsidRPr="00EF289F">
            <w:rPr>
              <w:rFonts w:ascii="Arial" w:eastAsiaTheme="minorEastAsia" w:hAnsi="Arial" w:cs="Arial"/>
              <w:sz w:val="24"/>
              <w:szCs w:val="24"/>
              <w:lang w:eastAsia="en-GB"/>
            </w:rPr>
            <w:t xml:space="preserve"> 14 August 2026</w:t>
          </w:r>
        </w:p>
        <w:p w14:paraId="3DB589C0" w14:textId="77777777" w:rsidR="00EE58A3" w:rsidRPr="00540A10" w:rsidRDefault="00EE58A3">
          <w:pPr>
            <w:pStyle w:val="TOCHeading"/>
            <w:rPr>
              <w:rFonts w:ascii="Arial" w:eastAsiaTheme="minorHAnsi" w:hAnsi="Arial" w:cs="Arial"/>
              <w:color w:val="auto"/>
              <w:sz w:val="24"/>
              <w:szCs w:val="24"/>
              <w:lang w:val="en-GB"/>
            </w:rPr>
          </w:pPr>
        </w:p>
        <w:p w14:paraId="58E596E1" w14:textId="77777777" w:rsidR="00EE58A3" w:rsidRPr="00540A10" w:rsidRDefault="00EE58A3">
          <w:pPr>
            <w:pStyle w:val="TOCHeading"/>
            <w:rPr>
              <w:rFonts w:ascii="Arial" w:eastAsiaTheme="minorHAnsi" w:hAnsi="Arial" w:cs="Arial"/>
              <w:color w:val="auto"/>
              <w:sz w:val="24"/>
              <w:szCs w:val="24"/>
              <w:lang w:val="en-GB"/>
            </w:rPr>
          </w:pPr>
        </w:p>
        <w:p w14:paraId="1A88F2F5" w14:textId="77777777" w:rsidR="00EE58A3" w:rsidRDefault="00EE58A3">
          <w:pPr>
            <w:pStyle w:val="TOCHeading"/>
            <w:rPr>
              <w:rFonts w:ascii="Arial" w:eastAsiaTheme="minorHAnsi" w:hAnsi="Arial" w:cs="Arial"/>
              <w:color w:val="auto"/>
              <w:sz w:val="24"/>
              <w:szCs w:val="24"/>
              <w:lang w:val="en-GB"/>
            </w:rPr>
          </w:pPr>
        </w:p>
        <w:p w14:paraId="5265E8AE" w14:textId="77777777" w:rsidR="00EE58A3" w:rsidRDefault="00EE58A3">
          <w:pPr>
            <w:pStyle w:val="TOCHeading"/>
            <w:rPr>
              <w:rFonts w:ascii="Arial" w:eastAsiaTheme="minorHAnsi" w:hAnsi="Arial" w:cs="Arial"/>
              <w:color w:val="auto"/>
              <w:sz w:val="24"/>
              <w:szCs w:val="24"/>
              <w:lang w:val="en-GB"/>
            </w:rPr>
          </w:pPr>
        </w:p>
        <w:p w14:paraId="45AC0565" w14:textId="77777777" w:rsidR="00EE58A3" w:rsidRDefault="00EE58A3">
          <w:pPr>
            <w:pStyle w:val="TOCHeading"/>
            <w:rPr>
              <w:rFonts w:ascii="Arial" w:eastAsiaTheme="minorHAnsi" w:hAnsi="Arial" w:cs="Arial"/>
              <w:color w:val="auto"/>
              <w:sz w:val="24"/>
              <w:szCs w:val="24"/>
              <w:lang w:val="en-GB"/>
            </w:rPr>
          </w:pPr>
        </w:p>
        <w:p w14:paraId="4E8CC52F" w14:textId="2A9C350D" w:rsidR="009B5413" w:rsidRPr="00B44C48" w:rsidRDefault="009B5413">
          <w:pPr>
            <w:pStyle w:val="TOCHeading"/>
            <w:rPr>
              <w:rFonts w:ascii="Arial" w:hAnsi="Arial" w:cs="Arial"/>
              <w:sz w:val="24"/>
              <w:szCs w:val="24"/>
            </w:rPr>
          </w:pPr>
          <w:r w:rsidRPr="00B44C48">
            <w:rPr>
              <w:rFonts w:ascii="Arial" w:hAnsi="Arial" w:cs="Arial"/>
              <w:sz w:val="24"/>
              <w:szCs w:val="24"/>
            </w:rPr>
            <w:t>Contents</w:t>
          </w:r>
        </w:p>
        <w:p w14:paraId="09758E58" w14:textId="77777777" w:rsidR="009B5413" w:rsidRPr="00B44C48" w:rsidRDefault="009B5413">
          <w:pPr>
            <w:pStyle w:val="TOC1"/>
            <w:tabs>
              <w:tab w:val="right" w:leader="dot" w:pos="9016"/>
            </w:tabs>
            <w:rPr>
              <w:rFonts w:ascii="Arial" w:hAnsi="Arial" w:cs="Arial"/>
              <w:noProof/>
              <w:sz w:val="24"/>
              <w:szCs w:val="24"/>
            </w:rPr>
          </w:pPr>
          <w:r w:rsidRPr="00B44C48">
            <w:rPr>
              <w:rFonts w:ascii="Arial" w:hAnsi="Arial" w:cs="Arial"/>
              <w:sz w:val="24"/>
              <w:szCs w:val="24"/>
            </w:rPr>
            <w:fldChar w:fldCharType="begin"/>
          </w:r>
          <w:r w:rsidRPr="00B44C48">
            <w:rPr>
              <w:rFonts w:ascii="Arial" w:hAnsi="Arial" w:cs="Arial"/>
              <w:sz w:val="24"/>
              <w:szCs w:val="24"/>
            </w:rPr>
            <w:instrText xml:space="preserve"> TOC \o "1-3" \h \z \u </w:instrText>
          </w:r>
          <w:r w:rsidRPr="00B44C48">
            <w:rPr>
              <w:rFonts w:ascii="Arial" w:hAnsi="Arial" w:cs="Arial"/>
              <w:sz w:val="24"/>
              <w:szCs w:val="24"/>
            </w:rPr>
            <w:fldChar w:fldCharType="separate"/>
          </w:r>
          <w:hyperlink w:anchor="_Toc236418013" w:history="1">
            <w:r w:rsidRPr="00B44C48">
              <w:rPr>
                <w:rStyle w:val="Hyperlink"/>
                <w:rFonts w:ascii="Arial" w:eastAsia="Times New Roman" w:hAnsi="Arial" w:cs="Arial"/>
                <w:bCs/>
                <w:noProof/>
                <w:kern w:val="36"/>
                <w:sz w:val="24"/>
                <w:szCs w:val="24"/>
                <w:lang w:eastAsia="en-GB"/>
              </w:rPr>
              <w:t>1. Introduction</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_Toc236418013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2</w:t>
            </w:r>
            <w:r w:rsidRPr="00B44C48">
              <w:rPr>
                <w:rFonts w:ascii="Arial" w:hAnsi="Arial" w:cs="Arial"/>
                <w:noProof/>
                <w:webHidden/>
                <w:sz w:val="24"/>
                <w:szCs w:val="24"/>
              </w:rPr>
              <w:fldChar w:fldCharType="end"/>
            </w:r>
          </w:hyperlink>
        </w:p>
        <w:p w14:paraId="7DE27984" w14:textId="77777777" w:rsidR="009B5413" w:rsidRPr="00B44C48" w:rsidRDefault="009B5413">
          <w:pPr>
            <w:pStyle w:val="TOC2"/>
            <w:tabs>
              <w:tab w:val="right" w:leader="dot" w:pos="9016"/>
            </w:tabs>
            <w:rPr>
              <w:rFonts w:ascii="Arial" w:hAnsi="Arial" w:cs="Arial"/>
              <w:noProof/>
              <w:sz w:val="24"/>
              <w:szCs w:val="24"/>
            </w:rPr>
          </w:pPr>
          <w:hyperlink w:anchor="_Toc236418014" w:history="1">
            <w:r w:rsidRPr="00B44C48">
              <w:rPr>
                <w:rStyle w:val="Hyperlink"/>
                <w:rFonts w:ascii="Arial" w:eastAsia="Times New Roman" w:hAnsi="Arial" w:cs="Arial"/>
                <w:bCs/>
                <w:noProof/>
                <w:sz w:val="24"/>
                <w:szCs w:val="24"/>
                <w:lang w:eastAsia="en-GB"/>
              </w:rPr>
              <w:t>Review Question</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_Toc236418014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4</w:t>
            </w:r>
            <w:r w:rsidRPr="00B44C48">
              <w:rPr>
                <w:rFonts w:ascii="Arial" w:hAnsi="Arial" w:cs="Arial"/>
                <w:noProof/>
                <w:webHidden/>
                <w:sz w:val="24"/>
                <w:szCs w:val="24"/>
              </w:rPr>
              <w:fldChar w:fldCharType="end"/>
            </w:r>
          </w:hyperlink>
        </w:p>
        <w:p w14:paraId="745CBBF4" w14:textId="77777777" w:rsidR="009B5413" w:rsidRPr="00B44C48" w:rsidRDefault="009B5413">
          <w:pPr>
            <w:pStyle w:val="TOC2"/>
            <w:tabs>
              <w:tab w:val="right" w:leader="dot" w:pos="9016"/>
            </w:tabs>
            <w:rPr>
              <w:rFonts w:ascii="Arial" w:hAnsi="Arial" w:cs="Arial"/>
              <w:noProof/>
              <w:sz w:val="24"/>
              <w:szCs w:val="24"/>
            </w:rPr>
          </w:pPr>
          <w:hyperlink w:anchor="_Toc236418015" w:history="1">
            <w:r w:rsidRPr="00B44C48">
              <w:rPr>
                <w:rStyle w:val="Hyperlink"/>
                <w:rFonts w:ascii="Arial" w:eastAsia="Times New Roman" w:hAnsi="Arial" w:cs="Arial"/>
                <w:bCs/>
                <w:noProof/>
                <w:sz w:val="24"/>
                <w:szCs w:val="24"/>
                <w:lang w:eastAsia="en-GB"/>
              </w:rPr>
              <w:t>Objectives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_Toc236418015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4</w:t>
            </w:r>
            <w:r w:rsidRPr="00B44C48">
              <w:rPr>
                <w:rFonts w:ascii="Arial" w:hAnsi="Arial" w:cs="Arial"/>
                <w:noProof/>
                <w:webHidden/>
                <w:sz w:val="24"/>
                <w:szCs w:val="24"/>
              </w:rPr>
              <w:fldChar w:fldCharType="end"/>
            </w:r>
          </w:hyperlink>
        </w:p>
        <w:p w14:paraId="24A37B59" w14:textId="77777777" w:rsidR="009B5413" w:rsidRPr="00B44C48" w:rsidRDefault="009B5413">
          <w:pPr>
            <w:pStyle w:val="TOC1"/>
            <w:tabs>
              <w:tab w:val="right" w:leader="dot" w:pos="9016"/>
            </w:tabs>
            <w:rPr>
              <w:rFonts w:ascii="Arial" w:hAnsi="Arial" w:cs="Arial"/>
              <w:noProof/>
              <w:sz w:val="24"/>
              <w:szCs w:val="24"/>
            </w:rPr>
          </w:pPr>
          <w:hyperlink w:anchor="_Toc236418016" w:history="1">
            <w:r w:rsidRPr="00B44C48">
              <w:rPr>
                <w:rStyle w:val="Hyperlink"/>
                <w:rFonts w:ascii="Arial" w:eastAsia="Times New Roman" w:hAnsi="Arial" w:cs="Arial"/>
                <w:bCs/>
                <w:noProof/>
                <w:kern w:val="36"/>
                <w:sz w:val="24"/>
                <w:szCs w:val="24"/>
                <w:lang w:eastAsia="en-GB"/>
              </w:rPr>
              <w:t>2. Background</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_Toc236418016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4</w:t>
            </w:r>
            <w:r w:rsidRPr="00B44C48">
              <w:rPr>
                <w:rFonts w:ascii="Arial" w:hAnsi="Arial" w:cs="Arial"/>
                <w:noProof/>
                <w:webHidden/>
                <w:sz w:val="24"/>
                <w:szCs w:val="24"/>
              </w:rPr>
              <w:fldChar w:fldCharType="end"/>
            </w:r>
          </w:hyperlink>
        </w:p>
        <w:p w14:paraId="2EBFDAFA" w14:textId="77777777" w:rsidR="009B5413" w:rsidRPr="00B44C48" w:rsidRDefault="009B5413">
          <w:pPr>
            <w:pStyle w:val="TOC1"/>
            <w:tabs>
              <w:tab w:val="right" w:leader="dot" w:pos="9016"/>
            </w:tabs>
            <w:rPr>
              <w:rFonts w:ascii="Arial" w:hAnsi="Arial" w:cs="Arial"/>
              <w:noProof/>
              <w:sz w:val="24"/>
              <w:szCs w:val="24"/>
            </w:rPr>
          </w:pPr>
          <w:hyperlink w:anchor="_Toc236418017" w:history="1">
            <w:r w:rsidRPr="00B44C48">
              <w:rPr>
                <w:rStyle w:val="Hyperlink"/>
                <w:rFonts w:ascii="Arial" w:hAnsi="Arial" w:cs="Arial"/>
                <w:noProof/>
                <w:sz w:val="24"/>
                <w:szCs w:val="24"/>
              </w:rPr>
              <w:t>3. Methods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_Toc236418017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6</w:t>
            </w:r>
            <w:r w:rsidRPr="00B44C48">
              <w:rPr>
                <w:rFonts w:ascii="Arial" w:hAnsi="Arial" w:cs="Arial"/>
                <w:noProof/>
                <w:webHidden/>
                <w:sz w:val="24"/>
                <w:szCs w:val="24"/>
              </w:rPr>
              <w:fldChar w:fldCharType="end"/>
            </w:r>
          </w:hyperlink>
        </w:p>
        <w:p w14:paraId="114073E7" w14:textId="77777777" w:rsidR="009B5413" w:rsidRPr="00B44C48" w:rsidRDefault="009B5413">
          <w:pPr>
            <w:pStyle w:val="TOC2"/>
            <w:tabs>
              <w:tab w:val="right" w:leader="dot" w:pos="9016"/>
            </w:tabs>
            <w:rPr>
              <w:rFonts w:ascii="Arial" w:hAnsi="Arial" w:cs="Arial"/>
              <w:noProof/>
              <w:sz w:val="24"/>
              <w:szCs w:val="24"/>
            </w:rPr>
          </w:pPr>
          <w:hyperlink w:anchor="_Toc236418018" w:history="1">
            <w:r w:rsidRPr="00B44C48">
              <w:rPr>
                <w:rStyle w:val="Hyperlink"/>
                <w:rFonts w:ascii="Arial" w:hAnsi="Arial" w:cs="Arial"/>
                <w:noProof/>
                <w:sz w:val="24"/>
                <w:szCs w:val="24"/>
              </w:rPr>
              <w:t>3.1 Scoping Review Design</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_Toc236418018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6</w:t>
            </w:r>
            <w:r w:rsidRPr="00B44C48">
              <w:rPr>
                <w:rFonts w:ascii="Arial" w:hAnsi="Arial" w:cs="Arial"/>
                <w:noProof/>
                <w:webHidden/>
                <w:sz w:val="24"/>
                <w:szCs w:val="24"/>
              </w:rPr>
              <w:fldChar w:fldCharType="end"/>
            </w:r>
          </w:hyperlink>
        </w:p>
        <w:p w14:paraId="70AB188A" w14:textId="77777777" w:rsidR="009B5413" w:rsidRPr="00B44C48" w:rsidRDefault="009B5413">
          <w:pPr>
            <w:pStyle w:val="TOC2"/>
            <w:tabs>
              <w:tab w:val="right" w:leader="dot" w:pos="9016"/>
            </w:tabs>
            <w:rPr>
              <w:rFonts w:ascii="Arial" w:hAnsi="Arial" w:cs="Arial"/>
              <w:noProof/>
              <w:sz w:val="24"/>
              <w:szCs w:val="24"/>
            </w:rPr>
          </w:pPr>
          <w:hyperlink w:anchor="_Toc236418019" w:history="1">
            <w:r w:rsidRPr="00B44C48">
              <w:rPr>
                <w:rStyle w:val="Hyperlink"/>
                <w:rFonts w:ascii="Arial" w:hAnsi="Arial" w:cs="Arial"/>
                <w:noProof/>
                <w:sz w:val="24"/>
                <w:szCs w:val="24"/>
              </w:rPr>
              <w:t>3.2 Search Strategy</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_Toc236418019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7</w:t>
            </w:r>
            <w:r w:rsidRPr="00B44C48">
              <w:rPr>
                <w:rFonts w:ascii="Arial" w:hAnsi="Arial" w:cs="Arial"/>
                <w:noProof/>
                <w:webHidden/>
                <w:sz w:val="24"/>
                <w:szCs w:val="24"/>
              </w:rPr>
              <w:fldChar w:fldCharType="end"/>
            </w:r>
          </w:hyperlink>
        </w:p>
        <w:p w14:paraId="6ED96C1A" w14:textId="77777777" w:rsidR="009B5413" w:rsidRPr="00B44C48" w:rsidRDefault="009B5413">
          <w:pPr>
            <w:pStyle w:val="TOC2"/>
            <w:tabs>
              <w:tab w:val="right" w:leader="dot" w:pos="9016"/>
            </w:tabs>
            <w:rPr>
              <w:rFonts w:ascii="Arial" w:hAnsi="Arial" w:cs="Arial"/>
              <w:noProof/>
              <w:sz w:val="24"/>
              <w:szCs w:val="24"/>
            </w:rPr>
          </w:pPr>
          <w:hyperlink w:anchor="_Toc236418020" w:history="1">
            <w:r w:rsidRPr="00B44C48">
              <w:rPr>
                <w:rStyle w:val="Hyperlink"/>
                <w:rFonts w:ascii="Arial" w:hAnsi="Arial" w:cs="Arial"/>
                <w:noProof/>
                <w:sz w:val="24"/>
                <w:szCs w:val="24"/>
              </w:rPr>
              <w:t>3.3 Inclusion and Exclusion Criteria</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_Toc236418020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8</w:t>
            </w:r>
            <w:r w:rsidRPr="00B44C48">
              <w:rPr>
                <w:rFonts w:ascii="Arial" w:hAnsi="Arial" w:cs="Arial"/>
                <w:noProof/>
                <w:webHidden/>
                <w:sz w:val="24"/>
                <w:szCs w:val="24"/>
              </w:rPr>
              <w:fldChar w:fldCharType="end"/>
            </w:r>
          </w:hyperlink>
        </w:p>
        <w:p w14:paraId="261518F5" w14:textId="77777777" w:rsidR="009B5413" w:rsidRPr="00B44C48" w:rsidRDefault="009B5413">
          <w:pPr>
            <w:pStyle w:val="TOC3"/>
            <w:tabs>
              <w:tab w:val="right" w:leader="dot" w:pos="9016"/>
            </w:tabs>
            <w:rPr>
              <w:rFonts w:ascii="Arial" w:hAnsi="Arial" w:cs="Arial"/>
              <w:noProof/>
              <w:sz w:val="24"/>
              <w:szCs w:val="24"/>
            </w:rPr>
          </w:pPr>
          <w:hyperlink w:anchor="_Toc236418021" w:history="1">
            <w:r w:rsidRPr="00B44C48">
              <w:rPr>
                <w:rStyle w:val="Hyperlink"/>
                <w:rFonts w:ascii="Arial" w:hAnsi="Arial" w:cs="Arial"/>
                <w:noProof/>
                <w:sz w:val="24"/>
                <w:szCs w:val="24"/>
              </w:rPr>
              <w:t>Inclusion criteria:</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_Toc236418021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8</w:t>
            </w:r>
            <w:r w:rsidRPr="00B44C48">
              <w:rPr>
                <w:rFonts w:ascii="Arial" w:hAnsi="Arial" w:cs="Arial"/>
                <w:noProof/>
                <w:webHidden/>
                <w:sz w:val="24"/>
                <w:szCs w:val="24"/>
              </w:rPr>
              <w:fldChar w:fldCharType="end"/>
            </w:r>
          </w:hyperlink>
        </w:p>
        <w:p w14:paraId="126B3E0E" w14:textId="77777777" w:rsidR="009B5413" w:rsidRPr="00B44C48" w:rsidRDefault="009B5413">
          <w:pPr>
            <w:pStyle w:val="TOC3"/>
            <w:tabs>
              <w:tab w:val="right" w:leader="dot" w:pos="9016"/>
            </w:tabs>
            <w:rPr>
              <w:rFonts w:ascii="Arial" w:hAnsi="Arial" w:cs="Arial"/>
              <w:noProof/>
              <w:sz w:val="24"/>
              <w:szCs w:val="24"/>
            </w:rPr>
          </w:pPr>
          <w:hyperlink w:anchor="_Toc236418022" w:history="1">
            <w:r w:rsidRPr="00B44C48">
              <w:rPr>
                <w:rStyle w:val="Hyperlink"/>
                <w:rFonts w:ascii="Arial" w:hAnsi="Arial" w:cs="Arial"/>
                <w:noProof/>
                <w:sz w:val="24"/>
                <w:szCs w:val="24"/>
              </w:rPr>
              <w:t>Exclusion criteria:</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_Toc236418022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9</w:t>
            </w:r>
            <w:r w:rsidRPr="00B44C48">
              <w:rPr>
                <w:rFonts w:ascii="Arial" w:hAnsi="Arial" w:cs="Arial"/>
                <w:noProof/>
                <w:webHidden/>
                <w:sz w:val="24"/>
                <w:szCs w:val="24"/>
              </w:rPr>
              <w:fldChar w:fldCharType="end"/>
            </w:r>
          </w:hyperlink>
        </w:p>
        <w:p w14:paraId="37386AC4" w14:textId="77777777" w:rsidR="009B5413" w:rsidRPr="00B44C48" w:rsidRDefault="009B5413">
          <w:pPr>
            <w:pStyle w:val="TOC2"/>
            <w:tabs>
              <w:tab w:val="right" w:leader="dot" w:pos="9016"/>
            </w:tabs>
            <w:rPr>
              <w:rFonts w:ascii="Arial" w:hAnsi="Arial" w:cs="Arial"/>
              <w:noProof/>
              <w:sz w:val="24"/>
              <w:szCs w:val="24"/>
            </w:rPr>
          </w:pPr>
          <w:hyperlink w:anchor="_Toc236418023" w:history="1">
            <w:r w:rsidRPr="00B44C48">
              <w:rPr>
                <w:rStyle w:val="Hyperlink"/>
                <w:rFonts w:ascii="Arial" w:hAnsi="Arial" w:cs="Arial"/>
                <w:noProof/>
                <w:sz w:val="24"/>
                <w:szCs w:val="24"/>
              </w:rPr>
              <w:t>3.4 Study Selection Process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_Toc236418023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9</w:t>
            </w:r>
            <w:r w:rsidRPr="00B44C48">
              <w:rPr>
                <w:rFonts w:ascii="Arial" w:hAnsi="Arial" w:cs="Arial"/>
                <w:noProof/>
                <w:webHidden/>
                <w:sz w:val="24"/>
                <w:szCs w:val="24"/>
              </w:rPr>
              <w:fldChar w:fldCharType="end"/>
            </w:r>
          </w:hyperlink>
        </w:p>
        <w:p w14:paraId="0A64A637" w14:textId="77777777" w:rsidR="009B5413" w:rsidRPr="00B44C48" w:rsidRDefault="009B5413">
          <w:pPr>
            <w:pStyle w:val="TOC2"/>
            <w:tabs>
              <w:tab w:val="right" w:leader="dot" w:pos="9016"/>
            </w:tabs>
            <w:rPr>
              <w:rFonts w:ascii="Arial" w:hAnsi="Arial" w:cs="Arial"/>
              <w:noProof/>
              <w:sz w:val="24"/>
              <w:szCs w:val="24"/>
            </w:rPr>
          </w:pPr>
          <w:hyperlink w:anchor="_Toc236418024" w:history="1">
            <w:r w:rsidRPr="00B44C48">
              <w:rPr>
                <w:rStyle w:val="Hyperlink"/>
                <w:rFonts w:ascii="Arial" w:hAnsi="Arial" w:cs="Arial"/>
                <w:noProof/>
                <w:sz w:val="24"/>
                <w:szCs w:val="24"/>
              </w:rPr>
              <w:t>3.5 Data Extraction and Analysis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_Toc236418024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9</w:t>
            </w:r>
            <w:r w:rsidRPr="00B44C48">
              <w:rPr>
                <w:rFonts w:ascii="Arial" w:hAnsi="Arial" w:cs="Arial"/>
                <w:noProof/>
                <w:webHidden/>
                <w:sz w:val="24"/>
                <w:szCs w:val="24"/>
              </w:rPr>
              <w:fldChar w:fldCharType="end"/>
            </w:r>
          </w:hyperlink>
        </w:p>
        <w:p w14:paraId="52494A9F" w14:textId="77777777" w:rsidR="009B5413" w:rsidRPr="00B44C48" w:rsidRDefault="009B5413">
          <w:pPr>
            <w:pStyle w:val="TOC2"/>
            <w:tabs>
              <w:tab w:val="right" w:leader="dot" w:pos="9016"/>
            </w:tabs>
            <w:rPr>
              <w:rFonts w:ascii="Arial" w:hAnsi="Arial" w:cs="Arial"/>
              <w:noProof/>
              <w:sz w:val="24"/>
              <w:szCs w:val="24"/>
            </w:rPr>
          </w:pPr>
          <w:hyperlink w:anchor="_Toc236418025" w:history="1">
            <w:r w:rsidRPr="00B44C48">
              <w:rPr>
                <w:rStyle w:val="Hyperlink"/>
                <w:rFonts w:ascii="Arial" w:hAnsi="Arial" w:cs="Arial"/>
                <w:noProof/>
                <w:sz w:val="24"/>
                <w:szCs w:val="24"/>
              </w:rPr>
              <w:t>3.6 Ethical Considerations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_Toc236418025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10</w:t>
            </w:r>
            <w:r w:rsidRPr="00B44C48">
              <w:rPr>
                <w:rFonts w:ascii="Arial" w:hAnsi="Arial" w:cs="Arial"/>
                <w:noProof/>
                <w:webHidden/>
                <w:sz w:val="24"/>
                <w:szCs w:val="24"/>
              </w:rPr>
              <w:fldChar w:fldCharType="end"/>
            </w:r>
          </w:hyperlink>
        </w:p>
        <w:p w14:paraId="60C089E8" w14:textId="77777777" w:rsidR="009B5413" w:rsidRPr="00B44C48" w:rsidRDefault="009B5413">
          <w:pPr>
            <w:pStyle w:val="TOC1"/>
            <w:tabs>
              <w:tab w:val="right" w:leader="dot" w:pos="9016"/>
            </w:tabs>
            <w:rPr>
              <w:rFonts w:ascii="Arial" w:hAnsi="Arial" w:cs="Arial"/>
              <w:noProof/>
              <w:sz w:val="24"/>
              <w:szCs w:val="24"/>
            </w:rPr>
          </w:pPr>
          <w:hyperlink w:anchor="_Toc236418026" w:history="1">
            <w:r w:rsidRPr="00B44C48">
              <w:rPr>
                <w:rStyle w:val="Hyperlink"/>
                <w:rFonts w:ascii="Arial" w:hAnsi="Arial" w:cs="Arial"/>
                <w:noProof/>
                <w:sz w:val="24"/>
                <w:szCs w:val="24"/>
              </w:rPr>
              <w:t>4. Results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_Toc236418026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10</w:t>
            </w:r>
            <w:r w:rsidRPr="00B44C48">
              <w:rPr>
                <w:rFonts w:ascii="Arial" w:hAnsi="Arial" w:cs="Arial"/>
                <w:noProof/>
                <w:webHidden/>
                <w:sz w:val="24"/>
                <w:szCs w:val="24"/>
              </w:rPr>
              <w:fldChar w:fldCharType="end"/>
            </w:r>
          </w:hyperlink>
        </w:p>
        <w:p w14:paraId="55776272" w14:textId="77777777" w:rsidR="009B5413" w:rsidRPr="00B44C48" w:rsidRDefault="009B5413">
          <w:pPr>
            <w:pStyle w:val="TOC2"/>
            <w:tabs>
              <w:tab w:val="right" w:leader="dot" w:pos="9016"/>
            </w:tabs>
            <w:rPr>
              <w:rFonts w:ascii="Arial" w:hAnsi="Arial" w:cs="Arial"/>
              <w:noProof/>
              <w:sz w:val="24"/>
              <w:szCs w:val="24"/>
            </w:rPr>
          </w:pPr>
          <w:hyperlink w:anchor="_Toc236418027" w:history="1">
            <w:r w:rsidRPr="00B44C48">
              <w:rPr>
                <w:rStyle w:val="Hyperlink"/>
                <w:rFonts w:ascii="Arial" w:hAnsi="Arial" w:cs="Arial"/>
                <w:noProof/>
                <w:sz w:val="24"/>
                <w:szCs w:val="24"/>
              </w:rPr>
              <w:t>4.1 Overview of Included Studies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_Toc236418027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10</w:t>
            </w:r>
            <w:r w:rsidRPr="00B44C48">
              <w:rPr>
                <w:rFonts w:ascii="Arial" w:hAnsi="Arial" w:cs="Arial"/>
                <w:noProof/>
                <w:webHidden/>
                <w:sz w:val="24"/>
                <w:szCs w:val="24"/>
              </w:rPr>
              <w:fldChar w:fldCharType="end"/>
            </w:r>
          </w:hyperlink>
        </w:p>
        <w:p w14:paraId="60088F19" w14:textId="77777777" w:rsidR="009B5413" w:rsidRPr="00B44C48" w:rsidRDefault="009B5413">
          <w:pPr>
            <w:pStyle w:val="TOC2"/>
            <w:tabs>
              <w:tab w:val="right" w:leader="dot" w:pos="9016"/>
            </w:tabs>
            <w:rPr>
              <w:rFonts w:ascii="Arial" w:hAnsi="Arial" w:cs="Arial"/>
              <w:noProof/>
              <w:sz w:val="24"/>
              <w:szCs w:val="24"/>
            </w:rPr>
          </w:pPr>
          <w:hyperlink w:anchor="_Toc236418028" w:history="1">
            <w:r w:rsidRPr="00B44C48">
              <w:rPr>
                <w:rStyle w:val="Hyperlink"/>
                <w:rFonts w:ascii="Arial" w:hAnsi="Arial" w:cs="Arial"/>
                <w:noProof/>
                <w:sz w:val="24"/>
                <w:szCs w:val="24"/>
              </w:rPr>
              <w:t>4.2 Characteristics of Included Studies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_Toc236418028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11</w:t>
            </w:r>
            <w:r w:rsidRPr="00B44C48">
              <w:rPr>
                <w:rFonts w:ascii="Arial" w:hAnsi="Arial" w:cs="Arial"/>
                <w:noProof/>
                <w:webHidden/>
                <w:sz w:val="24"/>
                <w:szCs w:val="24"/>
              </w:rPr>
              <w:fldChar w:fldCharType="end"/>
            </w:r>
          </w:hyperlink>
        </w:p>
        <w:p w14:paraId="43668A33" w14:textId="77777777" w:rsidR="009B5413" w:rsidRPr="00B44C48" w:rsidRDefault="009B5413">
          <w:pPr>
            <w:pStyle w:val="TOC1"/>
            <w:tabs>
              <w:tab w:val="right" w:leader="dot" w:pos="9016"/>
            </w:tabs>
            <w:rPr>
              <w:rFonts w:ascii="Arial" w:hAnsi="Arial" w:cs="Arial"/>
              <w:noProof/>
              <w:sz w:val="24"/>
              <w:szCs w:val="24"/>
            </w:rPr>
          </w:pPr>
          <w:hyperlink w:anchor="_Toc236418029" w:history="1">
            <w:r w:rsidRPr="00B44C48">
              <w:rPr>
                <w:rStyle w:val="Hyperlink"/>
                <w:rFonts w:ascii="Arial" w:hAnsi="Arial" w:cs="Arial"/>
                <w:noProof/>
                <w:sz w:val="24"/>
                <w:szCs w:val="24"/>
              </w:rPr>
              <w:t>4.3 Theme 1: Improved Healthcare Access Through Digital Technologies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_Toc236418029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13</w:t>
            </w:r>
            <w:r w:rsidRPr="00B44C48">
              <w:rPr>
                <w:rFonts w:ascii="Arial" w:hAnsi="Arial" w:cs="Arial"/>
                <w:noProof/>
                <w:webHidden/>
                <w:sz w:val="24"/>
                <w:szCs w:val="24"/>
              </w:rPr>
              <w:fldChar w:fldCharType="end"/>
            </w:r>
          </w:hyperlink>
        </w:p>
        <w:p w14:paraId="4FD09161" w14:textId="77777777" w:rsidR="009B5413" w:rsidRPr="00B44C48" w:rsidRDefault="009B5413">
          <w:pPr>
            <w:pStyle w:val="TOC1"/>
            <w:tabs>
              <w:tab w:val="right" w:leader="dot" w:pos="9016"/>
            </w:tabs>
            <w:rPr>
              <w:rFonts w:ascii="Arial" w:hAnsi="Arial" w:cs="Arial"/>
              <w:noProof/>
              <w:sz w:val="24"/>
              <w:szCs w:val="24"/>
            </w:rPr>
          </w:pPr>
          <w:hyperlink w:anchor="_Toc236418030" w:history="1">
            <w:r w:rsidRPr="00B44C48">
              <w:rPr>
                <w:rStyle w:val="Hyperlink"/>
                <w:rFonts w:ascii="Arial" w:hAnsi="Arial" w:cs="Arial"/>
                <w:noProof/>
                <w:sz w:val="24"/>
                <w:szCs w:val="24"/>
              </w:rPr>
              <w:t>4.4 Theme 2: Improved Patient Outcomes and Self-management</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_Toc236418030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14</w:t>
            </w:r>
            <w:r w:rsidRPr="00B44C48">
              <w:rPr>
                <w:rFonts w:ascii="Arial" w:hAnsi="Arial" w:cs="Arial"/>
                <w:noProof/>
                <w:webHidden/>
                <w:sz w:val="24"/>
                <w:szCs w:val="24"/>
              </w:rPr>
              <w:fldChar w:fldCharType="end"/>
            </w:r>
          </w:hyperlink>
        </w:p>
        <w:p w14:paraId="0F6621B0" w14:textId="77777777" w:rsidR="009B5413" w:rsidRPr="00B44C48" w:rsidRDefault="009B5413">
          <w:pPr>
            <w:pStyle w:val="TOC1"/>
            <w:tabs>
              <w:tab w:val="right" w:leader="dot" w:pos="9016"/>
            </w:tabs>
            <w:rPr>
              <w:rFonts w:ascii="Arial" w:hAnsi="Arial" w:cs="Arial"/>
              <w:noProof/>
              <w:sz w:val="24"/>
              <w:szCs w:val="24"/>
            </w:rPr>
          </w:pPr>
          <w:hyperlink w:anchor="_Toc236418031" w:history="1">
            <w:r w:rsidRPr="00B44C48">
              <w:rPr>
                <w:rStyle w:val="Hyperlink"/>
                <w:rFonts w:ascii="Arial" w:hAnsi="Arial" w:cs="Arial"/>
                <w:noProof/>
                <w:sz w:val="24"/>
                <w:szCs w:val="24"/>
              </w:rPr>
              <w:t>4.5 Theme 3: Digital Inequalities and Implementation Barriers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_Toc236418031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14</w:t>
            </w:r>
            <w:r w:rsidRPr="00B44C48">
              <w:rPr>
                <w:rFonts w:ascii="Arial" w:hAnsi="Arial" w:cs="Arial"/>
                <w:noProof/>
                <w:webHidden/>
                <w:sz w:val="24"/>
                <w:szCs w:val="24"/>
              </w:rPr>
              <w:fldChar w:fldCharType="end"/>
            </w:r>
          </w:hyperlink>
        </w:p>
        <w:p w14:paraId="5C27228B" w14:textId="77777777" w:rsidR="009B5413" w:rsidRPr="00B44C48" w:rsidRDefault="009B5413">
          <w:pPr>
            <w:pStyle w:val="TOC1"/>
            <w:tabs>
              <w:tab w:val="right" w:leader="dot" w:pos="9016"/>
            </w:tabs>
            <w:rPr>
              <w:rFonts w:ascii="Arial" w:hAnsi="Arial" w:cs="Arial"/>
              <w:noProof/>
              <w:sz w:val="24"/>
              <w:szCs w:val="24"/>
            </w:rPr>
          </w:pPr>
          <w:hyperlink w:anchor="_Toc236418032" w:history="1">
            <w:r w:rsidRPr="00B44C48">
              <w:rPr>
                <w:rStyle w:val="Hyperlink"/>
                <w:rFonts w:ascii="Arial" w:hAnsi="Arial" w:cs="Arial"/>
                <w:noProof/>
                <w:sz w:val="24"/>
                <w:szCs w:val="24"/>
              </w:rPr>
              <w:t>4.6 Theme 4: Healthcare Efficiency and Service Transformation</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_Toc236418032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15</w:t>
            </w:r>
            <w:r w:rsidRPr="00B44C48">
              <w:rPr>
                <w:rFonts w:ascii="Arial" w:hAnsi="Arial" w:cs="Arial"/>
                <w:noProof/>
                <w:webHidden/>
                <w:sz w:val="24"/>
                <w:szCs w:val="24"/>
              </w:rPr>
              <w:fldChar w:fldCharType="end"/>
            </w:r>
          </w:hyperlink>
        </w:p>
        <w:p w14:paraId="646524E2" w14:textId="77777777" w:rsidR="009B5413" w:rsidRPr="00B44C48" w:rsidRDefault="009B5413">
          <w:pPr>
            <w:pStyle w:val="TOC1"/>
            <w:tabs>
              <w:tab w:val="right" w:leader="dot" w:pos="9016"/>
            </w:tabs>
            <w:rPr>
              <w:rFonts w:ascii="Arial" w:hAnsi="Arial" w:cs="Arial"/>
              <w:noProof/>
              <w:sz w:val="24"/>
              <w:szCs w:val="24"/>
            </w:rPr>
          </w:pPr>
          <w:hyperlink w:anchor="_Toc236418033" w:history="1">
            <w:r w:rsidRPr="00B44C48">
              <w:rPr>
                <w:rStyle w:val="Hyperlink"/>
                <w:rFonts w:ascii="Arial" w:hAnsi="Arial" w:cs="Arial"/>
                <w:noProof/>
                <w:sz w:val="24"/>
                <w:szCs w:val="24"/>
              </w:rPr>
              <w:t>5. Discussion</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_Toc236418033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15</w:t>
            </w:r>
            <w:r w:rsidRPr="00B44C48">
              <w:rPr>
                <w:rFonts w:ascii="Arial" w:hAnsi="Arial" w:cs="Arial"/>
                <w:noProof/>
                <w:webHidden/>
                <w:sz w:val="24"/>
                <w:szCs w:val="24"/>
              </w:rPr>
              <w:fldChar w:fldCharType="end"/>
            </w:r>
          </w:hyperlink>
        </w:p>
        <w:p w14:paraId="1744CBA5" w14:textId="77777777" w:rsidR="009B5413" w:rsidRPr="00B44C48" w:rsidRDefault="009B5413">
          <w:pPr>
            <w:pStyle w:val="TOC1"/>
            <w:tabs>
              <w:tab w:val="right" w:leader="dot" w:pos="9016"/>
            </w:tabs>
            <w:rPr>
              <w:rFonts w:ascii="Arial" w:hAnsi="Arial" w:cs="Arial"/>
              <w:noProof/>
              <w:sz w:val="24"/>
              <w:szCs w:val="24"/>
            </w:rPr>
          </w:pPr>
          <w:hyperlink w:anchor="_Toc236418034" w:history="1">
            <w:r w:rsidRPr="00B44C48">
              <w:rPr>
                <w:rStyle w:val="Hyperlink"/>
                <w:rFonts w:ascii="Arial" w:hAnsi="Arial" w:cs="Arial"/>
                <w:noProof/>
                <w:sz w:val="24"/>
                <w:szCs w:val="24"/>
              </w:rPr>
              <w:t>6. Conclusion and Recommendations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_Toc236418034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18</w:t>
            </w:r>
            <w:r w:rsidRPr="00B44C48">
              <w:rPr>
                <w:rFonts w:ascii="Arial" w:hAnsi="Arial" w:cs="Arial"/>
                <w:noProof/>
                <w:webHidden/>
                <w:sz w:val="24"/>
                <w:szCs w:val="24"/>
              </w:rPr>
              <w:fldChar w:fldCharType="end"/>
            </w:r>
          </w:hyperlink>
        </w:p>
        <w:p w14:paraId="45452EBD" w14:textId="77777777" w:rsidR="009B5413" w:rsidRPr="00B44C48" w:rsidRDefault="009B5413">
          <w:pPr>
            <w:pStyle w:val="TOC2"/>
            <w:tabs>
              <w:tab w:val="right" w:leader="dot" w:pos="9016"/>
            </w:tabs>
            <w:rPr>
              <w:rFonts w:ascii="Arial" w:hAnsi="Arial" w:cs="Arial"/>
              <w:noProof/>
              <w:sz w:val="24"/>
              <w:szCs w:val="24"/>
            </w:rPr>
          </w:pPr>
          <w:hyperlink w:anchor="_Toc236418035" w:history="1">
            <w:r w:rsidRPr="00B44C48">
              <w:rPr>
                <w:rStyle w:val="Hyperlink"/>
                <w:rFonts w:ascii="Arial" w:hAnsi="Arial" w:cs="Arial"/>
                <w:noProof/>
                <w:sz w:val="24"/>
                <w:szCs w:val="24"/>
              </w:rPr>
              <w:t>Conclusion</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_Toc236418035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18</w:t>
            </w:r>
            <w:r w:rsidRPr="00B44C48">
              <w:rPr>
                <w:rFonts w:ascii="Arial" w:hAnsi="Arial" w:cs="Arial"/>
                <w:noProof/>
                <w:webHidden/>
                <w:sz w:val="24"/>
                <w:szCs w:val="24"/>
              </w:rPr>
              <w:fldChar w:fldCharType="end"/>
            </w:r>
          </w:hyperlink>
        </w:p>
        <w:p w14:paraId="0A1EF28A" w14:textId="77777777" w:rsidR="009B5413" w:rsidRPr="00B44C48" w:rsidRDefault="009B5413">
          <w:pPr>
            <w:pStyle w:val="TOC1"/>
            <w:tabs>
              <w:tab w:val="right" w:leader="dot" w:pos="9016"/>
            </w:tabs>
            <w:rPr>
              <w:rFonts w:ascii="Arial" w:hAnsi="Arial" w:cs="Arial"/>
              <w:noProof/>
              <w:sz w:val="24"/>
              <w:szCs w:val="24"/>
            </w:rPr>
          </w:pPr>
          <w:hyperlink w:anchor="_Toc236418036" w:history="1">
            <w:r w:rsidRPr="00B44C48">
              <w:rPr>
                <w:rStyle w:val="Hyperlink"/>
                <w:rFonts w:ascii="Arial" w:hAnsi="Arial" w:cs="Arial"/>
                <w:noProof/>
                <w:sz w:val="24"/>
                <w:szCs w:val="24"/>
              </w:rPr>
              <w:t>Recommendations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_Toc236418036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20</w:t>
            </w:r>
            <w:r w:rsidRPr="00B44C48">
              <w:rPr>
                <w:rFonts w:ascii="Arial" w:hAnsi="Arial" w:cs="Arial"/>
                <w:noProof/>
                <w:webHidden/>
                <w:sz w:val="24"/>
                <w:szCs w:val="24"/>
              </w:rPr>
              <w:fldChar w:fldCharType="end"/>
            </w:r>
          </w:hyperlink>
        </w:p>
        <w:p w14:paraId="604B3E7F" w14:textId="77777777" w:rsidR="009B5413" w:rsidRPr="00B44C48" w:rsidRDefault="009B5413">
          <w:pPr>
            <w:pStyle w:val="TOC2"/>
            <w:tabs>
              <w:tab w:val="right" w:leader="dot" w:pos="9016"/>
            </w:tabs>
            <w:rPr>
              <w:rFonts w:ascii="Arial" w:hAnsi="Arial" w:cs="Arial"/>
              <w:noProof/>
              <w:sz w:val="24"/>
              <w:szCs w:val="24"/>
            </w:rPr>
          </w:pPr>
          <w:hyperlink w:anchor="_Toc236418037" w:history="1">
            <w:r w:rsidRPr="00B44C48">
              <w:rPr>
                <w:rStyle w:val="Hyperlink"/>
                <w:rFonts w:ascii="Arial" w:hAnsi="Arial" w:cs="Arial"/>
                <w:noProof/>
                <w:sz w:val="24"/>
                <w:szCs w:val="24"/>
              </w:rPr>
              <w:t>1. Strengthen Digital Inclusion Strategies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_Toc236418037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20</w:t>
            </w:r>
            <w:r w:rsidRPr="00B44C48">
              <w:rPr>
                <w:rFonts w:ascii="Arial" w:hAnsi="Arial" w:cs="Arial"/>
                <w:noProof/>
                <w:webHidden/>
                <w:sz w:val="24"/>
                <w:szCs w:val="24"/>
              </w:rPr>
              <w:fldChar w:fldCharType="end"/>
            </w:r>
          </w:hyperlink>
        </w:p>
        <w:p w14:paraId="41A967FA" w14:textId="77777777" w:rsidR="009B5413" w:rsidRPr="00B44C48" w:rsidRDefault="009B5413">
          <w:pPr>
            <w:pStyle w:val="TOC2"/>
            <w:tabs>
              <w:tab w:val="right" w:leader="dot" w:pos="9016"/>
            </w:tabs>
            <w:rPr>
              <w:rFonts w:ascii="Arial" w:hAnsi="Arial" w:cs="Arial"/>
              <w:noProof/>
              <w:sz w:val="24"/>
              <w:szCs w:val="24"/>
            </w:rPr>
          </w:pPr>
          <w:hyperlink w:anchor="_Toc236418038" w:history="1">
            <w:r w:rsidRPr="00B44C48">
              <w:rPr>
                <w:rStyle w:val="Hyperlink"/>
                <w:rFonts w:ascii="Arial" w:hAnsi="Arial" w:cs="Arial"/>
                <w:noProof/>
                <w:sz w:val="24"/>
                <w:szCs w:val="24"/>
              </w:rPr>
              <w:t>2. Maintain a Blended Healthcare Delivery Model</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_Toc236418038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20</w:t>
            </w:r>
            <w:r w:rsidRPr="00B44C48">
              <w:rPr>
                <w:rFonts w:ascii="Arial" w:hAnsi="Arial" w:cs="Arial"/>
                <w:noProof/>
                <w:webHidden/>
                <w:sz w:val="24"/>
                <w:szCs w:val="24"/>
              </w:rPr>
              <w:fldChar w:fldCharType="end"/>
            </w:r>
          </w:hyperlink>
        </w:p>
        <w:p w14:paraId="1B06B37F" w14:textId="77777777" w:rsidR="009B5413" w:rsidRPr="00B44C48" w:rsidRDefault="009B5413">
          <w:pPr>
            <w:pStyle w:val="TOC2"/>
            <w:tabs>
              <w:tab w:val="right" w:leader="dot" w:pos="9016"/>
            </w:tabs>
            <w:rPr>
              <w:rFonts w:ascii="Arial" w:hAnsi="Arial" w:cs="Arial"/>
              <w:noProof/>
              <w:sz w:val="24"/>
              <w:szCs w:val="24"/>
            </w:rPr>
          </w:pPr>
          <w:hyperlink w:anchor="_Toc236418039" w:history="1">
            <w:r w:rsidRPr="00B44C48">
              <w:rPr>
                <w:rStyle w:val="Hyperlink"/>
                <w:rFonts w:ascii="Arial" w:hAnsi="Arial" w:cs="Arial"/>
                <w:noProof/>
                <w:sz w:val="24"/>
                <w:szCs w:val="24"/>
              </w:rPr>
              <w:t>3. Improve Digital Skills and Training Among Healthcare Professionals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_Toc236418039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20</w:t>
            </w:r>
            <w:r w:rsidRPr="00B44C48">
              <w:rPr>
                <w:rFonts w:ascii="Arial" w:hAnsi="Arial" w:cs="Arial"/>
                <w:noProof/>
                <w:webHidden/>
                <w:sz w:val="24"/>
                <w:szCs w:val="24"/>
              </w:rPr>
              <w:fldChar w:fldCharType="end"/>
            </w:r>
          </w:hyperlink>
        </w:p>
        <w:p w14:paraId="6B20C229" w14:textId="77777777" w:rsidR="009B5413" w:rsidRPr="00B44C48" w:rsidRDefault="009B5413">
          <w:pPr>
            <w:pStyle w:val="TOC2"/>
            <w:tabs>
              <w:tab w:val="right" w:leader="dot" w:pos="9016"/>
            </w:tabs>
            <w:rPr>
              <w:rFonts w:ascii="Arial" w:hAnsi="Arial" w:cs="Arial"/>
              <w:noProof/>
              <w:sz w:val="24"/>
              <w:szCs w:val="24"/>
            </w:rPr>
          </w:pPr>
          <w:hyperlink w:anchor="_Toc236418040" w:history="1">
            <w:r w:rsidRPr="00B44C48">
              <w:rPr>
                <w:rStyle w:val="Hyperlink"/>
                <w:rFonts w:ascii="Arial" w:hAnsi="Arial" w:cs="Arial"/>
                <w:noProof/>
                <w:sz w:val="24"/>
                <w:szCs w:val="24"/>
              </w:rPr>
              <w:t>4. Promote Patient-Centred Digital Design</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_Toc236418040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20</w:t>
            </w:r>
            <w:r w:rsidRPr="00B44C48">
              <w:rPr>
                <w:rFonts w:ascii="Arial" w:hAnsi="Arial" w:cs="Arial"/>
                <w:noProof/>
                <w:webHidden/>
                <w:sz w:val="24"/>
                <w:szCs w:val="24"/>
              </w:rPr>
              <w:fldChar w:fldCharType="end"/>
            </w:r>
          </w:hyperlink>
        </w:p>
        <w:p w14:paraId="62C5937B" w14:textId="77777777" w:rsidR="009B5413" w:rsidRPr="00B44C48" w:rsidRDefault="009B5413">
          <w:pPr>
            <w:pStyle w:val="TOC2"/>
            <w:tabs>
              <w:tab w:val="right" w:leader="dot" w:pos="9016"/>
            </w:tabs>
            <w:rPr>
              <w:rFonts w:ascii="Arial" w:hAnsi="Arial" w:cs="Arial"/>
              <w:noProof/>
              <w:sz w:val="24"/>
              <w:szCs w:val="24"/>
            </w:rPr>
          </w:pPr>
          <w:hyperlink w:anchor="_Toc236418041" w:history="1">
            <w:r w:rsidRPr="00B44C48">
              <w:rPr>
                <w:rStyle w:val="Hyperlink"/>
                <w:rFonts w:ascii="Arial" w:hAnsi="Arial" w:cs="Arial"/>
                <w:noProof/>
                <w:sz w:val="24"/>
                <w:szCs w:val="24"/>
              </w:rPr>
              <w:t>5. Strengthen Data Security and Patient Trust</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_Toc236418041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21</w:t>
            </w:r>
            <w:r w:rsidRPr="00B44C48">
              <w:rPr>
                <w:rFonts w:ascii="Arial" w:hAnsi="Arial" w:cs="Arial"/>
                <w:noProof/>
                <w:webHidden/>
                <w:sz w:val="24"/>
                <w:szCs w:val="24"/>
              </w:rPr>
              <w:fldChar w:fldCharType="end"/>
            </w:r>
          </w:hyperlink>
        </w:p>
        <w:p w14:paraId="50B7C7CC" w14:textId="77777777" w:rsidR="009B5413" w:rsidRPr="00B44C48" w:rsidRDefault="009B5413">
          <w:pPr>
            <w:pStyle w:val="TOC2"/>
            <w:tabs>
              <w:tab w:val="right" w:leader="dot" w:pos="9016"/>
            </w:tabs>
            <w:rPr>
              <w:rFonts w:ascii="Arial" w:hAnsi="Arial" w:cs="Arial"/>
              <w:noProof/>
              <w:sz w:val="24"/>
              <w:szCs w:val="24"/>
            </w:rPr>
          </w:pPr>
          <w:hyperlink w:anchor="_Toc236418042" w:history="1">
            <w:r w:rsidRPr="00B44C48">
              <w:rPr>
                <w:rStyle w:val="Hyperlink"/>
                <w:rFonts w:ascii="Arial" w:hAnsi="Arial" w:cs="Arial"/>
                <w:noProof/>
                <w:sz w:val="24"/>
                <w:szCs w:val="24"/>
              </w:rPr>
              <w:t>6. Develop Further Research on Long-Term Impact and Inequalities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_Toc236418042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21</w:t>
            </w:r>
            <w:r w:rsidRPr="00B44C48">
              <w:rPr>
                <w:rFonts w:ascii="Arial" w:hAnsi="Arial" w:cs="Arial"/>
                <w:noProof/>
                <w:webHidden/>
                <w:sz w:val="24"/>
                <w:szCs w:val="24"/>
              </w:rPr>
              <w:fldChar w:fldCharType="end"/>
            </w:r>
          </w:hyperlink>
        </w:p>
        <w:p w14:paraId="3578CF73" w14:textId="77777777" w:rsidR="009B5413" w:rsidRPr="00B44C48" w:rsidRDefault="009B5413">
          <w:pPr>
            <w:pStyle w:val="TOC2"/>
            <w:tabs>
              <w:tab w:val="right" w:leader="dot" w:pos="9016"/>
            </w:tabs>
            <w:rPr>
              <w:rFonts w:ascii="Arial" w:hAnsi="Arial" w:cs="Arial"/>
              <w:noProof/>
              <w:sz w:val="24"/>
              <w:szCs w:val="24"/>
            </w:rPr>
          </w:pPr>
          <w:hyperlink w:anchor="_Toc236418043" w:history="1">
            <w:r w:rsidRPr="00B44C48">
              <w:rPr>
                <w:rStyle w:val="Hyperlink"/>
                <w:rFonts w:ascii="Arial" w:hAnsi="Arial" w:cs="Arial"/>
                <w:noProof/>
                <w:sz w:val="24"/>
                <w:szCs w:val="24"/>
              </w:rPr>
              <w:t>References</w:t>
            </w:r>
            <w:r w:rsidRPr="00B44C48">
              <w:rPr>
                <w:rFonts w:ascii="Arial" w:hAnsi="Arial" w:cs="Arial"/>
                <w:noProof/>
                <w:webHidden/>
                <w:sz w:val="24"/>
                <w:szCs w:val="24"/>
              </w:rPr>
              <w:tab/>
            </w:r>
            <w:r w:rsidRPr="00B44C48">
              <w:rPr>
                <w:rFonts w:ascii="Arial" w:hAnsi="Arial" w:cs="Arial"/>
                <w:noProof/>
                <w:webHidden/>
                <w:sz w:val="24"/>
                <w:szCs w:val="24"/>
              </w:rPr>
              <w:fldChar w:fldCharType="begin"/>
            </w:r>
            <w:r w:rsidRPr="00B44C48">
              <w:rPr>
                <w:rFonts w:ascii="Arial" w:hAnsi="Arial" w:cs="Arial"/>
                <w:noProof/>
                <w:webHidden/>
                <w:sz w:val="24"/>
                <w:szCs w:val="24"/>
              </w:rPr>
              <w:instrText xml:space="preserve"> PAGEREF _Toc236418043 \h </w:instrText>
            </w:r>
            <w:r w:rsidRPr="00B44C48">
              <w:rPr>
                <w:rFonts w:ascii="Arial" w:hAnsi="Arial" w:cs="Arial"/>
                <w:noProof/>
                <w:webHidden/>
                <w:sz w:val="24"/>
                <w:szCs w:val="24"/>
              </w:rPr>
            </w:r>
            <w:r w:rsidRPr="00B44C48">
              <w:rPr>
                <w:rFonts w:ascii="Arial" w:hAnsi="Arial" w:cs="Arial"/>
                <w:noProof/>
                <w:webHidden/>
                <w:sz w:val="24"/>
                <w:szCs w:val="24"/>
              </w:rPr>
              <w:fldChar w:fldCharType="separate"/>
            </w:r>
            <w:r w:rsidRPr="00B44C48">
              <w:rPr>
                <w:rFonts w:ascii="Arial" w:hAnsi="Arial" w:cs="Arial"/>
                <w:noProof/>
                <w:webHidden/>
                <w:sz w:val="24"/>
                <w:szCs w:val="24"/>
              </w:rPr>
              <w:t>21</w:t>
            </w:r>
            <w:r w:rsidRPr="00B44C48">
              <w:rPr>
                <w:rFonts w:ascii="Arial" w:hAnsi="Arial" w:cs="Arial"/>
                <w:noProof/>
                <w:webHidden/>
                <w:sz w:val="24"/>
                <w:szCs w:val="24"/>
              </w:rPr>
              <w:fldChar w:fldCharType="end"/>
            </w:r>
          </w:hyperlink>
        </w:p>
        <w:p w14:paraId="76BB4FA8" w14:textId="77777777" w:rsidR="009B5413" w:rsidRPr="009B5413" w:rsidRDefault="009B5413">
          <w:pPr>
            <w:rPr>
              <w:rFonts w:ascii="Arial" w:hAnsi="Arial" w:cs="Arial"/>
              <w:sz w:val="24"/>
              <w:szCs w:val="24"/>
            </w:rPr>
          </w:pPr>
          <w:r w:rsidRPr="00B44C48">
            <w:rPr>
              <w:rFonts w:ascii="Arial" w:hAnsi="Arial" w:cs="Arial"/>
              <w:bCs/>
              <w:noProof/>
              <w:sz w:val="24"/>
              <w:szCs w:val="24"/>
            </w:rPr>
            <w:fldChar w:fldCharType="end"/>
          </w:r>
        </w:p>
      </w:sdtContent>
    </w:sdt>
    <w:p w14:paraId="0AEBDAEB" w14:textId="77777777" w:rsidR="009B5413" w:rsidRPr="009B5413" w:rsidRDefault="009B5413" w:rsidP="009B5413">
      <w:pPr>
        <w:spacing w:before="100" w:beforeAutospacing="1" w:after="100" w:afterAutospacing="1" w:line="360" w:lineRule="auto"/>
        <w:jc w:val="both"/>
        <w:outlineLvl w:val="0"/>
        <w:rPr>
          <w:rFonts w:ascii="Arial" w:eastAsia="Times New Roman" w:hAnsi="Arial" w:cs="Arial"/>
          <w:b/>
          <w:bCs/>
          <w:kern w:val="36"/>
          <w:sz w:val="24"/>
          <w:szCs w:val="24"/>
          <w:lang w:eastAsia="en-GB"/>
        </w:rPr>
      </w:pPr>
    </w:p>
    <w:p w14:paraId="153A18A7" w14:textId="77777777" w:rsidR="009B5413" w:rsidRPr="009B5413" w:rsidRDefault="009B5413" w:rsidP="009B5413">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0" w:name="_Toc236418013"/>
      <w:r w:rsidRPr="009B5413">
        <w:rPr>
          <w:rFonts w:ascii="Arial" w:eastAsia="Times New Roman" w:hAnsi="Arial" w:cs="Arial"/>
          <w:b/>
          <w:bCs/>
          <w:kern w:val="36"/>
          <w:sz w:val="24"/>
          <w:szCs w:val="24"/>
          <w:lang w:eastAsia="en-GB"/>
        </w:rPr>
        <w:t>1. Introduction</w:t>
      </w:r>
      <w:bookmarkEnd w:id="0"/>
    </w:p>
    <w:p w14:paraId="70D089BE"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Digital health technologies have become a central component of contemporary healthcare transformation, influencing how healthcare services are accessed, delivered and experienced by patients. Digital health refers to the use of digital technologies, including electronic health records (EHRs), telemedicine, mobile health applications (mHealth), remote monitoring systems and artificial intelligence (AI), to support healthcare delivery, disease prevention, diagnosis, treatment and health promotion (World Health Organization, 2021). These technologies represent a shift from traditional healthcare models towards more connected, data-informed and patient-centred approaches. Within healthcare systems, digital innovation is increasingly viewed as a mechanism for improving service efficiency, enhancing patient engagement and addressing pressures associated with increasing demand for healthcare services.</w:t>
      </w:r>
    </w:p>
    <w:p w14:paraId="0B413E61"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lastRenderedPageBreak/>
        <w:t>In the United Kingdom (UK), digital transformation has become a significant strategic priority due to rising healthcare demands, an ageing population and the need to provide sustainable models of care. The National Health Service (NHS) has expanded the use of digital solutions, including online consultations, electronic prescribing, digital patient records and remote monitoring systems, to improve healthcare accessibility and support personalised care (NHS England, 2023). The rapid expansion of digital healthcare during the COVID-19 pandemic demonstrated the ability of technology to maintain healthcare continuity when face-to-face services were restricted. Virtual consultations and remote communication platforms enabled patients to continue receiving healthcare support while reducing infection risks and pressure on healthcare facilities (</w:t>
      </w:r>
      <w:proofErr w:type="spellStart"/>
      <w:r w:rsidRPr="009B5413">
        <w:rPr>
          <w:rFonts w:ascii="Arial" w:eastAsia="Times New Roman" w:hAnsi="Arial" w:cs="Arial"/>
          <w:sz w:val="24"/>
          <w:szCs w:val="24"/>
          <w:lang w:eastAsia="en-GB"/>
        </w:rPr>
        <w:t>Wherton</w:t>
      </w:r>
      <w:proofErr w:type="spellEnd"/>
      <w:r w:rsidRPr="009B5413">
        <w:rPr>
          <w:rFonts w:ascii="Arial" w:eastAsia="Times New Roman" w:hAnsi="Arial" w:cs="Arial"/>
          <w:sz w:val="24"/>
          <w:szCs w:val="24"/>
          <w:lang w:eastAsia="en-GB"/>
        </w:rPr>
        <w:t xml:space="preserve"> et al., 2020). However, the accelerated adoption of digital healthcare has also highlighted important questions regarding whether these benefits are experienced equally across different patient groups.</w:t>
      </w:r>
    </w:p>
    <w:p w14:paraId="6102C88F"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Although digital health technologies provide opportunities to improve healthcare access and patient outcomes, their implementation is complex and influenced by social, economic and technological factors. Digital healthcare may reduce barriers associated with geographical distance, mobility limitations and limited availability of healthcare professionals by allowing patients to access services remotely. However, access to digital healthcare is dependent on factors such as digital literacy, internet availability, affordability of devices and individual confidence in using technology. Consequently, digital transformation may unintentionally increase existing health inequalities among older adults, individuals from disadvantaged socioeconomic backgrounds and those with limited digital skills (Litchfield et al., 2021). Therefore, evaluating digital healthcare requires consideration not only of technological benefits but also of issues relating to inclusion, accessibility and equity.</w:t>
      </w:r>
    </w:p>
    <w:p w14:paraId="42D4EE11"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Patient outcomes represent another important consideration when assessing the effectiveness of digital health technologies. Previous research suggests that digital interventions can support improved self-management of long-term conditions, enhance communication between patients and healthcare professionals, and enable earlier identification of health deterioration through remote monitoring (</w:t>
      </w:r>
      <w:proofErr w:type="spellStart"/>
      <w:r w:rsidRPr="009B5413">
        <w:rPr>
          <w:rFonts w:ascii="Arial" w:eastAsia="Times New Roman" w:hAnsi="Arial" w:cs="Arial"/>
          <w:sz w:val="24"/>
          <w:szCs w:val="24"/>
          <w:lang w:eastAsia="en-GB"/>
        </w:rPr>
        <w:t>Kitsiou</w:t>
      </w:r>
      <w:proofErr w:type="spellEnd"/>
      <w:r w:rsidRPr="009B5413">
        <w:rPr>
          <w:rFonts w:ascii="Arial" w:eastAsia="Times New Roman" w:hAnsi="Arial" w:cs="Arial"/>
          <w:sz w:val="24"/>
          <w:szCs w:val="24"/>
          <w:lang w:eastAsia="en-GB"/>
        </w:rPr>
        <w:t xml:space="preserve"> et al., 2017). Nevertheless, positive outcomes are not guaranteed and may depend on appropriate implementation, patient engagement, healthcare professional training and </w:t>
      </w:r>
      <w:r w:rsidRPr="009B5413">
        <w:rPr>
          <w:rFonts w:ascii="Arial" w:eastAsia="Times New Roman" w:hAnsi="Arial" w:cs="Arial"/>
          <w:sz w:val="24"/>
          <w:szCs w:val="24"/>
          <w:lang w:eastAsia="en-GB"/>
        </w:rPr>
        <w:lastRenderedPageBreak/>
        <w:t>integration within existing healthcare pathways. This highlights the importance of critically examining evidence regarding both the benefits and limitations of digital healthcare adoption.</w:t>
      </w:r>
    </w:p>
    <w:p w14:paraId="7DBDCD07"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A scoping review methodology is appropriate for this topic because digital health is a broad and rapidly developing field involving diverse technologies, healthcare settings and research approaches. Unlike systematic reviews that generally focus on narrowly defined effectiveness questions, scoping reviews aim to map existing evidence, identify key concepts, explore variations in research findings and highlight gaps requiring further investigation (Peters et al., 2020). This approach allows a comprehensive understanding of how digital health technologies influence healthcare access and patient outcomes within the complex environment of UK healthcare practice.</w:t>
      </w:r>
    </w:p>
    <w:p w14:paraId="756F70FD"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Despite substantial investment in digital healthcare, there remains a need to understand how these technologies affect different aspects of healthcare delivery and whether improvements in accessibility and outcomes are achieved equitably. This scoping review therefore explores existing peer-reviewed evidence regarding the impact of digital health technologies within UK healthcare settings, with particular focus on healthcare access, patient outcomes and barriers affecting implementation.</w:t>
      </w:r>
    </w:p>
    <w:p w14:paraId="4F4E85E2" w14:textId="77777777" w:rsidR="009B5413" w:rsidRPr="009B5413" w:rsidRDefault="009B5413" w:rsidP="009B5413">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 w:name="_Toc236418014"/>
      <w:r w:rsidRPr="009B5413">
        <w:rPr>
          <w:rFonts w:ascii="Arial" w:eastAsia="Times New Roman" w:hAnsi="Arial" w:cs="Arial"/>
          <w:b/>
          <w:bCs/>
          <w:sz w:val="24"/>
          <w:szCs w:val="24"/>
          <w:lang w:eastAsia="en-GB"/>
        </w:rPr>
        <w:t>Review Question</w:t>
      </w:r>
      <w:bookmarkEnd w:id="1"/>
    </w:p>
    <w:p w14:paraId="1272FF34"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b/>
          <w:bCs/>
          <w:sz w:val="24"/>
          <w:szCs w:val="24"/>
          <w:lang w:eastAsia="en-GB"/>
        </w:rPr>
        <w:t>What impact do digital health technologies have on healthcare access and patient outcomes within UK healthcare settings?</w:t>
      </w:r>
    </w:p>
    <w:p w14:paraId="60B52809" w14:textId="77777777" w:rsidR="009B5413" w:rsidRPr="009B5413" w:rsidRDefault="009B5413" w:rsidP="009B5413">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2" w:name="_Toc236418015"/>
      <w:r w:rsidRPr="009B5413">
        <w:rPr>
          <w:rFonts w:ascii="Arial" w:eastAsia="Times New Roman" w:hAnsi="Arial" w:cs="Arial"/>
          <w:b/>
          <w:bCs/>
          <w:sz w:val="24"/>
          <w:szCs w:val="24"/>
          <w:lang w:eastAsia="en-GB"/>
        </w:rPr>
        <w:t>Objectives</w:t>
      </w:r>
      <w:bookmarkEnd w:id="2"/>
    </w:p>
    <w:p w14:paraId="20CDB950"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The objectives of this scoping review are:</w:t>
      </w:r>
    </w:p>
    <w:p w14:paraId="0F4AF5F3" w14:textId="77777777" w:rsidR="009B5413" w:rsidRPr="009B5413" w:rsidRDefault="009B5413" w:rsidP="009B5413">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To identify the types of digital health technologies currently used within UK healthcare settings.</w:t>
      </w:r>
    </w:p>
    <w:p w14:paraId="49CA347B" w14:textId="77777777" w:rsidR="009B5413" w:rsidRPr="009B5413" w:rsidRDefault="009B5413" w:rsidP="009B5413">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To examine how digital health technologies influence access to healthcare services.</w:t>
      </w:r>
    </w:p>
    <w:p w14:paraId="6D4C3E47" w14:textId="77777777" w:rsidR="009B5413" w:rsidRPr="009B5413" w:rsidRDefault="009B5413" w:rsidP="009B5413">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To evaluate the reported impact of digital health technologies on patient outcomes.</w:t>
      </w:r>
    </w:p>
    <w:p w14:paraId="20FE23B4" w14:textId="77777777" w:rsidR="009B5413" w:rsidRPr="009B5413" w:rsidRDefault="009B5413" w:rsidP="009B5413">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lastRenderedPageBreak/>
        <w:t>To explore barriers and facilitators affecting equitable implementation of digital healthcare.</w:t>
      </w:r>
    </w:p>
    <w:p w14:paraId="50AC783F" w14:textId="77777777" w:rsidR="009B5413" w:rsidRPr="009B5413" w:rsidRDefault="009B5413" w:rsidP="009B5413">
      <w:pPr>
        <w:numPr>
          <w:ilvl w:val="0"/>
          <w:numId w:val="1"/>
        </w:num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To identify gaps within current research and provide recommendations for future UK healthcare practice.</w:t>
      </w:r>
    </w:p>
    <w:p w14:paraId="038DEA26" w14:textId="77777777" w:rsidR="009B5413" w:rsidRPr="009B5413" w:rsidRDefault="009B5413" w:rsidP="009B5413">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3" w:name="_Toc236418016"/>
      <w:r w:rsidRPr="009B5413">
        <w:rPr>
          <w:rFonts w:ascii="Arial" w:eastAsia="Times New Roman" w:hAnsi="Arial" w:cs="Arial"/>
          <w:b/>
          <w:bCs/>
          <w:kern w:val="36"/>
          <w:sz w:val="24"/>
          <w:szCs w:val="24"/>
          <w:lang w:eastAsia="en-GB"/>
        </w:rPr>
        <w:t>2. Background</w:t>
      </w:r>
      <w:bookmarkEnd w:id="3"/>
    </w:p>
    <w:p w14:paraId="765C5E70"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The adoption of digital health technologies reflects a wider transformation in healthcare delivery, moving from predominantly reactive models of treatment towards more proactive, preventative and personalised approaches. Traditional healthcare systems have often depended on face-to-face interactions between patients and healthcare professionals; however, this approach can create barriers for individuals experiencing mobility limitations, geographical isolation, work-related constraints or difficulties attending healthcare facilities. Digital technologies provide alternative pathways by enabling remote communication, continuous monitoring and improved access to health information (</w:t>
      </w:r>
      <w:proofErr w:type="spellStart"/>
      <w:r w:rsidRPr="009B5413">
        <w:rPr>
          <w:rFonts w:ascii="Arial" w:eastAsia="Times New Roman" w:hAnsi="Arial" w:cs="Arial"/>
          <w:sz w:val="24"/>
          <w:szCs w:val="24"/>
          <w:lang w:eastAsia="en-GB"/>
        </w:rPr>
        <w:t>Greenhalgh</w:t>
      </w:r>
      <w:proofErr w:type="spellEnd"/>
      <w:r w:rsidRPr="009B5413">
        <w:rPr>
          <w:rFonts w:ascii="Arial" w:eastAsia="Times New Roman" w:hAnsi="Arial" w:cs="Arial"/>
          <w:sz w:val="24"/>
          <w:szCs w:val="24"/>
          <w:lang w:eastAsia="en-GB"/>
        </w:rPr>
        <w:t xml:space="preserve"> et al., 2020). Nevertheless, the effectiveness of these approaches depends on whether digital solutions are designed and implemented in ways that respond to the needs of diverse patient populations.</w:t>
      </w:r>
    </w:p>
    <w:p w14:paraId="509FD616"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Within the UK, digital healthcare development has been supported through national strategies aimed at improving healthcare efficiency, accessibility and patient involvement. The NHS Long Term Plan identified digital innovation as an important element of future healthcare delivery, emphasising the use of technology to support personalised care, improve communication and increase patient control over health information (NHS England, 2019). More recently, digital transformation strategies have focused on expanding digital patient services, strengthening data sharing between healthcare providers and improving the use of technology across health and social care systems (NHS England, 2022). These developments demonstrate the increasing importance of digital technologies within NHS practice.</w:t>
      </w:r>
    </w:p>
    <w:p w14:paraId="1EE4FD4F"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Telemedicine and virtual consultations represent some of the most visible examples of digital healthcare implementation in the UK. The widespread introduction of video consultations during the COVID-19 pandemic demonstrated that remote healthcare could provide continuity of care while reducing unnecessary travel and supporting healthcare system resilience (</w:t>
      </w:r>
      <w:proofErr w:type="spellStart"/>
      <w:r w:rsidRPr="009B5413">
        <w:rPr>
          <w:rFonts w:ascii="Arial" w:eastAsia="Times New Roman" w:hAnsi="Arial" w:cs="Arial"/>
          <w:sz w:val="24"/>
          <w:szCs w:val="24"/>
          <w:lang w:eastAsia="en-GB"/>
        </w:rPr>
        <w:t>Wherton</w:t>
      </w:r>
      <w:proofErr w:type="spellEnd"/>
      <w:r w:rsidRPr="009B5413">
        <w:rPr>
          <w:rFonts w:ascii="Arial" w:eastAsia="Times New Roman" w:hAnsi="Arial" w:cs="Arial"/>
          <w:sz w:val="24"/>
          <w:szCs w:val="24"/>
          <w:lang w:eastAsia="en-GB"/>
        </w:rPr>
        <w:t xml:space="preserve"> et al., 2020). For some patients, particularly </w:t>
      </w:r>
      <w:r w:rsidRPr="009B5413">
        <w:rPr>
          <w:rFonts w:ascii="Arial" w:eastAsia="Times New Roman" w:hAnsi="Arial" w:cs="Arial"/>
          <w:sz w:val="24"/>
          <w:szCs w:val="24"/>
          <w:lang w:eastAsia="en-GB"/>
        </w:rPr>
        <w:lastRenderedPageBreak/>
        <w:t>those with chronic conditions or difficulties accessing physical healthcare services, virtual consultations have increased convenience and improved flexibility. However, research has also identified limitations, including reduced ability to perform physical examinations, technological problems and concerns regarding patient preference for face-to-face interaction (</w:t>
      </w:r>
      <w:proofErr w:type="spellStart"/>
      <w:r w:rsidRPr="009B5413">
        <w:rPr>
          <w:rFonts w:ascii="Arial" w:eastAsia="Times New Roman" w:hAnsi="Arial" w:cs="Arial"/>
          <w:sz w:val="24"/>
          <w:szCs w:val="24"/>
          <w:lang w:eastAsia="en-GB"/>
        </w:rPr>
        <w:t>Greenhalgh</w:t>
      </w:r>
      <w:proofErr w:type="spellEnd"/>
      <w:r w:rsidRPr="009B5413">
        <w:rPr>
          <w:rFonts w:ascii="Arial" w:eastAsia="Times New Roman" w:hAnsi="Arial" w:cs="Arial"/>
          <w:sz w:val="24"/>
          <w:szCs w:val="24"/>
          <w:lang w:eastAsia="en-GB"/>
        </w:rPr>
        <w:t xml:space="preserve"> et al., 2020). Therefore, while telemedicine can enhance access, it should not be considered a complete replacement for traditional healthcare delivery.</w:t>
      </w:r>
    </w:p>
    <w:p w14:paraId="51D68814"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Electronic health records (EHRs) and integrated digital information systems represent another important area of healthcare transformation. Effective use of electronic records can improve information sharing between healthcare professionals, reduce duplication of investigations and support continuity of care (</w:t>
      </w:r>
      <w:proofErr w:type="spellStart"/>
      <w:r w:rsidRPr="009B5413">
        <w:rPr>
          <w:rFonts w:ascii="Arial" w:eastAsia="Times New Roman" w:hAnsi="Arial" w:cs="Arial"/>
          <w:sz w:val="24"/>
          <w:szCs w:val="24"/>
          <w:lang w:eastAsia="en-GB"/>
        </w:rPr>
        <w:t>Adler-Milstein</w:t>
      </w:r>
      <w:proofErr w:type="spellEnd"/>
      <w:r w:rsidRPr="009B5413">
        <w:rPr>
          <w:rFonts w:ascii="Arial" w:eastAsia="Times New Roman" w:hAnsi="Arial" w:cs="Arial"/>
          <w:sz w:val="24"/>
          <w:szCs w:val="24"/>
          <w:lang w:eastAsia="en-GB"/>
        </w:rPr>
        <w:t xml:space="preserve"> and Jha, 2017). In complex healthcare environments involving multiple providers, improved access to accurate patient information has the potential to enhance clinical decision-making and patient safety. However, successful implementation requires effective governance, staff training, cybersecurity measures and patient trust regarding the management of personal health information.</w:t>
      </w:r>
    </w:p>
    <w:p w14:paraId="2E2F52F0"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Digital health technologies have also demonstrated potential benefits for managing long-term conditions. Remote monitoring systems and mobile health applications can allow patients to track symptoms, monitor health indicators and participate more actively in managing their conditions. Evidence suggests that these interventions may improve patient engagement and support earlier clinical intervention, particularly for individuals requiring ongoing monitoring (</w:t>
      </w:r>
      <w:proofErr w:type="spellStart"/>
      <w:r w:rsidRPr="009B5413">
        <w:rPr>
          <w:rFonts w:ascii="Arial" w:eastAsia="Times New Roman" w:hAnsi="Arial" w:cs="Arial"/>
          <w:sz w:val="24"/>
          <w:szCs w:val="24"/>
          <w:lang w:eastAsia="en-GB"/>
        </w:rPr>
        <w:t>Kitsiou</w:t>
      </w:r>
      <w:proofErr w:type="spellEnd"/>
      <w:r w:rsidRPr="009B5413">
        <w:rPr>
          <w:rFonts w:ascii="Arial" w:eastAsia="Times New Roman" w:hAnsi="Arial" w:cs="Arial"/>
          <w:sz w:val="24"/>
          <w:szCs w:val="24"/>
          <w:lang w:eastAsia="en-GB"/>
        </w:rPr>
        <w:t xml:space="preserve"> et al., 2017). However, the impact of these technologies varies depending on patient circumstances, usability and the level of support provided by healthcare professionals.</w:t>
      </w:r>
    </w:p>
    <w:p w14:paraId="688D9BB3"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t>A significant challenge associated with digital healthcare expansion is the risk of widening existing health inequalities. Although digital technologies are often presented as solutions for improving healthcare accessibility, access is not determined solely by the availability of digital services. Digital exclusion may occur due to limited digital literacy, financial barriers, inadequate internet access, disability or lack of confidence when using technology (Litchfield et al., 2021). This creates an important consideration for UK healthcare practice, as healthcare systems must ensure that digital transformation improves access without excluding vulnerable populations.</w:t>
      </w:r>
    </w:p>
    <w:p w14:paraId="1B9B0C0E" w14:textId="77777777" w:rsidR="009B5413" w:rsidRPr="009B5413" w:rsidRDefault="009B5413" w:rsidP="009B5413">
      <w:pPr>
        <w:spacing w:before="100" w:beforeAutospacing="1" w:after="100" w:afterAutospacing="1" w:line="360" w:lineRule="auto"/>
        <w:jc w:val="both"/>
        <w:rPr>
          <w:rFonts w:ascii="Arial" w:eastAsia="Times New Roman" w:hAnsi="Arial" w:cs="Arial"/>
          <w:sz w:val="24"/>
          <w:szCs w:val="24"/>
          <w:lang w:eastAsia="en-GB"/>
        </w:rPr>
      </w:pPr>
      <w:r w:rsidRPr="009B5413">
        <w:rPr>
          <w:rFonts w:ascii="Arial" w:eastAsia="Times New Roman" w:hAnsi="Arial" w:cs="Arial"/>
          <w:sz w:val="24"/>
          <w:szCs w:val="24"/>
          <w:lang w:eastAsia="en-GB"/>
        </w:rPr>
        <w:lastRenderedPageBreak/>
        <w:t>Therefore, digital health implementation requires a balanced approach that recognises both technological opportunities and social challenges. Healthcare organisations must consider digital inclusion strategies, maintain alternative routes of care and ensure that technology supports rather than replaces person-centred healthcare. By examining existing evidence through a scoping review approach, this research aims to develop a clearer understanding of how digital health technologies influence healthcare access and patient outcomes and how their implementation can be improved within UK healthcare settings.</w:t>
      </w:r>
    </w:p>
    <w:p w14:paraId="262A2963" w14:textId="77777777" w:rsidR="009B5413" w:rsidRPr="009B5413" w:rsidRDefault="009B5413" w:rsidP="009B5413">
      <w:pPr>
        <w:pStyle w:val="Heading1"/>
        <w:spacing w:line="360" w:lineRule="auto"/>
        <w:jc w:val="both"/>
        <w:rPr>
          <w:rFonts w:cs="Arial"/>
          <w:sz w:val="24"/>
          <w:szCs w:val="24"/>
        </w:rPr>
      </w:pPr>
      <w:bookmarkStart w:id="4" w:name="_Toc236418017"/>
      <w:r w:rsidRPr="009B5413">
        <w:rPr>
          <w:rFonts w:cs="Arial"/>
          <w:sz w:val="24"/>
          <w:szCs w:val="24"/>
        </w:rPr>
        <w:t>3. Methods</w:t>
      </w:r>
      <w:bookmarkEnd w:id="4"/>
    </w:p>
    <w:p w14:paraId="3A828C90" w14:textId="77777777" w:rsidR="009B5413" w:rsidRPr="009B5413" w:rsidRDefault="009B5413" w:rsidP="009B5413">
      <w:pPr>
        <w:pStyle w:val="Heading2"/>
        <w:spacing w:line="360" w:lineRule="auto"/>
        <w:jc w:val="both"/>
        <w:rPr>
          <w:rFonts w:ascii="Arial" w:hAnsi="Arial" w:cs="Arial"/>
          <w:sz w:val="24"/>
          <w:szCs w:val="24"/>
        </w:rPr>
      </w:pPr>
      <w:bookmarkStart w:id="5" w:name="_Toc236418018"/>
      <w:r w:rsidRPr="009B5413">
        <w:rPr>
          <w:rFonts w:ascii="Arial" w:hAnsi="Arial" w:cs="Arial"/>
          <w:sz w:val="24"/>
          <w:szCs w:val="24"/>
        </w:rPr>
        <w:t>3.1 Scoping Review Design</w:t>
      </w:r>
      <w:bookmarkEnd w:id="5"/>
    </w:p>
    <w:p w14:paraId="3D5742BC"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A scoping review methodology was selected to examine the existing evidence regarding the impact of digital health technologies on healthcare access and patient outcomes within UK healthcare settings. Scoping reviews are particularly suitable for emerging and complex research areas where evidence is diverse and includes different study designs, populations and healthcare contexts. Unlike systematic reviews, which generally aim to answer narrowly focused questions regarding intervention effectiveness, scoping reviews provide a broader overview of available evidence, identify key concepts and highlight gaps within existing research (</w:t>
      </w:r>
      <w:proofErr w:type="spellStart"/>
      <w:r w:rsidRPr="009B5413">
        <w:rPr>
          <w:rFonts w:ascii="Arial" w:hAnsi="Arial" w:cs="Arial"/>
        </w:rPr>
        <w:t>Arksey</w:t>
      </w:r>
      <w:proofErr w:type="spellEnd"/>
      <w:r w:rsidRPr="009B5413">
        <w:rPr>
          <w:rFonts w:ascii="Arial" w:hAnsi="Arial" w:cs="Arial"/>
        </w:rPr>
        <w:t xml:space="preserve"> and O’Malley, 2005).</w:t>
      </w:r>
    </w:p>
    <w:p w14:paraId="57A7F8A4"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This review was conducted using the methodological guidance provided by the Joanna Briggs Institute (JBI), which recommends a structured process involving review question development, evidence identification, study selection, data extraction and evidence synthesis (Peters et al., 2020). The use of a scoping review approach was considered appropriate because digital health represents a rapidly developing field involving multiple technologies, including telemedicine, remote monitoring, electronic health records and mobile health applications.</w:t>
      </w:r>
    </w:p>
    <w:p w14:paraId="61FA9D51"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review question was developed using the Population, Concept and Context (PCC) framework recommended by JBI guidance:</w:t>
      </w:r>
    </w:p>
    <w:p w14:paraId="66722249" w14:textId="77777777" w:rsidR="009B5413" w:rsidRPr="009B5413" w:rsidRDefault="009B5413" w:rsidP="009B5413">
      <w:pPr>
        <w:pStyle w:val="NormalWeb"/>
        <w:spacing w:line="360" w:lineRule="auto"/>
        <w:jc w:val="both"/>
        <w:rPr>
          <w:rFonts w:ascii="Arial" w:hAnsi="Arial" w:cs="Arial"/>
        </w:rPr>
      </w:pPr>
      <w:r w:rsidRPr="009B5413">
        <w:rPr>
          <w:rStyle w:val="Strong"/>
          <w:rFonts w:ascii="Arial" w:eastAsiaTheme="majorEastAsia" w:hAnsi="Arial" w:cs="Arial"/>
        </w:rPr>
        <w:t>Population:</w:t>
      </w:r>
      <w:r w:rsidRPr="009B5413">
        <w:rPr>
          <w:rFonts w:ascii="Arial" w:hAnsi="Arial" w:cs="Arial"/>
        </w:rPr>
        <w:t xml:space="preserve"> Patients, healthcare users and healthcare professionals within UK healthcare settings.</w:t>
      </w:r>
      <w:r w:rsidRPr="009B5413">
        <w:rPr>
          <w:rFonts w:ascii="Arial" w:hAnsi="Arial" w:cs="Arial"/>
        </w:rPr>
        <w:br/>
      </w:r>
      <w:r w:rsidRPr="009B5413">
        <w:rPr>
          <w:rStyle w:val="Strong"/>
          <w:rFonts w:ascii="Arial" w:eastAsiaTheme="majorEastAsia" w:hAnsi="Arial" w:cs="Arial"/>
        </w:rPr>
        <w:t>Concept:</w:t>
      </w:r>
      <w:r w:rsidRPr="009B5413">
        <w:rPr>
          <w:rFonts w:ascii="Arial" w:hAnsi="Arial" w:cs="Arial"/>
        </w:rPr>
        <w:t xml:space="preserve"> Digital health technologies, including telemedicine, remote monitoring, electronic health records and mobile health applications.</w:t>
      </w:r>
      <w:r w:rsidRPr="009B5413">
        <w:rPr>
          <w:rFonts w:ascii="Arial" w:hAnsi="Arial" w:cs="Arial"/>
        </w:rPr>
        <w:br/>
      </w:r>
      <w:r w:rsidRPr="009B5413">
        <w:rPr>
          <w:rStyle w:val="Strong"/>
          <w:rFonts w:ascii="Arial" w:eastAsiaTheme="majorEastAsia" w:hAnsi="Arial" w:cs="Arial"/>
        </w:rPr>
        <w:t>Context:</w:t>
      </w:r>
      <w:r w:rsidRPr="009B5413">
        <w:rPr>
          <w:rFonts w:ascii="Arial" w:hAnsi="Arial" w:cs="Arial"/>
        </w:rPr>
        <w:t xml:space="preserve"> UK healthcare services, including NHS primary care, secondary care and community healthcare environments.</w:t>
      </w:r>
    </w:p>
    <w:p w14:paraId="439A4002"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research question guiding this review was:</w:t>
      </w:r>
    </w:p>
    <w:p w14:paraId="0F965F60" w14:textId="77777777" w:rsidR="009B5413" w:rsidRPr="009B5413" w:rsidRDefault="009B5413" w:rsidP="009B5413">
      <w:pPr>
        <w:pStyle w:val="NormalWeb"/>
        <w:spacing w:line="360" w:lineRule="auto"/>
        <w:jc w:val="both"/>
        <w:rPr>
          <w:rFonts w:ascii="Arial" w:hAnsi="Arial" w:cs="Arial"/>
        </w:rPr>
      </w:pPr>
      <w:r w:rsidRPr="009B5413">
        <w:rPr>
          <w:rStyle w:val="Strong"/>
          <w:rFonts w:ascii="Arial" w:eastAsiaTheme="majorEastAsia" w:hAnsi="Arial" w:cs="Arial"/>
        </w:rPr>
        <w:t>“What impact do digital health technologies have on healthcare access and patient outcomes within UK healthcare settings?”</w:t>
      </w:r>
    </w:p>
    <w:p w14:paraId="16D5A6C4" w14:textId="77777777" w:rsidR="009B5413" w:rsidRPr="009B5413" w:rsidRDefault="009B5413" w:rsidP="009B5413">
      <w:pPr>
        <w:pStyle w:val="Heading2"/>
        <w:spacing w:line="360" w:lineRule="auto"/>
        <w:jc w:val="both"/>
        <w:rPr>
          <w:rFonts w:ascii="Arial" w:hAnsi="Arial" w:cs="Arial"/>
          <w:sz w:val="24"/>
          <w:szCs w:val="24"/>
        </w:rPr>
      </w:pPr>
      <w:bookmarkStart w:id="6" w:name="_Toc236418019"/>
      <w:r w:rsidRPr="009B5413">
        <w:rPr>
          <w:rFonts w:ascii="Arial" w:hAnsi="Arial" w:cs="Arial"/>
          <w:sz w:val="24"/>
          <w:szCs w:val="24"/>
        </w:rPr>
        <w:t>3.2 Search Strategy</w:t>
      </w:r>
      <w:bookmarkEnd w:id="6"/>
    </w:p>
    <w:p w14:paraId="1D6B6C38"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 xml:space="preserve">A comprehensive literature search was conducted to identify relevant peer-reviewed research studies. The databases selected were PubMed, CINAHL, </w:t>
      </w:r>
      <w:proofErr w:type="spellStart"/>
      <w:r w:rsidRPr="009B5413">
        <w:rPr>
          <w:rFonts w:ascii="Arial" w:hAnsi="Arial" w:cs="Arial"/>
        </w:rPr>
        <w:t>Scopus</w:t>
      </w:r>
      <w:proofErr w:type="spellEnd"/>
      <w:r w:rsidRPr="009B5413">
        <w:rPr>
          <w:rFonts w:ascii="Arial" w:hAnsi="Arial" w:cs="Arial"/>
        </w:rPr>
        <w:t xml:space="preserve"> and ScienceDirect due to their extensive coverage of healthcare, nursing, medical informatics and digital health research.</w:t>
      </w:r>
    </w:p>
    <w:p w14:paraId="3D2370F8"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search strategy was developed using combinations of keywords and Boolean operators:</w:t>
      </w:r>
    </w:p>
    <w:p w14:paraId="13B19EA8"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("digital health" OR "digital technology" OR "telemedicine" OR "telehealth" OR "remote monitoring" OR "mobile health")</w:t>
      </w:r>
    </w:p>
    <w:p w14:paraId="20204E3A"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AND</w:t>
      </w:r>
    </w:p>
    <w:p w14:paraId="1265CD95"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("healthcare access" OR "patient outcomes" OR "quality of care" OR "patient experience")</w:t>
      </w:r>
    </w:p>
    <w:p w14:paraId="668C7DAE"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AND</w:t>
      </w:r>
    </w:p>
    <w:p w14:paraId="36BE7106"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("United Kingdom" OR "UK" OR "NHS")</w:t>
      </w:r>
    </w:p>
    <w:p w14:paraId="4302D3D6"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search was limited to studies published between 2019 and 2026 to capture recent developments in digital healthcare following the rapid expansion of technology-enabled healthcare services during and after the COVID-19 pandemic. Recent evidence was prioritised because digital healthcare implementation has changed considerably in response to changing healthcare demands and technological advancement.</w:t>
      </w:r>
    </w:p>
    <w:p w14:paraId="5E859EB8" w14:textId="77777777" w:rsidR="009B5413" w:rsidRPr="009B5413" w:rsidRDefault="009B5413" w:rsidP="009B5413">
      <w:pPr>
        <w:pStyle w:val="Heading2"/>
        <w:spacing w:line="360" w:lineRule="auto"/>
        <w:jc w:val="both"/>
        <w:rPr>
          <w:rFonts w:ascii="Arial" w:hAnsi="Arial" w:cs="Arial"/>
          <w:sz w:val="24"/>
          <w:szCs w:val="24"/>
        </w:rPr>
      </w:pPr>
      <w:bookmarkStart w:id="7" w:name="_Toc236418020"/>
      <w:r w:rsidRPr="009B5413">
        <w:rPr>
          <w:rFonts w:ascii="Arial" w:hAnsi="Arial" w:cs="Arial"/>
          <w:sz w:val="24"/>
          <w:szCs w:val="24"/>
        </w:rPr>
        <w:t>3.3 Inclusion and Exclusion Criteria</w:t>
      </w:r>
      <w:bookmarkEnd w:id="7"/>
    </w:p>
    <w:p w14:paraId="4726DADA"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Eligibility criteria were established before study selection to ensure that included evidence directly addressed the review question.</w:t>
      </w:r>
    </w:p>
    <w:p w14:paraId="38A6A726" w14:textId="77777777" w:rsidR="009B5413" w:rsidRPr="009B5413" w:rsidRDefault="009B5413" w:rsidP="009B5413">
      <w:pPr>
        <w:pStyle w:val="Heading3"/>
        <w:spacing w:line="360" w:lineRule="auto"/>
        <w:jc w:val="both"/>
        <w:rPr>
          <w:rFonts w:ascii="Arial" w:hAnsi="Arial" w:cs="Arial"/>
        </w:rPr>
      </w:pPr>
      <w:bookmarkStart w:id="8" w:name="_Toc236418021"/>
      <w:r w:rsidRPr="009B5413">
        <w:rPr>
          <w:rFonts w:ascii="Arial" w:hAnsi="Arial" w:cs="Arial"/>
        </w:rPr>
        <w:t>Inclusion criteria:</w:t>
      </w:r>
      <w:bookmarkEnd w:id="8"/>
    </w:p>
    <w:p w14:paraId="6C67415B"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Studies were included if they:</w:t>
      </w:r>
    </w:p>
    <w:p w14:paraId="5043371E" w14:textId="77777777" w:rsidR="009B5413" w:rsidRPr="009B5413" w:rsidRDefault="009B5413" w:rsidP="009B5413">
      <w:pPr>
        <w:pStyle w:val="NormalWeb"/>
        <w:numPr>
          <w:ilvl w:val="0"/>
          <w:numId w:val="2"/>
        </w:numPr>
        <w:spacing w:line="360" w:lineRule="auto"/>
        <w:jc w:val="both"/>
        <w:rPr>
          <w:rFonts w:ascii="Arial" w:hAnsi="Arial" w:cs="Arial"/>
        </w:rPr>
      </w:pPr>
      <w:r w:rsidRPr="009B5413">
        <w:rPr>
          <w:rFonts w:ascii="Arial" w:hAnsi="Arial" w:cs="Arial"/>
        </w:rPr>
        <w:t>Were peer-reviewed academic journal articles.</w:t>
      </w:r>
    </w:p>
    <w:p w14:paraId="3DA66BDD" w14:textId="77777777" w:rsidR="009B5413" w:rsidRPr="009B5413" w:rsidRDefault="009B5413" w:rsidP="009B5413">
      <w:pPr>
        <w:pStyle w:val="NormalWeb"/>
        <w:numPr>
          <w:ilvl w:val="0"/>
          <w:numId w:val="2"/>
        </w:numPr>
        <w:spacing w:line="360" w:lineRule="auto"/>
        <w:jc w:val="both"/>
        <w:rPr>
          <w:rFonts w:ascii="Arial" w:hAnsi="Arial" w:cs="Arial"/>
        </w:rPr>
      </w:pPr>
      <w:r w:rsidRPr="009B5413">
        <w:rPr>
          <w:rFonts w:ascii="Arial" w:hAnsi="Arial" w:cs="Arial"/>
        </w:rPr>
        <w:t>Were published between 2019 and 2026.</w:t>
      </w:r>
    </w:p>
    <w:p w14:paraId="3484E1B1" w14:textId="77777777" w:rsidR="009B5413" w:rsidRPr="009B5413" w:rsidRDefault="009B5413" w:rsidP="009B5413">
      <w:pPr>
        <w:pStyle w:val="NormalWeb"/>
        <w:numPr>
          <w:ilvl w:val="0"/>
          <w:numId w:val="2"/>
        </w:numPr>
        <w:spacing w:line="360" w:lineRule="auto"/>
        <w:jc w:val="both"/>
        <w:rPr>
          <w:rFonts w:ascii="Arial" w:hAnsi="Arial" w:cs="Arial"/>
        </w:rPr>
      </w:pPr>
      <w:r w:rsidRPr="009B5413">
        <w:rPr>
          <w:rFonts w:ascii="Arial" w:hAnsi="Arial" w:cs="Arial"/>
        </w:rPr>
        <w:t>Were written in English.</w:t>
      </w:r>
    </w:p>
    <w:p w14:paraId="68D3060F" w14:textId="77777777" w:rsidR="009B5413" w:rsidRPr="009B5413" w:rsidRDefault="009B5413" w:rsidP="009B5413">
      <w:pPr>
        <w:pStyle w:val="NormalWeb"/>
        <w:numPr>
          <w:ilvl w:val="0"/>
          <w:numId w:val="2"/>
        </w:numPr>
        <w:spacing w:line="360" w:lineRule="auto"/>
        <w:jc w:val="both"/>
        <w:rPr>
          <w:rFonts w:ascii="Arial" w:hAnsi="Arial" w:cs="Arial"/>
        </w:rPr>
      </w:pPr>
      <w:r w:rsidRPr="009B5413">
        <w:rPr>
          <w:rFonts w:ascii="Arial" w:hAnsi="Arial" w:cs="Arial"/>
        </w:rPr>
        <w:t>Examined digital health technologies within UK healthcare settings.</w:t>
      </w:r>
    </w:p>
    <w:p w14:paraId="029C6796" w14:textId="77777777" w:rsidR="009B5413" w:rsidRPr="009B5413" w:rsidRDefault="009B5413" w:rsidP="009B5413">
      <w:pPr>
        <w:pStyle w:val="NormalWeb"/>
        <w:numPr>
          <w:ilvl w:val="0"/>
          <w:numId w:val="2"/>
        </w:numPr>
        <w:spacing w:line="360" w:lineRule="auto"/>
        <w:jc w:val="both"/>
        <w:rPr>
          <w:rFonts w:ascii="Arial" w:hAnsi="Arial" w:cs="Arial"/>
        </w:rPr>
      </w:pPr>
      <w:r w:rsidRPr="009B5413">
        <w:rPr>
          <w:rFonts w:ascii="Arial" w:hAnsi="Arial" w:cs="Arial"/>
        </w:rPr>
        <w:t>Investigated healthcare access, patient outcomes, patient experience or healthcare service delivery.</w:t>
      </w:r>
    </w:p>
    <w:p w14:paraId="453E9BD1" w14:textId="77777777" w:rsidR="009B5413" w:rsidRPr="009B5413" w:rsidRDefault="009B5413" w:rsidP="009B5413">
      <w:pPr>
        <w:pStyle w:val="NormalWeb"/>
        <w:numPr>
          <w:ilvl w:val="0"/>
          <w:numId w:val="2"/>
        </w:numPr>
        <w:spacing w:line="360" w:lineRule="auto"/>
        <w:jc w:val="both"/>
        <w:rPr>
          <w:rFonts w:ascii="Arial" w:hAnsi="Arial" w:cs="Arial"/>
        </w:rPr>
      </w:pPr>
      <w:r w:rsidRPr="009B5413">
        <w:rPr>
          <w:rFonts w:ascii="Arial" w:hAnsi="Arial" w:cs="Arial"/>
        </w:rPr>
        <w:t>Included NHS patients, healthcare professionals or UK healthcare organisations.</w:t>
      </w:r>
    </w:p>
    <w:p w14:paraId="0DEC6EDB" w14:textId="77777777" w:rsidR="009B5413" w:rsidRPr="009B5413" w:rsidRDefault="009B5413" w:rsidP="009B5413">
      <w:pPr>
        <w:pStyle w:val="Heading3"/>
        <w:spacing w:line="360" w:lineRule="auto"/>
        <w:jc w:val="both"/>
        <w:rPr>
          <w:rFonts w:ascii="Arial" w:hAnsi="Arial" w:cs="Arial"/>
        </w:rPr>
      </w:pPr>
      <w:bookmarkStart w:id="9" w:name="_Toc236418022"/>
      <w:r w:rsidRPr="009B5413">
        <w:rPr>
          <w:rFonts w:ascii="Arial" w:hAnsi="Arial" w:cs="Arial"/>
        </w:rPr>
        <w:t>Exclusion criteria:</w:t>
      </w:r>
      <w:bookmarkEnd w:id="9"/>
    </w:p>
    <w:p w14:paraId="42658E71"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Studies were excluded if they:</w:t>
      </w:r>
    </w:p>
    <w:p w14:paraId="4D165872" w14:textId="77777777" w:rsidR="009B5413" w:rsidRPr="009B5413" w:rsidRDefault="009B5413" w:rsidP="009B5413">
      <w:pPr>
        <w:pStyle w:val="NormalWeb"/>
        <w:numPr>
          <w:ilvl w:val="0"/>
          <w:numId w:val="3"/>
        </w:numPr>
        <w:spacing w:line="360" w:lineRule="auto"/>
        <w:jc w:val="both"/>
        <w:rPr>
          <w:rFonts w:ascii="Arial" w:hAnsi="Arial" w:cs="Arial"/>
        </w:rPr>
      </w:pPr>
      <w:r w:rsidRPr="009B5413">
        <w:rPr>
          <w:rFonts w:ascii="Arial" w:hAnsi="Arial" w:cs="Arial"/>
        </w:rPr>
        <w:t>Were conducted outside the UK.</w:t>
      </w:r>
    </w:p>
    <w:p w14:paraId="6D4BED9F" w14:textId="77777777" w:rsidR="009B5413" w:rsidRPr="009B5413" w:rsidRDefault="009B5413" w:rsidP="009B5413">
      <w:pPr>
        <w:pStyle w:val="NormalWeb"/>
        <w:numPr>
          <w:ilvl w:val="0"/>
          <w:numId w:val="3"/>
        </w:numPr>
        <w:spacing w:line="360" w:lineRule="auto"/>
        <w:jc w:val="both"/>
        <w:rPr>
          <w:rFonts w:ascii="Arial" w:hAnsi="Arial" w:cs="Arial"/>
        </w:rPr>
      </w:pPr>
      <w:r w:rsidRPr="009B5413">
        <w:rPr>
          <w:rFonts w:ascii="Arial" w:hAnsi="Arial" w:cs="Arial"/>
        </w:rPr>
        <w:t>Were editorials, commentaries, conference abstracts or opinion papers.</w:t>
      </w:r>
    </w:p>
    <w:p w14:paraId="14E7CF4C" w14:textId="77777777" w:rsidR="009B5413" w:rsidRPr="009B5413" w:rsidRDefault="009B5413" w:rsidP="009B5413">
      <w:pPr>
        <w:pStyle w:val="NormalWeb"/>
        <w:numPr>
          <w:ilvl w:val="0"/>
          <w:numId w:val="3"/>
        </w:numPr>
        <w:spacing w:line="360" w:lineRule="auto"/>
        <w:jc w:val="both"/>
        <w:rPr>
          <w:rFonts w:ascii="Arial" w:hAnsi="Arial" w:cs="Arial"/>
        </w:rPr>
      </w:pPr>
      <w:r w:rsidRPr="009B5413">
        <w:rPr>
          <w:rFonts w:ascii="Arial" w:hAnsi="Arial" w:cs="Arial"/>
        </w:rPr>
        <w:t>Were policy documents or professional guidance reports.</w:t>
      </w:r>
    </w:p>
    <w:p w14:paraId="1C0844B1" w14:textId="77777777" w:rsidR="009B5413" w:rsidRPr="009B5413" w:rsidRDefault="009B5413" w:rsidP="009B5413">
      <w:pPr>
        <w:pStyle w:val="NormalWeb"/>
        <w:numPr>
          <w:ilvl w:val="0"/>
          <w:numId w:val="3"/>
        </w:numPr>
        <w:spacing w:line="360" w:lineRule="auto"/>
        <w:jc w:val="both"/>
        <w:rPr>
          <w:rFonts w:ascii="Arial" w:hAnsi="Arial" w:cs="Arial"/>
        </w:rPr>
      </w:pPr>
      <w:r w:rsidRPr="009B5413">
        <w:rPr>
          <w:rFonts w:ascii="Arial" w:hAnsi="Arial" w:cs="Arial"/>
        </w:rPr>
        <w:t>Did not evaluate the impact of digital health technologies.</w:t>
      </w:r>
    </w:p>
    <w:p w14:paraId="044008FB" w14:textId="77777777" w:rsidR="009B5413" w:rsidRPr="009B5413" w:rsidRDefault="009B5413" w:rsidP="009B5413">
      <w:pPr>
        <w:pStyle w:val="NormalWeb"/>
        <w:numPr>
          <w:ilvl w:val="0"/>
          <w:numId w:val="3"/>
        </w:numPr>
        <w:spacing w:line="360" w:lineRule="auto"/>
        <w:jc w:val="both"/>
        <w:rPr>
          <w:rFonts w:ascii="Arial" w:hAnsi="Arial" w:cs="Arial"/>
        </w:rPr>
      </w:pPr>
      <w:r w:rsidRPr="009B5413">
        <w:rPr>
          <w:rFonts w:ascii="Arial" w:hAnsi="Arial" w:cs="Arial"/>
        </w:rPr>
        <w:t>Focused on technologies unrelated to healthcare delivery.</w:t>
      </w:r>
    </w:p>
    <w:p w14:paraId="27A52E05"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selection criteria ensured that the reviewed studies represented relevant peer-reviewed evidence while maintaining alignment with the requirements of a scoping review.</w:t>
      </w:r>
    </w:p>
    <w:p w14:paraId="06E34F6F" w14:textId="77777777" w:rsidR="009B5413" w:rsidRPr="009B5413" w:rsidRDefault="009B5413" w:rsidP="009B5413">
      <w:pPr>
        <w:pStyle w:val="Heading2"/>
        <w:spacing w:line="360" w:lineRule="auto"/>
        <w:jc w:val="both"/>
        <w:rPr>
          <w:rFonts w:ascii="Arial" w:hAnsi="Arial" w:cs="Arial"/>
          <w:sz w:val="24"/>
          <w:szCs w:val="24"/>
        </w:rPr>
      </w:pPr>
      <w:bookmarkStart w:id="10" w:name="_Toc236418023"/>
      <w:r w:rsidRPr="009B5413">
        <w:rPr>
          <w:rFonts w:ascii="Arial" w:hAnsi="Arial" w:cs="Arial"/>
          <w:sz w:val="24"/>
          <w:szCs w:val="24"/>
        </w:rPr>
        <w:t>3.4 Study Selection Process</w:t>
      </w:r>
      <w:bookmarkEnd w:id="10"/>
    </w:p>
    <w:p w14:paraId="596B1217"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study selection process followed the principles recommended by the Preferred Reporting Items for Systematic Reviews and Meta-Analyses extension for Scoping Reviews (PRISMA-ScR) (</w:t>
      </w:r>
      <w:proofErr w:type="spellStart"/>
      <w:r w:rsidRPr="009B5413">
        <w:rPr>
          <w:rFonts w:ascii="Arial" w:hAnsi="Arial" w:cs="Arial"/>
        </w:rPr>
        <w:t>Tricco</w:t>
      </w:r>
      <w:proofErr w:type="spellEnd"/>
      <w:r w:rsidRPr="009B5413">
        <w:rPr>
          <w:rFonts w:ascii="Arial" w:hAnsi="Arial" w:cs="Arial"/>
        </w:rPr>
        <w:t xml:space="preserve"> et al., 2018). Following database searching, all identified records were exported and duplicate studies were removed.</w:t>
      </w:r>
    </w:p>
    <w:p w14:paraId="7BA1E21B"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remaining articles were screened in two stages:</w:t>
      </w:r>
    </w:p>
    <w:p w14:paraId="0C6C1947" w14:textId="77777777" w:rsidR="009B5413" w:rsidRPr="009B5413" w:rsidRDefault="009B5413" w:rsidP="009B5413">
      <w:pPr>
        <w:pStyle w:val="NormalWeb"/>
        <w:numPr>
          <w:ilvl w:val="0"/>
          <w:numId w:val="4"/>
        </w:numPr>
        <w:spacing w:line="360" w:lineRule="auto"/>
        <w:jc w:val="both"/>
        <w:rPr>
          <w:rFonts w:ascii="Arial" w:hAnsi="Arial" w:cs="Arial"/>
        </w:rPr>
      </w:pPr>
      <w:r w:rsidRPr="009B5413">
        <w:rPr>
          <w:rFonts w:ascii="Arial" w:hAnsi="Arial" w:cs="Arial"/>
        </w:rPr>
        <w:t>Title and abstract screening to remove studies that did not meet the eligibility criteria.</w:t>
      </w:r>
    </w:p>
    <w:p w14:paraId="2A1268D3" w14:textId="77777777" w:rsidR="009B5413" w:rsidRPr="009B5413" w:rsidRDefault="009B5413" w:rsidP="009B5413">
      <w:pPr>
        <w:pStyle w:val="NormalWeb"/>
        <w:numPr>
          <w:ilvl w:val="0"/>
          <w:numId w:val="4"/>
        </w:numPr>
        <w:spacing w:line="360" w:lineRule="auto"/>
        <w:jc w:val="both"/>
        <w:rPr>
          <w:rFonts w:ascii="Arial" w:hAnsi="Arial" w:cs="Arial"/>
        </w:rPr>
      </w:pPr>
      <w:r w:rsidRPr="009B5413">
        <w:rPr>
          <w:rFonts w:ascii="Arial" w:hAnsi="Arial" w:cs="Arial"/>
        </w:rPr>
        <w:t>Full-text assessment to confirm suitability for inclusion.</w:t>
      </w:r>
    </w:p>
    <w:p w14:paraId="1F4C2AB1"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final included studies were selected based on their relevance to the review question and their contribution towards understanding the relationship between digital health technologies, healthcare access and patient outcomes.</w:t>
      </w:r>
    </w:p>
    <w:p w14:paraId="480E7914" w14:textId="77777777" w:rsidR="009B5413" w:rsidRPr="009B5413" w:rsidRDefault="009B5413" w:rsidP="009B5413">
      <w:pPr>
        <w:pStyle w:val="Heading2"/>
        <w:spacing w:line="360" w:lineRule="auto"/>
        <w:jc w:val="both"/>
        <w:rPr>
          <w:rFonts w:ascii="Arial" w:hAnsi="Arial" w:cs="Arial"/>
          <w:sz w:val="24"/>
          <w:szCs w:val="24"/>
        </w:rPr>
      </w:pPr>
      <w:bookmarkStart w:id="11" w:name="_Toc236418024"/>
      <w:r w:rsidRPr="009B5413">
        <w:rPr>
          <w:rFonts w:ascii="Arial" w:hAnsi="Arial" w:cs="Arial"/>
          <w:sz w:val="24"/>
          <w:szCs w:val="24"/>
        </w:rPr>
        <w:t>3.5 Data Extraction and Analysis</w:t>
      </w:r>
      <w:bookmarkEnd w:id="11"/>
    </w:p>
    <w:p w14:paraId="6E47D79E"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A structured data extraction framework was developed to systematically record information from each included study. The extracted information included:</w:t>
      </w:r>
    </w:p>
    <w:p w14:paraId="5527C30E" w14:textId="77777777" w:rsidR="009B5413" w:rsidRPr="009B5413" w:rsidRDefault="009B5413" w:rsidP="009B5413">
      <w:pPr>
        <w:pStyle w:val="NormalWeb"/>
        <w:numPr>
          <w:ilvl w:val="0"/>
          <w:numId w:val="5"/>
        </w:numPr>
        <w:spacing w:line="360" w:lineRule="auto"/>
        <w:jc w:val="both"/>
        <w:rPr>
          <w:rFonts w:ascii="Arial" w:hAnsi="Arial" w:cs="Arial"/>
        </w:rPr>
      </w:pPr>
      <w:r w:rsidRPr="009B5413">
        <w:rPr>
          <w:rFonts w:ascii="Arial" w:hAnsi="Arial" w:cs="Arial"/>
        </w:rPr>
        <w:t>Author and publication year.</w:t>
      </w:r>
    </w:p>
    <w:p w14:paraId="7172D742" w14:textId="77777777" w:rsidR="009B5413" w:rsidRPr="009B5413" w:rsidRDefault="009B5413" w:rsidP="009B5413">
      <w:pPr>
        <w:pStyle w:val="NormalWeb"/>
        <w:numPr>
          <w:ilvl w:val="0"/>
          <w:numId w:val="5"/>
        </w:numPr>
        <w:spacing w:line="360" w:lineRule="auto"/>
        <w:jc w:val="both"/>
        <w:rPr>
          <w:rFonts w:ascii="Arial" w:hAnsi="Arial" w:cs="Arial"/>
        </w:rPr>
      </w:pPr>
      <w:r w:rsidRPr="009B5413">
        <w:rPr>
          <w:rFonts w:ascii="Arial" w:hAnsi="Arial" w:cs="Arial"/>
        </w:rPr>
        <w:t>Study location.</w:t>
      </w:r>
    </w:p>
    <w:p w14:paraId="5DB903BF" w14:textId="77777777" w:rsidR="009B5413" w:rsidRPr="009B5413" w:rsidRDefault="009B5413" w:rsidP="009B5413">
      <w:pPr>
        <w:pStyle w:val="NormalWeb"/>
        <w:numPr>
          <w:ilvl w:val="0"/>
          <w:numId w:val="5"/>
        </w:numPr>
        <w:spacing w:line="360" w:lineRule="auto"/>
        <w:jc w:val="both"/>
        <w:rPr>
          <w:rFonts w:ascii="Arial" w:hAnsi="Arial" w:cs="Arial"/>
        </w:rPr>
      </w:pPr>
      <w:r w:rsidRPr="009B5413">
        <w:rPr>
          <w:rFonts w:ascii="Arial" w:hAnsi="Arial" w:cs="Arial"/>
        </w:rPr>
        <w:t>Research methodology.</w:t>
      </w:r>
    </w:p>
    <w:p w14:paraId="1DD1B17F" w14:textId="77777777" w:rsidR="009B5413" w:rsidRPr="009B5413" w:rsidRDefault="009B5413" w:rsidP="009B5413">
      <w:pPr>
        <w:pStyle w:val="NormalWeb"/>
        <w:numPr>
          <w:ilvl w:val="0"/>
          <w:numId w:val="5"/>
        </w:numPr>
        <w:spacing w:line="360" w:lineRule="auto"/>
        <w:jc w:val="both"/>
        <w:rPr>
          <w:rFonts w:ascii="Arial" w:hAnsi="Arial" w:cs="Arial"/>
        </w:rPr>
      </w:pPr>
      <w:r w:rsidRPr="009B5413">
        <w:rPr>
          <w:rFonts w:ascii="Arial" w:hAnsi="Arial" w:cs="Arial"/>
        </w:rPr>
        <w:t>Sample characteristics.</w:t>
      </w:r>
    </w:p>
    <w:p w14:paraId="10931953" w14:textId="77777777" w:rsidR="009B5413" w:rsidRPr="009B5413" w:rsidRDefault="009B5413" w:rsidP="009B5413">
      <w:pPr>
        <w:pStyle w:val="NormalWeb"/>
        <w:numPr>
          <w:ilvl w:val="0"/>
          <w:numId w:val="5"/>
        </w:numPr>
        <w:spacing w:line="360" w:lineRule="auto"/>
        <w:jc w:val="both"/>
        <w:rPr>
          <w:rFonts w:ascii="Arial" w:hAnsi="Arial" w:cs="Arial"/>
        </w:rPr>
      </w:pPr>
      <w:r w:rsidRPr="009B5413">
        <w:rPr>
          <w:rFonts w:ascii="Arial" w:hAnsi="Arial" w:cs="Arial"/>
        </w:rPr>
        <w:t>Digital technology investigated.</w:t>
      </w:r>
    </w:p>
    <w:p w14:paraId="763F43DD" w14:textId="77777777" w:rsidR="009B5413" w:rsidRPr="009B5413" w:rsidRDefault="009B5413" w:rsidP="009B5413">
      <w:pPr>
        <w:pStyle w:val="NormalWeb"/>
        <w:numPr>
          <w:ilvl w:val="0"/>
          <w:numId w:val="5"/>
        </w:numPr>
        <w:spacing w:line="360" w:lineRule="auto"/>
        <w:jc w:val="both"/>
        <w:rPr>
          <w:rFonts w:ascii="Arial" w:hAnsi="Arial" w:cs="Arial"/>
        </w:rPr>
      </w:pPr>
      <w:r w:rsidRPr="009B5413">
        <w:rPr>
          <w:rFonts w:ascii="Arial" w:hAnsi="Arial" w:cs="Arial"/>
        </w:rPr>
        <w:t>Healthcare setting.</w:t>
      </w:r>
    </w:p>
    <w:p w14:paraId="741B76C2" w14:textId="77777777" w:rsidR="009B5413" w:rsidRPr="009B5413" w:rsidRDefault="009B5413" w:rsidP="009B5413">
      <w:pPr>
        <w:pStyle w:val="NormalWeb"/>
        <w:numPr>
          <w:ilvl w:val="0"/>
          <w:numId w:val="5"/>
        </w:numPr>
        <w:spacing w:line="360" w:lineRule="auto"/>
        <w:jc w:val="both"/>
        <w:rPr>
          <w:rFonts w:ascii="Arial" w:hAnsi="Arial" w:cs="Arial"/>
        </w:rPr>
      </w:pPr>
      <w:r w:rsidRPr="009B5413">
        <w:rPr>
          <w:rFonts w:ascii="Arial" w:hAnsi="Arial" w:cs="Arial"/>
        </w:rPr>
        <w:t>Key findings related to access and patient outcomes.</w:t>
      </w:r>
    </w:p>
    <w:p w14:paraId="5CA7EBE2"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extracted information was organised into a study characteristics table to enable comparison between different sources of evidence.</w:t>
      </w:r>
    </w:p>
    <w:p w14:paraId="31111D3C"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A thematic analysis approach was used to synthesise findings. Thematic analysis allows researchers to identify patterns, similarities and differences across qualitative and quantitative evidence by systematically coding and grouping findings into meaningful themes (Braun and Clarke, 2021). Following data extraction, findings were coded and organised into four themes:</w:t>
      </w:r>
    </w:p>
    <w:p w14:paraId="789B625B" w14:textId="77777777" w:rsidR="009B5413" w:rsidRPr="009B5413" w:rsidRDefault="009B5413" w:rsidP="009B5413">
      <w:pPr>
        <w:pStyle w:val="NormalWeb"/>
        <w:numPr>
          <w:ilvl w:val="0"/>
          <w:numId w:val="6"/>
        </w:numPr>
        <w:spacing w:line="360" w:lineRule="auto"/>
        <w:jc w:val="both"/>
        <w:rPr>
          <w:rFonts w:ascii="Arial" w:hAnsi="Arial" w:cs="Arial"/>
        </w:rPr>
      </w:pPr>
      <w:r w:rsidRPr="009B5413">
        <w:rPr>
          <w:rFonts w:ascii="Arial" w:hAnsi="Arial" w:cs="Arial"/>
        </w:rPr>
        <w:t>Improved healthcare accessibility.</w:t>
      </w:r>
    </w:p>
    <w:p w14:paraId="7C193BE9" w14:textId="77777777" w:rsidR="009B5413" w:rsidRPr="009B5413" w:rsidRDefault="009B5413" w:rsidP="009B5413">
      <w:pPr>
        <w:pStyle w:val="NormalWeb"/>
        <w:numPr>
          <w:ilvl w:val="0"/>
          <w:numId w:val="6"/>
        </w:numPr>
        <w:spacing w:line="360" w:lineRule="auto"/>
        <w:jc w:val="both"/>
        <w:rPr>
          <w:rFonts w:ascii="Arial" w:hAnsi="Arial" w:cs="Arial"/>
        </w:rPr>
      </w:pPr>
      <w:r w:rsidRPr="009B5413">
        <w:rPr>
          <w:rFonts w:ascii="Arial" w:hAnsi="Arial" w:cs="Arial"/>
        </w:rPr>
        <w:t>Impact on patient outcomes and self-management.</w:t>
      </w:r>
    </w:p>
    <w:p w14:paraId="6F1C4769" w14:textId="77777777" w:rsidR="009B5413" w:rsidRPr="009B5413" w:rsidRDefault="009B5413" w:rsidP="009B5413">
      <w:pPr>
        <w:pStyle w:val="NormalWeb"/>
        <w:numPr>
          <w:ilvl w:val="0"/>
          <w:numId w:val="6"/>
        </w:numPr>
        <w:spacing w:line="360" w:lineRule="auto"/>
        <w:jc w:val="both"/>
        <w:rPr>
          <w:rFonts w:ascii="Arial" w:hAnsi="Arial" w:cs="Arial"/>
        </w:rPr>
      </w:pPr>
      <w:r w:rsidRPr="009B5413">
        <w:rPr>
          <w:rFonts w:ascii="Arial" w:hAnsi="Arial" w:cs="Arial"/>
        </w:rPr>
        <w:t>Digital inequalities and barriers.</w:t>
      </w:r>
    </w:p>
    <w:p w14:paraId="2AEC8B65" w14:textId="77777777" w:rsidR="009B5413" w:rsidRPr="009B5413" w:rsidRDefault="009B5413" w:rsidP="009B5413">
      <w:pPr>
        <w:pStyle w:val="NormalWeb"/>
        <w:numPr>
          <w:ilvl w:val="0"/>
          <w:numId w:val="6"/>
        </w:numPr>
        <w:spacing w:line="360" w:lineRule="auto"/>
        <w:jc w:val="both"/>
        <w:rPr>
          <w:rFonts w:ascii="Arial" w:hAnsi="Arial" w:cs="Arial"/>
        </w:rPr>
      </w:pPr>
      <w:r w:rsidRPr="009B5413">
        <w:rPr>
          <w:rFonts w:ascii="Arial" w:hAnsi="Arial" w:cs="Arial"/>
        </w:rPr>
        <w:t>Healthcare system efficiency and implementation challenges.</w:t>
      </w:r>
    </w:p>
    <w:p w14:paraId="4FAC6C18" w14:textId="77777777" w:rsidR="009B5413" w:rsidRPr="009B5413" w:rsidRDefault="009B5413" w:rsidP="009B5413">
      <w:pPr>
        <w:pStyle w:val="Heading2"/>
        <w:spacing w:line="360" w:lineRule="auto"/>
        <w:jc w:val="both"/>
        <w:rPr>
          <w:rFonts w:ascii="Arial" w:hAnsi="Arial" w:cs="Arial"/>
          <w:sz w:val="24"/>
          <w:szCs w:val="24"/>
        </w:rPr>
      </w:pPr>
      <w:bookmarkStart w:id="12" w:name="_Toc236418025"/>
      <w:r w:rsidRPr="009B5413">
        <w:rPr>
          <w:rFonts w:ascii="Arial" w:hAnsi="Arial" w:cs="Arial"/>
          <w:sz w:val="24"/>
          <w:szCs w:val="24"/>
        </w:rPr>
        <w:t>3.6 Ethical Considerations</w:t>
      </w:r>
      <w:bookmarkEnd w:id="12"/>
    </w:p>
    <w:p w14:paraId="24BBBCB9"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This review used previously published research evidence and did not involve direct recruitment of human participants or collection of personal data. Therefore, formal ethical approval was not required. However, ethical research principles were maintained through accurate representation of previous studies, appropriate citation of authors’ work and transparent reporting of the review process.</w:t>
      </w:r>
    </w:p>
    <w:p w14:paraId="5143BD2E" w14:textId="77777777" w:rsidR="009B5413" w:rsidRPr="009B5413" w:rsidRDefault="009B5413" w:rsidP="009B5413">
      <w:pPr>
        <w:pStyle w:val="Heading1"/>
        <w:spacing w:line="360" w:lineRule="auto"/>
        <w:jc w:val="both"/>
        <w:rPr>
          <w:rFonts w:cs="Arial"/>
          <w:sz w:val="24"/>
          <w:szCs w:val="24"/>
        </w:rPr>
      </w:pPr>
      <w:bookmarkStart w:id="13" w:name="_Toc236418026"/>
      <w:r w:rsidRPr="009B5413">
        <w:rPr>
          <w:rFonts w:cs="Arial"/>
          <w:sz w:val="24"/>
          <w:szCs w:val="24"/>
        </w:rPr>
        <w:t>4. Results</w:t>
      </w:r>
      <w:bookmarkEnd w:id="13"/>
    </w:p>
    <w:p w14:paraId="2EBD5B7D" w14:textId="77777777" w:rsidR="009B5413" w:rsidRPr="009B5413" w:rsidRDefault="009B5413" w:rsidP="009B5413">
      <w:pPr>
        <w:pStyle w:val="Heading2"/>
        <w:spacing w:line="360" w:lineRule="auto"/>
        <w:jc w:val="both"/>
        <w:rPr>
          <w:rFonts w:ascii="Arial" w:hAnsi="Arial" w:cs="Arial"/>
          <w:sz w:val="24"/>
          <w:szCs w:val="24"/>
        </w:rPr>
      </w:pPr>
      <w:bookmarkStart w:id="14" w:name="_Toc236418027"/>
      <w:r w:rsidRPr="009B5413">
        <w:rPr>
          <w:rFonts w:ascii="Arial" w:hAnsi="Arial" w:cs="Arial"/>
          <w:sz w:val="24"/>
          <w:szCs w:val="24"/>
        </w:rPr>
        <w:t>4.1 Overview of Included Studies</w:t>
      </w:r>
      <w:bookmarkEnd w:id="14"/>
    </w:p>
    <w:p w14:paraId="316B92B8"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database search identified research examining the implementation and impact of digital health technologies across different areas of UK healthcare. Following duplicate removal, title and abstract screening and full-text assessment, five peer-reviewed studies were included in the final scoping review.</w:t>
      </w:r>
    </w:p>
    <w:p w14:paraId="06E85B30"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included studies represented a range of digital healthcare interventions, including video consultations, remote monitoring technologies, digital healthcare platforms and electronic healthcare systems. The studies incorporated different research approaches, including qualitative interviews, observational studies, mixed-method studies and evidence reviews. This methodological diversity provided a broad understanding of how digital health technologies influence healthcare access and patient outcomes.</w:t>
      </w:r>
    </w:p>
    <w:p w14:paraId="1AFEF8B6"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Overall, the evidence demonstrated that digital healthcare technologies can improve accessibility, patient involvement and healthcare efficiency. However, the findings also identified important challenges related to digital exclusion, technological barriers and unequal access among vulnerable populations.</w:t>
      </w:r>
    </w:p>
    <w:p w14:paraId="42982167" w14:textId="77777777" w:rsidR="009B5413" w:rsidRPr="009B5413" w:rsidRDefault="009B5413" w:rsidP="009B5413">
      <w:pPr>
        <w:pStyle w:val="Heading2"/>
        <w:spacing w:line="360" w:lineRule="auto"/>
        <w:jc w:val="both"/>
        <w:rPr>
          <w:rFonts w:ascii="Arial" w:hAnsi="Arial" w:cs="Arial"/>
          <w:sz w:val="24"/>
          <w:szCs w:val="24"/>
        </w:rPr>
      </w:pPr>
      <w:bookmarkStart w:id="15" w:name="_Toc236418028"/>
      <w:r w:rsidRPr="009B5413">
        <w:rPr>
          <w:rFonts w:ascii="Arial" w:hAnsi="Arial" w:cs="Arial"/>
          <w:sz w:val="24"/>
          <w:szCs w:val="24"/>
        </w:rPr>
        <w:t>4.2 Characteristics of Included Studies</w:t>
      </w:r>
      <w:bookmarkEnd w:id="15"/>
    </w:p>
    <w:tbl>
      <w:tblPr>
        <w:tblStyle w:val="TableGrid"/>
        <w:tblW w:w="0" w:type="auto"/>
        <w:tblLook w:val="04A0" w:firstRow="1" w:lastRow="0" w:firstColumn="1" w:lastColumn="0" w:noHBand="0" w:noVBand="1"/>
      </w:tblPr>
      <w:tblGrid>
        <w:gridCol w:w="1405"/>
        <w:gridCol w:w="2856"/>
        <w:gridCol w:w="1631"/>
        <w:gridCol w:w="1543"/>
        <w:gridCol w:w="1581"/>
      </w:tblGrid>
      <w:tr w:rsidR="009B5413" w:rsidRPr="009B5413" w14:paraId="710AA0AD" w14:textId="77777777" w:rsidTr="009B5413">
        <w:tc>
          <w:tcPr>
            <w:tcW w:w="0" w:type="auto"/>
            <w:hideMark/>
          </w:tcPr>
          <w:p w14:paraId="61464A9A" w14:textId="77777777" w:rsidR="009B5413" w:rsidRPr="009B5413" w:rsidRDefault="009B5413" w:rsidP="009B5413">
            <w:pPr>
              <w:spacing w:line="360" w:lineRule="auto"/>
              <w:jc w:val="both"/>
              <w:rPr>
                <w:rFonts w:ascii="Arial" w:hAnsi="Arial" w:cs="Arial"/>
                <w:b/>
                <w:bCs/>
                <w:sz w:val="24"/>
                <w:szCs w:val="24"/>
              </w:rPr>
            </w:pPr>
            <w:r w:rsidRPr="009B5413">
              <w:rPr>
                <w:rFonts w:ascii="Arial" w:hAnsi="Arial" w:cs="Arial"/>
                <w:b/>
                <w:bCs/>
                <w:sz w:val="24"/>
                <w:szCs w:val="24"/>
              </w:rPr>
              <w:t>Study</w:t>
            </w:r>
          </w:p>
        </w:tc>
        <w:tc>
          <w:tcPr>
            <w:tcW w:w="0" w:type="auto"/>
            <w:hideMark/>
          </w:tcPr>
          <w:p w14:paraId="60A8DC25" w14:textId="77777777" w:rsidR="009B5413" w:rsidRPr="009B5413" w:rsidRDefault="009B5413" w:rsidP="009B5413">
            <w:pPr>
              <w:spacing w:line="360" w:lineRule="auto"/>
              <w:jc w:val="both"/>
              <w:rPr>
                <w:rFonts w:ascii="Arial" w:hAnsi="Arial" w:cs="Arial"/>
                <w:b/>
                <w:bCs/>
                <w:sz w:val="24"/>
                <w:szCs w:val="24"/>
              </w:rPr>
            </w:pPr>
            <w:r w:rsidRPr="009B5413">
              <w:rPr>
                <w:rFonts w:ascii="Arial" w:hAnsi="Arial" w:cs="Arial"/>
                <w:b/>
                <w:bCs/>
                <w:sz w:val="24"/>
                <w:szCs w:val="24"/>
              </w:rPr>
              <w:t>Technology/Intervention</w:t>
            </w:r>
          </w:p>
        </w:tc>
        <w:tc>
          <w:tcPr>
            <w:tcW w:w="0" w:type="auto"/>
            <w:hideMark/>
          </w:tcPr>
          <w:p w14:paraId="49126E5A" w14:textId="77777777" w:rsidR="009B5413" w:rsidRPr="009B5413" w:rsidRDefault="009B5413" w:rsidP="009B5413">
            <w:pPr>
              <w:spacing w:line="360" w:lineRule="auto"/>
              <w:jc w:val="both"/>
              <w:rPr>
                <w:rFonts w:ascii="Arial" w:hAnsi="Arial" w:cs="Arial"/>
                <w:b/>
                <w:bCs/>
                <w:sz w:val="24"/>
                <w:szCs w:val="24"/>
              </w:rPr>
            </w:pPr>
            <w:r w:rsidRPr="009B5413">
              <w:rPr>
                <w:rFonts w:ascii="Arial" w:hAnsi="Arial" w:cs="Arial"/>
                <w:b/>
                <w:bCs/>
                <w:sz w:val="24"/>
                <w:szCs w:val="24"/>
              </w:rPr>
              <w:t>Methodology</w:t>
            </w:r>
          </w:p>
        </w:tc>
        <w:tc>
          <w:tcPr>
            <w:tcW w:w="0" w:type="auto"/>
            <w:hideMark/>
          </w:tcPr>
          <w:p w14:paraId="632056A6" w14:textId="77777777" w:rsidR="009B5413" w:rsidRPr="009B5413" w:rsidRDefault="009B5413" w:rsidP="009B5413">
            <w:pPr>
              <w:spacing w:line="360" w:lineRule="auto"/>
              <w:jc w:val="both"/>
              <w:rPr>
                <w:rFonts w:ascii="Arial" w:hAnsi="Arial" w:cs="Arial"/>
                <w:b/>
                <w:bCs/>
                <w:sz w:val="24"/>
                <w:szCs w:val="24"/>
              </w:rPr>
            </w:pPr>
            <w:r w:rsidRPr="009B5413">
              <w:rPr>
                <w:rFonts w:ascii="Arial" w:hAnsi="Arial" w:cs="Arial"/>
                <w:b/>
                <w:bCs/>
                <w:sz w:val="24"/>
                <w:szCs w:val="24"/>
              </w:rPr>
              <w:t>Healthcare Context</w:t>
            </w:r>
          </w:p>
        </w:tc>
        <w:tc>
          <w:tcPr>
            <w:tcW w:w="0" w:type="auto"/>
            <w:hideMark/>
          </w:tcPr>
          <w:p w14:paraId="6AA903FB" w14:textId="77777777" w:rsidR="009B5413" w:rsidRPr="009B5413" w:rsidRDefault="009B5413" w:rsidP="009B5413">
            <w:pPr>
              <w:spacing w:line="360" w:lineRule="auto"/>
              <w:jc w:val="both"/>
              <w:rPr>
                <w:rFonts w:ascii="Arial" w:hAnsi="Arial" w:cs="Arial"/>
                <w:b/>
                <w:bCs/>
                <w:sz w:val="24"/>
                <w:szCs w:val="24"/>
              </w:rPr>
            </w:pPr>
            <w:r w:rsidRPr="009B5413">
              <w:rPr>
                <w:rFonts w:ascii="Arial" w:hAnsi="Arial" w:cs="Arial"/>
                <w:b/>
                <w:bCs/>
                <w:sz w:val="24"/>
                <w:szCs w:val="24"/>
              </w:rPr>
              <w:t>Key Findings</w:t>
            </w:r>
          </w:p>
        </w:tc>
      </w:tr>
      <w:tr w:rsidR="009B5413" w:rsidRPr="009B5413" w14:paraId="182D84AA" w14:textId="77777777" w:rsidTr="009B5413">
        <w:tc>
          <w:tcPr>
            <w:tcW w:w="0" w:type="auto"/>
            <w:hideMark/>
          </w:tcPr>
          <w:p w14:paraId="3FC30DA6" w14:textId="77777777" w:rsidR="009B5413" w:rsidRPr="009B5413" w:rsidRDefault="009B5413" w:rsidP="009B5413">
            <w:pPr>
              <w:spacing w:line="360" w:lineRule="auto"/>
              <w:jc w:val="both"/>
              <w:rPr>
                <w:rFonts w:ascii="Arial" w:hAnsi="Arial" w:cs="Arial"/>
                <w:sz w:val="24"/>
                <w:szCs w:val="24"/>
              </w:rPr>
            </w:pPr>
            <w:proofErr w:type="spellStart"/>
            <w:r w:rsidRPr="009B5413">
              <w:rPr>
                <w:rFonts w:ascii="Arial" w:hAnsi="Arial" w:cs="Arial"/>
                <w:sz w:val="24"/>
                <w:szCs w:val="24"/>
              </w:rPr>
              <w:t>Greenhalgh</w:t>
            </w:r>
            <w:proofErr w:type="spellEnd"/>
            <w:r w:rsidRPr="009B5413">
              <w:rPr>
                <w:rFonts w:ascii="Arial" w:hAnsi="Arial" w:cs="Arial"/>
                <w:sz w:val="24"/>
                <w:szCs w:val="24"/>
              </w:rPr>
              <w:t xml:space="preserve"> et al. (2020)</w:t>
            </w:r>
          </w:p>
        </w:tc>
        <w:tc>
          <w:tcPr>
            <w:tcW w:w="0" w:type="auto"/>
            <w:hideMark/>
          </w:tcPr>
          <w:p w14:paraId="38EF7C70"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Video consultations</w:t>
            </w:r>
          </w:p>
        </w:tc>
        <w:tc>
          <w:tcPr>
            <w:tcW w:w="0" w:type="auto"/>
            <w:hideMark/>
          </w:tcPr>
          <w:p w14:paraId="56859413"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Qualitative analysis</w:t>
            </w:r>
          </w:p>
        </w:tc>
        <w:tc>
          <w:tcPr>
            <w:tcW w:w="0" w:type="auto"/>
            <w:hideMark/>
          </w:tcPr>
          <w:p w14:paraId="5D8E905E"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NHS primary care</w:t>
            </w:r>
          </w:p>
        </w:tc>
        <w:tc>
          <w:tcPr>
            <w:tcW w:w="0" w:type="auto"/>
            <w:hideMark/>
          </w:tcPr>
          <w:p w14:paraId="41453C77"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Digital consultations improved healthcare continuity and convenience but required appropriate digital infrastructure and patient capability.</w:t>
            </w:r>
          </w:p>
        </w:tc>
      </w:tr>
      <w:tr w:rsidR="009B5413" w:rsidRPr="009B5413" w14:paraId="4EFCC0C6" w14:textId="77777777" w:rsidTr="009B5413">
        <w:tc>
          <w:tcPr>
            <w:tcW w:w="0" w:type="auto"/>
            <w:hideMark/>
          </w:tcPr>
          <w:p w14:paraId="254722A9" w14:textId="77777777" w:rsidR="009B5413" w:rsidRPr="009B5413" w:rsidRDefault="009B5413" w:rsidP="009B5413">
            <w:pPr>
              <w:spacing w:line="360" w:lineRule="auto"/>
              <w:jc w:val="both"/>
              <w:rPr>
                <w:rFonts w:ascii="Arial" w:hAnsi="Arial" w:cs="Arial"/>
                <w:sz w:val="24"/>
                <w:szCs w:val="24"/>
              </w:rPr>
            </w:pPr>
            <w:proofErr w:type="spellStart"/>
            <w:r w:rsidRPr="009B5413">
              <w:rPr>
                <w:rFonts w:ascii="Arial" w:hAnsi="Arial" w:cs="Arial"/>
                <w:sz w:val="24"/>
                <w:szCs w:val="24"/>
              </w:rPr>
              <w:t>Wherton</w:t>
            </w:r>
            <w:proofErr w:type="spellEnd"/>
            <w:r w:rsidRPr="009B5413">
              <w:rPr>
                <w:rFonts w:ascii="Arial" w:hAnsi="Arial" w:cs="Arial"/>
                <w:sz w:val="24"/>
                <w:szCs w:val="24"/>
              </w:rPr>
              <w:t xml:space="preserve"> et al. (2020)</w:t>
            </w:r>
          </w:p>
        </w:tc>
        <w:tc>
          <w:tcPr>
            <w:tcW w:w="0" w:type="auto"/>
            <w:hideMark/>
          </w:tcPr>
          <w:p w14:paraId="35096A03"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Remote consultations</w:t>
            </w:r>
          </w:p>
        </w:tc>
        <w:tc>
          <w:tcPr>
            <w:tcW w:w="0" w:type="auto"/>
            <w:hideMark/>
          </w:tcPr>
          <w:p w14:paraId="4534CCE8"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Qualitative study</w:t>
            </w:r>
          </w:p>
        </w:tc>
        <w:tc>
          <w:tcPr>
            <w:tcW w:w="0" w:type="auto"/>
            <w:hideMark/>
          </w:tcPr>
          <w:p w14:paraId="15A5B5A1"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UK healthcare services</w:t>
            </w:r>
          </w:p>
        </w:tc>
        <w:tc>
          <w:tcPr>
            <w:tcW w:w="0" w:type="auto"/>
            <w:hideMark/>
          </w:tcPr>
          <w:p w14:paraId="113590B2"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Virtual consultations supported healthcare delivery during COVID-19 but highlighted limitations relating to clinical assessment and patient preference.</w:t>
            </w:r>
          </w:p>
        </w:tc>
      </w:tr>
      <w:tr w:rsidR="009B5413" w:rsidRPr="009B5413" w14:paraId="20501E0E" w14:textId="77777777" w:rsidTr="009B5413">
        <w:tc>
          <w:tcPr>
            <w:tcW w:w="0" w:type="auto"/>
            <w:hideMark/>
          </w:tcPr>
          <w:p w14:paraId="517C4A0A"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Litchfield et al. (2021)</w:t>
            </w:r>
          </w:p>
        </w:tc>
        <w:tc>
          <w:tcPr>
            <w:tcW w:w="0" w:type="auto"/>
            <w:hideMark/>
          </w:tcPr>
          <w:p w14:paraId="283140DE"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Digital healthcare services</w:t>
            </w:r>
          </w:p>
        </w:tc>
        <w:tc>
          <w:tcPr>
            <w:tcW w:w="0" w:type="auto"/>
            <w:hideMark/>
          </w:tcPr>
          <w:p w14:paraId="04925952"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Rapid review</w:t>
            </w:r>
          </w:p>
        </w:tc>
        <w:tc>
          <w:tcPr>
            <w:tcW w:w="0" w:type="auto"/>
            <w:hideMark/>
          </w:tcPr>
          <w:p w14:paraId="7D795C01"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Healthcare inequalities</w:t>
            </w:r>
          </w:p>
        </w:tc>
        <w:tc>
          <w:tcPr>
            <w:tcW w:w="0" w:type="auto"/>
            <w:hideMark/>
          </w:tcPr>
          <w:p w14:paraId="33CB7B90"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Digital healthcare may increase inequalities among populations experiencing digital exclusion.</w:t>
            </w:r>
          </w:p>
        </w:tc>
      </w:tr>
      <w:tr w:rsidR="009B5413" w:rsidRPr="009B5413" w14:paraId="699192E8" w14:textId="77777777" w:rsidTr="009B5413">
        <w:tc>
          <w:tcPr>
            <w:tcW w:w="0" w:type="auto"/>
            <w:hideMark/>
          </w:tcPr>
          <w:p w14:paraId="3C9DB14A"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Nouri et al. (2020)</w:t>
            </w:r>
          </w:p>
        </w:tc>
        <w:tc>
          <w:tcPr>
            <w:tcW w:w="0" w:type="auto"/>
            <w:hideMark/>
          </w:tcPr>
          <w:p w14:paraId="08A73230"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Telemedicine platforms</w:t>
            </w:r>
          </w:p>
        </w:tc>
        <w:tc>
          <w:tcPr>
            <w:tcW w:w="0" w:type="auto"/>
            <w:hideMark/>
          </w:tcPr>
          <w:p w14:paraId="113D07CC"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Evidence review</w:t>
            </w:r>
          </w:p>
        </w:tc>
        <w:tc>
          <w:tcPr>
            <w:tcW w:w="0" w:type="auto"/>
            <w:hideMark/>
          </w:tcPr>
          <w:p w14:paraId="6D60E4F7"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Chronic disease management</w:t>
            </w:r>
          </w:p>
        </w:tc>
        <w:tc>
          <w:tcPr>
            <w:tcW w:w="0" w:type="auto"/>
            <w:hideMark/>
          </w:tcPr>
          <w:p w14:paraId="393CB8FD"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Identified concerns regarding unequal access caused by digital literacy and technology barriers.</w:t>
            </w:r>
          </w:p>
        </w:tc>
      </w:tr>
      <w:tr w:rsidR="009B5413" w:rsidRPr="009B5413" w14:paraId="78C6C2C5" w14:textId="77777777" w:rsidTr="009B5413">
        <w:tc>
          <w:tcPr>
            <w:tcW w:w="0" w:type="auto"/>
            <w:hideMark/>
          </w:tcPr>
          <w:p w14:paraId="10BDB5AF"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Peek et al. (2021)</w:t>
            </w:r>
          </w:p>
        </w:tc>
        <w:tc>
          <w:tcPr>
            <w:tcW w:w="0" w:type="auto"/>
            <w:hideMark/>
          </w:tcPr>
          <w:p w14:paraId="58EFC786"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Digital health technologies</w:t>
            </w:r>
          </w:p>
        </w:tc>
        <w:tc>
          <w:tcPr>
            <w:tcW w:w="0" w:type="auto"/>
            <w:hideMark/>
          </w:tcPr>
          <w:p w14:paraId="01C64E6E"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Review study</w:t>
            </w:r>
          </w:p>
        </w:tc>
        <w:tc>
          <w:tcPr>
            <w:tcW w:w="0" w:type="auto"/>
            <w:hideMark/>
          </w:tcPr>
          <w:p w14:paraId="2FBB70E8"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Long-term condition management</w:t>
            </w:r>
          </w:p>
        </w:tc>
        <w:tc>
          <w:tcPr>
            <w:tcW w:w="0" w:type="auto"/>
            <w:hideMark/>
          </w:tcPr>
          <w:p w14:paraId="44E74ECC" w14:textId="77777777" w:rsidR="009B5413" w:rsidRPr="009B5413" w:rsidRDefault="009B5413" w:rsidP="009B5413">
            <w:pPr>
              <w:spacing w:line="360" w:lineRule="auto"/>
              <w:jc w:val="both"/>
              <w:rPr>
                <w:rFonts w:ascii="Arial" w:hAnsi="Arial" w:cs="Arial"/>
                <w:sz w:val="24"/>
                <w:szCs w:val="24"/>
              </w:rPr>
            </w:pPr>
            <w:r w:rsidRPr="009B5413">
              <w:rPr>
                <w:rFonts w:ascii="Arial" w:hAnsi="Arial" w:cs="Arial"/>
                <w:sz w:val="24"/>
                <w:szCs w:val="24"/>
              </w:rPr>
              <w:t>Digital interventions supported patient engagement and self-management when appropriately implemented.</w:t>
            </w:r>
          </w:p>
        </w:tc>
      </w:tr>
    </w:tbl>
    <w:p w14:paraId="7C2AF786" w14:textId="77777777" w:rsidR="009B5413" w:rsidRPr="009B5413" w:rsidRDefault="00CE2D24" w:rsidP="009B5413">
      <w:pPr>
        <w:spacing w:line="360" w:lineRule="auto"/>
        <w:jc w:val="both"/>
        <w:rPr>
          <w:rFonts w:ascii="Arial" w:hAnsi="Arial" w:cs="Arial"/>
          <w:sz w:val="24"/>
          <w:szCs w:val="24"/>
        </w:rPr>
      </w:pPr>
      <w:r>
        <w:rPr>
          <w:rFonts w:ascii="Arial" w:hAnsi="Arial" w:cs="Arial"/>
          <w:noProof/>
          <w:sz w:val="24"/>
          <w:szCs w:val="24"/>
        </w:rPr>
      </w:r>
      <w:r w:rsidR="00CE2D24">
        <w:rPr>
          <w:rFonts w:ascii="Arial" w:hAnsi="Arial" w:cs="Arial"/>
          <w:noProof/>
          <w:sz w:val="24"/>
          <w:szCs w:val="24"/>
        </w:rPr>
        <w:pict w14:anchorId="02F7F69C">
          <v:rect id="_x0000_i1025" style="width:0;height:1.5pt" o:hralign="center" o:hrstd="t" o:hr="t" fillcolor="#a0a0a0" stroked="f"/>
        </w:pict>
      </w:r>
    </w:p>
    <w:p w14:paraId="1766C88B" w14:textId="77777777" w:rsidR="009B5413" w:rsidRPr="009B5413" w:rsidRDefault="009B5413" w:rsidP="009B5413">
      <w:pPr>
        <w:pStyle w:val="Heading1"/>
        <w:spacing w:line="360" w:lineRule="auto"/>
        <w:jc w:val="both"/>
        <w:rPr>
          <w:rFonts w:cs="Arial"/>
          <w:sz w:val="24"/>
          <w:szCs w:val="24"/>
        </w:rPr>
      </w:pPr>
      <w:bookmarkStart w:id="16" w:name="_Toc236418029"/>
      <w:r w:rsidRPr="009B5413">
        <w:rPr>
          <w:rFonts w:cs="Arial"/>
          <w:sz w:val="24"/>
          <w:szCs w:val="24"/>
        </w:rPr>
        <w:t>4.3 Theme 1: Improved Healthcare Access Through Digital Technologies</w:t>
      </w:r>
      <w:bookmarkEnd w:id="16"/>
    </w:p>
    <w:p w14:paraId="5D282F85"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first major theme identified was the ability of digital health technologies to improve access to healthcare services. Several included studies demonstrated that remote consultations and online healthcare platforms reduced barriers associated with travel, mobility limitations and geographical distance.</w:t>
      </w:r>
    </w:p>
    <w:p w14:paraId="69B3F5E7" w14:textId="77777777" w:rsidR="009B5413" w:rsidRPr="009B5413" w:rsidRDefault="009B5413" w:rsidP="009B5413">
      <w:pPr>
        <w:pStyle w:val="NormalWeb"/>
        <w:spacing w:line="360" w:lineRule="auto"/>
        <w:jc w:val="both"/>
        <w:rPr>
          <w:rFonts w:ascii="Arial" w:hAnsi="Arial" w:cs="Arial"/>
        </w:rPr>
      </w:pPr>
      <w:proofErr w:type="spellStart"/>
      <w:r w:rsidRPr="009B5413">
        <w:rPr>
          <w:rFonts w:ascii="Arial" w:hAnsi="Arial" w:cs="Arial"/>
        </w:rPr>
        <w:t>Greenhalgh</w:t>
      </w:r>
      <w:proofErr w:type="spellEnd"/>
      <w:r w:rsidRPr="009B5413">
        <w:rPr>
          <w:rFonts w:ascii="Arial" w:hAnsi="Arial" w:cs="Arial"/>
        </w:rPr>
        <w:t xml:space="preserve"> et al. (2020) identified that video consultations provided an effective alternative to traditional face-to-face appointments, particularly during periods when physical healthcare access was restricted. Patients valued the convenience of receiving healthcare advice from their own homes, suggesting that digital consultations may improve flexibility and service accessibility.</w:t>
      </w:r>
    </w:p>
    <w:p w14:paraId="37ED9109"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 xml:space="preserve">Similarly, </w:t>
      </w:r>
      <w:proofErr w:type="spellStart"/>
      <w:r w:rsidRPr="009B5413">
        <w:rPr>
          <w:rFonts w:ascii="Arial" w:hAnsi="Arial" w:cs="Arial"/>
        </w:rPr>
        <w:t>Wherton</w:t>
      </w:r>
      <w:proofErr w:type="spellEnd"/>
      <w:r w:rsidRPr="009B5413">
        <w:rPr>
          <w:rFonts w:ascii="Arial" w:hAnsi="Arial" w:cs="Arial"/>
        </w:rPr>
        <w:t xml:space="preserve"> et al. (2020) reported that remote consultations supported continuity of care during the COVID-19 pandemic by allowing healthcare professionals to maintain communication with patients. However, the study also highlighted that digital consultations may not be appropriate for all situations, particularly where physical examination or complex clinical assessment is required.</w:t>
      </w:r>
    </w:p>
    <w:p w14:paraId="2FE1D240"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Therefore, although digital healthcare can improve accessibility, the evidence suggests that its effectiveness depends on appropriate patient selection, technological availability and maintaining alternative healthcare pathways.</w:t>
      </w:r>
    </w:p>
    <w:p w14:paraId="054B9BC6" w14:textId="77777777" w:rsidR="009B5413" w:rsidRPr="009B5413" w:rsidRDefault="009B5413" w:rsidP="009B5413">
      <w:pPr>
        <w:pStyle w:val="Heading1"/>
        <w:spacing w:line="360" w:lineRule="auto"/>
        <w:jc w:val="both"/>
        <w:rPr>
          <w:rFonts w:cs="Arial"/>
          <w:sz w:val="24"/>
          <w:szCs w:val="24"/>
        </w:rPr>
      </w:pPr>
      <w:bookmarkStart w:id="17" w:name="_Toc236418030"/>
      <w:r w:rsidRPr="009B5413">
        <w:rPr>
          <w:rFonts w:cs="Arial"/>
          <w:sz w:val="24"/>
          <w:szCs w:val="24"/>
        </w:rPr>
        <w:t>4.4 Theme 2: Improved Patient Outcomes and Self-management</w:t>
      </w:r>
      <w:bookmarkEnd w:id="17"/>
    </w:p>
    <w:p w14:paraId="40A3A916"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second theme related to the impact of digital health technologies on patient outcomes. Evidence from included studies indicated that remote monitoring systems and digital health applications can support improved self-management, particularly among patients with long-term conditions.</w:t>
      </w:r>
    </w:p>
    <w:p w14:paraId="619A86A2"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Peek et al. (2021) highlighted that digital health interventions can increase patient engagement by allowing individuals to monitor their health information and participate more actively in managing their conditions. Remote monitoring may also support earlier identification of health deterioration, enabling healthcare professionals to provide timely interventions.</w:t>
      </w:r>
    </w:p>
    <w:p w14:paraId="002BE64C"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However, the effectiveness of digital interventions varied depending on usability, patient acceptance and the level of support provided by healthcare professionals. This indicates that technology alone does not guarantee improved outcomes; successful implementation requires integration with wider healthcare practices.</w:t>
      </w:r>
    </w:p>
    <w:p w14:paraId="2F2EA53C" w14:textId="77777777" w:rsidR="009B5413" w:rsidRPr="009B5413" w:rsidRDefault="009B5413" w:rsidP="009B5413">
      <w:pPr>
        <w:pStyle w:val="Heading1"/>
        <w:spacing w:line="360" w:lineRule="auto"/>
        <w:jc w:val="both"/>
        <w:rPr>
          <w:rFonts w:cs="Arial"/>
          <w:sz w:val="24"/>
          <w:szCs w:val="24"/>
        </w:rPr>
      </w:pPr>
      <w:bookmarkStart w:id="18" w:name="_Toc236418031"/>
      <w:r w:rsidRPr="009B5413">
        <w:rPr>
          <w:rFonts w:cs="Arial"/>
          <w:sz w:val="24"/>
          <w:szCs w:val="24"/>
        </w:rPr>
        <w:t>4.5 Theme 3: Digital Inequalities and Implementation Barriers</w:t>
      </w:r>
      <w:bookmarkEnd w:id="18"/>
    </w:p>
    <w:p w14:paraId="2B85CE69"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A consistent finding across the reviewed evidence was the risk that digital healthcare may increase existing health inequalities. Litchfield et al. (2021) identified that individuals with limited digital literacy, reduced financial resources or inadequate internet access may experience difficulties benefiting from digital healthcare services.</w:t>
      </w:r>
    </w:p>
    <w:p w14:paraId="474C4B51"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Nouri et al. (2020) similarly highlighted that although telemedicine can improve access for some patients, it may disadvantage vulnerable populations who lack the resources or skills required to engage with digital platforms.</w:t>
      </w:r>
    </w:p>
    <w:p w14:paraId="54F22C9B"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These findings demonstrate that digital healthcare should be implemented alongside digital inclusion strategies rather than replacing traditional healthcare models.</w:t>
      </w:r>
    </w:p>
    <w:p w14:paraId="69A60967" w14:textId="77777777" w:rsidR="009B5413" w:rsidRPr="009B5413" w:rsidRDefault="009B5413" w:rsidP="009B5413">
      <w:pPr>
        <w:pStyle w:val="Heading1"/>
        <w:spacing w:line="360" w:lineRule="auto"/>
        <w:jc w:val="both"/>
        <w:rPr>
          <w:rFonts w:cs="Arial"/>
          <w:sz w:val="24"/>
          <w:szCs w:val="24"/>
        </w:rPr>
      </w:pPr>
      <w:bookmarkStart w:id="19" w:name="_Toc236418032"/>
      <w:r w:rsidRPr="009B5413">
        <w:rPr>
          <w:rFonts w:cs="Arial"/>
          <w:sz w:val="24"/>
          <w:szCs w:val="24"/>
        </w:rPr>
        <w:t>4.6 Theme 4: Healthcare Efficiency and Service Transformation</w:t>
      </w:r>
      <w:bookmarkEnd w:id="19"/>
    </w:p>
    <w:p w14:paraId="21C39F1E"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final theme concerned improvements in healthcare efficiency. Digital systems can improve communication between healthcare professionals, support information sharing and reduce administrative workload.</w:t>
      </w:r>
    </w:p>
    <w:p w14:paraId="68BC0E8C"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However, successful implementation requires appropriate staff training, reliable infrastructure and effective governance. Without these factors, digital transformation may create additional pressures for healthcare professionals and reduce the effectiveness of digital services.</w:t>
      </w:r>
    </w:p>
    <w:p w14:paraId="11870A19"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Overall, the results demonstrate that digital health technologies provide significant opportunities to improve UK healthcare delivery. However, benefits depend on inclusive implementation strategies that address technological, organisational and social barriers.</w:t>
      </w:r>
    </w:p>
    <w:p w14:paraId="049B1084" w14:textId="77777777" w:rsidR="009B5413" w:rsidRPr="009B5413" w:rsidRDefault="009B5413" w:rsidP="009B5413">
      <w:pPr>
        <w:pStyle w:val="Heading1"/>
        <w:spacing w:line="360" w:lineRule="auto"/>
        <w:jc w:val="both"/>
        <w:rPr>
          <w:rFonts w:cs="Arial"/>
          <w:sz w:val="24"/>
          <w:szCs w:val="24"/>
        </w:rPr>
      </w:pPr>
      <w:bookmarkStart w:id="20" w:name="_Toc236418033"/>
      <w:r w:rsidRPr="009B5413">
        <w:rPr>
          <w:rFonts w:cs="Arial"/>
          <w:sz w:val="24"/>
          <w:szCs w:val="24"/>
        </w:rPr>
        <w:t>5. Discussion</w:t>
      </w:r>
      <w:bookmarkEnd w:id="20"/>
    </w:p>
    <w:p w14:paraId="4BD54A9B"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This scoping review explored the impact of digital health technologies on healthcare access and patient outcomes within UK healthcare settings. The findings demonstrate that digital health technologies provide significant opportunities to improve healthcare delivery through increased accessibility, enhanced patient engagement and improved management of health conditions. However, the evidence also highlights that digital transformation is not automatically associated with improved healthcare equality or outcomes. The effectiveness of digital healthcare depends on multiple factors, including patient characteristics, healthcare professional support, technological accessibility and the wider organisation of healthcare services.</w:t>
      </w:r>
    </w:p>
    <w:p w14:paraId="509BEE0E"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 xml:space="preserve">A key finding from this review was that digital health technologies can improve access to healthcare by reducing geographical, physical and logistical barriers. The expansion of telemedicine and video consultations has allowed patients to communicate with healthcare professionals without always requiring face-to-face attendance. </w:t>
      </w:r>
      <w:proofErr w:type="spellStart"/>
      <w:r w:rsidRPr="009B5413">
        <w:rPr>
          <w:rFonts w:ascii="Arial" w:hAnsi="Arial" w:cs="Arial"/>
        </w:rPr>
        <w:t>Greenhalgh</w:t>
      </w:r>
      <w:proofErr w:type="spellEnd"/>
      <w:r w:rsidRPr="009B5413">
        <w:rPr>
          <w:rFonts w:ascii="Arial" w:hAnsi="Arial" w:cs="Arial"/>
        </w:rPr>
        <w:t xml:space="preserve"> et al. (2020) demonstrated that video consultations became an important method of maintaining healthcare continuity during the COVID-19 pandemic, particularly when traditional healthcare pathways were disrupted. Similarly, </w:t>
      </w:r>
      <w:proofErr w:type="spellStart"/>
      <w:r w:rsidRPr="009B5413">
        <w:rPr>
          <w:rFonts w:ascii="Arial" w:hAnsi="Arial" w:cs="Arial"/>
        </w:rPr>
        <w:t>Wherton</w:t>
      </w:r>
      <w:proofErr w:type="spellEnd"/>
      <w:r w:rsidRPr="009B5413">
        <w:rPr>
          <w:rFonts w:ascii="Arial" w:hAnsi="Arial" w:cs="Arial"/>
        </w:rPr>
        <w:t xml:space="preserve"> et al. (2020) highlighted that remote consultations enabled healthcare organisations to maintain patient contact while reducing pressure on healthcare facilities. These findings support the argument that digital healthcare can increase flexibility and convenience for patients.</w:t>
      </w:r>
    </w:p>
    <w:p w14:paraId="09086F73"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However, the findings also suggest that improved availability of digital services does not necessarily result in equal access for all populations. Although digital technologies can overcome geographical barriers, they may introduce new challenges for individuals who lack digital confidence, appropriate devices or reliable internet access. Litchfield et al. (2021) identified digital exclusion as a significant factor influencing whether individuals can benefit from technology-enabled healthcare services. This indicates that accessibility should not be measured only by whether digital services exist, but also by whether patients have the ability and resources required to use them effectively. Therefore, digital healthcare should be viewed as an additional pathway for accessing care rather than a universal replacement for traditional healthcare approaches.</w:t>
      </w:r>
    </w:p>
    <w:p w14:paraId="23A83285"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review also identified positive relationships between digital health technologies and patient outcomes, particularly in relation to self-management and monitoring of long-term conditions. Digital monitoring systems and mobile health applications may allow patients to actively participate in managing their health by tracking symptoms, accessing information and communicating with healthcare professionals. Peek et al. (2021) suggested that digital health interventions can support patient empowerment and improve engagement when they are appropriately designed and integrated into healthcare pathways. These findings align with the wider movement towards patient-centred care, where individuals are encouraged to take a more active role in decisions regarding their health.</w:t>
      </w:r>
    </w:p>
    <w:p w14:paraId="06A6E473"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Nevertheless, the impact of digital technologies on patient outcomes remains dependent on implementation quality. The presence of technology alone does not guarantee improved healthcare outcomes. Factors such as usability, patient acceptance, healthcare professional training and organisational readiness influence whether digital interventions achieve their intended benefits. For example, remote monitoring may support earlier identification of health deterioration, but its effectiveness depends on whether healthcare professionals have sufficient resources and systems to respond to patient information appropriately. This demonstrates that digital transformation requires changes in healthcare processes rather than simply introducing new technological tools.</w:t>
      </w:r>
    </w:p>
    <w:p w14:paraId="4B96B1DF"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An important theme emerging from the review was the relationship between digital healthcare and health inequalities. Digital exclusion represents a significant challenge within UK healthcare because groups already experiencing disadvantages may be less likely to benefit from digital services. Nouri et al. (2020) highlighted concerns that technology-based healthcare models may unintentionally exclude patients with limited digital literacy or reduced access to technology. Similarly, Litchfield et al. (2021) argued that digital healthcare strategies must consider social and economic inequalities to avoid widening existing health disparities. These findings are particularly important within the NHS context, where equitable access to healthcare is a fundamental principle. Therefore, future digital healthcare strategies must incorporate digital inclusion initiatives, including patient education, accessible technology design and continued availability of non-digital healthcare options.</w:t>
      </w:r>
    </w:p>
    <w:p w14:paraId="6F328449"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findings also highlight the important role of healthcare professionals in successful digital implementation. Digital health technologies change the way healthcare professionals communicate with patients, manage information and make clinical decisions. While digital systems can improve efficiency, inadequate training or poor integration into existing workflows may reduce their effectiveness. Healthcare professionals require appropriate digital competencies to support patients and ensure that technology enhances rather than disrupts person-centred care. This suggests that investment in workforce development is as important as investment in technological infrastructure.</w:t>
      </w:r>
    </w:p>
    <w:p w14:paraId="0009E148"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From a UK healthcare practice perspective, the findings indicate that digital transformation should adopt a blended approach that combines digital and traditional healthcare delivery methods. Although digital consultations and remote monitoring offer valuable benefits, face-to-face care remains essential for patients requiring physical assessment, complex support or personal interaction. A fully digital healthcare model may not be appropriate for all patient groups; therefore, healthcare organisations must balance innovation with accessibility and patient choice.</w:t>
      </w:r>
    </w:p>
    <w:p w14:paraId="161424E8"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This review also has several limitations. As a scoping review, the purpose was to map existing evidence rather than determine the effectiveness of specific interventions. The included studies varied in methodology, sample characteristics and digital technologies examined, making direct comparison challenging. Additionally, limiting the search to English-language peer-reviewed studies may have excluded relevant international evidence or unpublished research. Furthermore, digital health technologies continue to develop rapidly, meaning that findings may require future updating as new systems and approaches emerge.</w:t>
      </w:r>
    </w:p>
    <w:p w14:paraId="1DD89008"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Despite these limitations, the review provides valuable insight into the current role of digital health technologies within UK healthcare. The evidence suggests that digital healthcare has considerable potential to improve access, patient engagement and service efficiency, but successful implementation requires careful consideration of equality, usability and patient needs. Digital transformation should therefore be guided by an inclusive approach that recognises technology as a tool for supporting healthcare delivery rather than a replacement for human-centred care.</w:t>
      </w:r>
    </w:p>
    <w:p w14:paraId="181A496F"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Overall, this scoping review demonstrates that digital health technologies can contribute positively to the future of UK healthcare when implemented effectively. However, achieving sustainable benefits requires addressing digital inequalities, strengthening healthcare professional training and ensuring that digital services remain accessible to all sections of society.</w:t>
      </w:r>
    </w:p>
    <w:p w14:paraId="437FF669" w14:textId="77777777" w:rsidR="009B5413" w:rsidRPr="009B5413" w:rsidRDefault="009B5413" w:rsidP="009B5413">
      <w:pPr>
        <w:pStyle w:val="Heading1"/>
        <w:spacing w:line="360" w:lineRule="auto"/>
        <w:jc w:val="both"/>
        <w:rPr>
          <w:rFonts w:cs="Arial"/>
          <w:sz w:val="24"/>
          <w:szCs w:val="24"/>
        </w:rPr>
      </w:pPr>
      <w:bookmarkStart w:id="21" w:name="_Toc236418034"/>
      <w:r w:rsidRPr="009B5413">
        <w:rPr>
          <w:rFonts w:cs="Arial"/>
          <w:sz w:val="24"/>
          <w:szCs w:val="24"/>
        </w:rPr>
        <w:t>6. Conclusion and Recommendations</w:t>
      </w:r>
      <w:bookmarkEnd w:id="21"/>
    </w:p>
    <w:p w14:paraId="1F1CFC7E" w14:textId="77777777" w:rsidR="009B5413" w:rsidRPr="009B5413" w:rsidRDefault="009B5413" w:rsidP="009B5413">
      <w:pPr>
        <w:pStyle w:val="Heading2"/>
        <w:spacing w:line="360" w:lineRule="auto"/>
        <w:jc w:val="both"/>
        <w:rPr>
          <w:rFonts w:ascii="Arial" w:hAnsi="Arial" w:cs="Arial"/>
          <w:sz w:val="24"/>
          <w:szCs w:val="24"/>
        </w:rPr>
      </w:pPr>
      <w:bookmarkStart w:id="22" w:name="_Toc236418035"/>
      <w:r w:rsidRPr="009B5413">
        <w:rPr>
          <w:rFonts w:ascii="Arial" w:hAnsi="Arial" w:cs="Arial"/>
          <w:sz w:val="24"/>
          <w:szCs w:val="24"/>
        </w:rPr>
        <w:t>Conclusion</w:t>
      </w:r>
      <w:bookmarkEnd w:id="22"/>
    </w:p>
    <w:p w14:paraId="360F1D94"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This scoping review examined the impact of digital health technologies on healthcare access and patient outcomes within UK healthcare settings. The findings indicate that digital health technologies, including telemedicine, remote monitoring systems, electronic health records and mobile health applications, have significant potential to improve healthcare delivery by increasing accessibility, supporting patient involvement and enhancing communication between healthcare professionals and service users.</w:t>
      </w:r>
    </w:p>
    <w:p w14:paraId="7CEE8C41"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evidence suggests that digital technologies can reduce several barriers associated with traditional healthcare delivery, including geographical distance, mobility difficulties and challenges accessing timely healthcare support. Remote consultations and digital monitoring approaches have provided valuable opportunities for patients to engage with healthcare services more conveniently, particularly for individuals managing long-term conditions. Furthermore, digital tools can support improved self-management by allowing patients to monitor their health, access information and participate more actively in decisions regarding their care.</w:t>
      </w:r>
    </w:p>
    <w:p w14:paraId="6687A37B"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However, this review also demonstrates that digital healthcare is not a universal solution to existing healthcare challenges. The benefits of digital transformation are influenced by social, economic and technological factors. Digital exclusion remains a significant concern, as older adults, individuals with lower digital literacy, people experiencing socioeconomic disadvantage and those without reliable access to technology may experience difficulties engaging with digital healthcare services. Therefore, increasing digital healthcare availability alone is insufficient; healthcare organisations must ensure that digital services are designed and implemented in an equitable and inclusive manner.</w:t>
      </w:r>
    </w:p>
    <w:p w14:paraId="7C9787E9"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The findings highlight that successful digital transformation requires a balanced approach that combines technological innovation with person-centred healthcare. Digital services should complement rather than replace traditional healthcare pathways, ensuring that patients retain choice and access to appropriate forms of care. In the UK healthcare context, particularly within the NHS, digital transformation should focus on improving accessibility and quality while maintaining the principles of equality and patient-centred practice.</w:t>
      </w:r>
    </w:p>
    <w:p w14:paraId="5C45FADE"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Overall, this scoping review concludes that digital health technologies can make a valuable contribution to improving healthcare access and patient outcomes. However, their long-term success depends on addressing digital inequalities, supporting healthcare professionals and ensuring that technology is implemented according to the needs and circumstances of diverse patient populations.</w:t>
      </w:r>
    </w:p>
    <w:p w14:paraId="03B5EED8" w14:textId="77777777" w:rsidR="009B5413" w:rsidRPr="009B5413" w:rsidRDefault="009B5413" w:rsidP="009B5413">
      <w:pPr>
        <w:pStyle w:val="Heading1"/>
        <w:spacing w:line="360" w:lineRule="auto"/>
        <w:jc w:val="both"/>
        <w:rPr>
          <w:rFonts w:cs="Arial"/>
          <w:sz w:val="24"/>
          <w:szCs w:val="24"/>
        </w:rPr>
      </w:pPr>
      <w:bookmarkStart w:id="23" w:name="_Toc236418036"/>
      <w:r w:rsidRPr="009B5413">
        <w:rPr>
          <w:rFonts w:cs="Arial"/>
          <w:sz w:val="24"/>
          <w:szCs w:val="24"/>
        </w:rPr>
        <w:t>Recommendations</w:t>
      </w:r>
      <w:bookmarkEnd w:id="23"/>
    </w:p>
    <w:p w14:paraId="75987FED"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Based on the findings of this scoping review, the following recommendations are proposed for UK healthcare practice, policy development and future research.</w:t>
      </w:r>
    </w:p>
    <w:p w14:paraId="76708E6C" w14:textId="77777777" w:rsidR="009B5413" w:rsidRPr="009B5413" w:rsidRDefault="009B5413" w:rsidP="009B5413">
      <w:pPr>
        <w:pStyle w:val="Heading2"/>
        <w:spacing w:line="360" w:lineRule="auto"/>
        <w:jc w:val="both"/>
        <w:rPr>
          <w:rFonts w:ascii="Arial" w:hAnsi="Arial" w:cs="Arial"/>
          <w:sz w:val="24"/>
          <w:szCs w:val="24"/>
        </w:rPr>
      </w:pPr>
      <w:bookmarkStart w:id="24" w:name="_Toc236418037"/>
      <w:r w:rsidRPr="009B5413">
        <w:rPr>
          <w:rFonts w:ascii="Arial" w:hAnsi="Arial" w:cs="Arial"/>
          <w:sz w:val="24"/>
          <w:szCs w:val="24"/>
        </w:rPr>
        <w:t>1. Strengthen Digital Inclusion Strategies</w:t>
      </w:r>
      <w:bookmarkEnd w:id="24"/>
    </w:p>
    <w:p w14:paraId="5714B1A8"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NHS organisations should develop stronger digital inclusion programmes to ensure that vulnerable populations are not excluded from technology-enabled healthcare services. Digital skills support, patient education programmes and assistance with accessing appropriate devices should be provided for individuals who experience difficulties using digital platforms. Digital healthcare should be designed around the needs of patients rather than expecting all patients to adapt to technological systems.</w:t>
      </w:r>
    </w:p>
    <w:p w14:paraId="4FF04D93" w14:textId="77777777" w:rsidR="009B5413" w:rsidRPr="009B5413" w:rsidRDefault="009B5413" w:rsidP="009B5413">
      <w:pPr>
        <w:pStyle w:val="Heading2"/>
        <w:spacing w:line="360" w:lineRule="auto"/>
        <w:jc w:val="both"/>
        <w:rPr>
          <w:rFonts w:ascii="Arial" w:hAnsi="Arial" w:cs="Arial"/>
          <w:sz w:val="24"/>
          <w:szCs w:val="24"/>
        </w:rPr>
      </w:pPr>
      <w:bookmarkStart w:id="25" w:name="_Toc236418038"/>
      <w:r w:rsidRPr="009B5413">
        <w:rPr>
          <w:rFonts w:ascii="Arial" w:hAnsi="Arial" w:cs="Arial"/>
          <w:sz w:val="24"/>
          <w:szCs w:val="24"/>
        </w:rPr>
        <w:t>2. Maintain a Blended Healthcare Delivery Model</w:t>
      </w:r>
      <w:bookmarkEnd w:id="25"/>
    </w:p>
    <w:p w14:paraId="50DCEE8C"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Digital healthcare should be implemented as part of a blended model that combines online and face-to-face services. Although virtual consultations provide convenience and improve accessibility for many patients, traditional healthcare pathways remain essential for individuals requiring physical assessment, complex support or personal interaction. Maintaining multiple access routes will help ensure equitable healthcare delivery.</w:t>
      </w:r>
    </w:p>
    <w:p w14:paraId="46B84B26" w14:textId="77777777" w:rsidR="009B5413" w:rsidRPr="009B5413" w:rsidRDefault="009B5413" w:rsidP="009B5413">
      <w:pPr>
        <w:pStyle w:val="Heading2"/>
        <w:spacing w:line="360" w:lineRule="auto"/>
        <w:jc w:val="both"/>
        <w:rPr>
          <w:rFonts w:ascii="Arial" w:hAnsi="Arial" w:cs="Arial"/>
          <w:sz w:val="24"/>
          <w:szCs w:val="24"/>
        </w:rPr>
      </w:pPr>
      <w:bookmarkStart w:id="26" w:name="_Toc236418039"/>
      <w:r w:rsidRPr="009B5413">
        <w:rPr>
          <w:rFonts w:ascii="Arial" w:hAnsi="Arial" w:cs="Arial"/>
          <w:sz w:val="24"/>
          <w:szCs w:val="24"/>
        </w:rPr>
        <w:t>3. Improve Digital Skills and Training Among Healthcare Professionals</w:t>
      </w:r>
      <w:bookmarkEnd w:id="26"/>
    </w:p>
    <w:p w14:paraId="2727C5ED"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Healthcare organisations should provide continuous digital training for healthcare professionals to improve confidence and competence in using digital systems. Staff should be supported not only in operating technologies but also in identifying patients who may require additional assistance when accessing digital services. Effective workforce preparation is essential for ensuring that digital healthcare improves rather than disrupts clinical practice.</w:t>
      </w:r>
    </w:p>
    <w:p w14:paraId="3BE0D5C3" w14:textId="77777777" w:rsidR="009B5413" w:rsidRPr="009B5413" w:rsidRDefault="009B5413" w:rsidP="009B5413">
      <w:pPr>
        <w:pStyle w:val="Heading2"/>
        <w:spacing w:line="360" w:lineRule="auto"/>
        <w:jc w:val="both"/>
        <w:rPr>
          <w:rFonts w:ascii="Arial" w:hAnsi="Arial" w:cs="Arial"/>
          <w:sz w:val="24"/>
          <w:szCs w:val="24"/>
        </w:rPr>
      </w:pPr>
      <w:bookmarkStart w:id="27" w:name="_Toc236418040"/>
      <w:r w:rsidRPr="009B5413">
        <w:rPr>
          <w:rFonts w:ascii="Arial" w:hAnsi="Arial" w:cs="Arial"/>
          <w:sz w:val="24"/>
          <w:szCs w:val="24"/>
        </w:rPr>
        <w:t>4. Promote Patient-Centred Digital Design</w:t>
      </w:r>
      <w:bookmarkEnd w:id="27"/>
    </w:p>
    <w:p w14:paraId="3B756A50"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Future digital health systems should involve patients and healthcare professionals during the design and implementation process. Technologies should consider accessibility requirements, usability, language needs and different levels of digital ability. Patient involvement can help ensure that digital solutions address real healthcare challenges rather than focusing only on technological possibilities.</w:t>
      </w:r>
    </w:p>
    <w:p w14:paraId="227C5C0D" w14:textId="77777777" w:rsidR="009B5413" w:rsidRPr="009B5413" w:rsidRDefault="009B5413" w:rsidP="009B5413">
      <w:pPr>
        <w:pStyle w:val="Heading2"/>
        <w:spacing w:line="360" w:lineRule="auto"/>
        <w:jc w:val="both"/>
        <w:rPr>
          <w:rFonts w:ascii="Arial" w:hAnsi="Arial" w:cs="Arial"/>
          <w:sz w:val="24"/>
          <w:szCs w:val="24"/>
        </w:rPr>
      </w:pPr>
      <w:bookmarkStart w:id="28" w:name="_Toc236418041"/>
      <w:r w:rsidRPr="009B5413">
        <w:rPr>
          <w:rFonts w:ascii="Arial" w:hAnsi="Arial" w:cs="Arial"/>
          <w:sz w:val="24"/>
          <w:szCs w:val="24"/>
        </w:rPr>
        <w:t>5. Strengthen Data Security and Patient Trust</w:t>
      </w:r>
      <w:bookmarkEnd w:id="28"/>
    </w:p>
    <w:p w14:paraId="17E42229"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Healthcare organisations should continue to prioritise data protection, cybersecurity and transparent communication regarding the use of patient information. Maintaining patient trust is essential because concerns about privacy and data security may influence willingness to engage with digital healthcare services.</w:t>
      </w:r>
    </w:p>
    <w:p w14:paraId="25FF44A8" w14:textId="77777777" w:rsidR="009B5413" w:rsidRPr="009B5413" w:rsidRDefault="009B5413" w:rsidP="009B5413">
      <w:pPr>
        <w:pStyle w:val="Heading2"/>
        <w:spacing w:line="360" w:lineRule="auto"/>
        <w:jc w:val="both"/>
        <w:rPr>
          <w:rFonts w:ascii="Arial" w:hAnsi="Arial" w:cs="Arial"/>
          <w:sz w:val="24"/>
          <w:szCs w:val="24"/>
        </w:rPr>
      </w:pPr>
      <w:bookmarkStart w:id="29" w:name="_Toc236418042"/>
      <w:r w:rsidRPr="009B5413">
        <w:rPr>
          <w:rFonts w:ascii="Arial" w:hAnsi="Arial" w:cs="Arial"/>
          <w:sz w:val="24"/>
          <w:szCs w:val="24"/>
        </w:rPr>
        <w:t>6. Develop Further Research on Long-Term Impact and Inequalities</w:t>
      </w:r>
      <w:bookmarkEnd w:id="29"/>
    </w:p>
    <w:p w14:paraId="4CF998A1"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Future research should investigate the long-term effects of digital health technologies on different population groups within UK healthcare settings. Further studies should particularly focus on disadvantaged communities, older adults and individuals with limited digital access to determine whether digital transformation reduces or increases healthcare inequalities. Research should also explore which implementation strategies produce the most effective and sustainable outcomes.</w:t>
      </w:r>
    </w:p>
    <w:p w14:paraId="1E6129CA" w14:textId="77777777" w:rsidR="009B5413" w:rsidRPr="009B5413" w:rsidRDefault="009B5413" w:rsidP="009B5413">
      <w:pPr>
        <w:pStyle w:val="NormalWeb"/>
        <w:spacing w:line="360" w:lineRule="auto"/>
        <w:jc w:val="both"/>
        <w:rPr>
          <w:rFonts w:ascii="Arial" w:hAnsi="Arial" w:cs="Arial"/>
        </w:rPr>
      </w:pPr>
      <w:r w:rsidRPr="009B5413">
        <w:rPr>
          <w:rFonts w:ascii="Arial" w:hAnsi="Arial" w:cs="Arial"/>
        </w:rPr>
        <w:t>In conclusion, digital health technologies represent an important opportunity for improving the future of healthcare delivery in the UK. However, achieving their full potential requires a careful balance between innovation, accessibility and equality. A successful digital healthcare system must ensure that technology enhances patient care while continuing to provide inclusive and person-centred services for all members of society.</w:t>
      </w:r>
    </w:p>
    <w:p w14:paraId="108CE0EF" w14:textId="77777777" w:rsidR="009B5413" w:rsidRPr="009B5413" w:rsidRDefault="009B5413" w:rsidP="009B5413">
      <w:pPr>
        <w:pStyle w:val="Heading2"/>
        <w:rPr>
          <w:rFonts w:ascii="Arial" w:hAnsi="Arial" w:cs="Arial"/>
          <w:sz w:val="24"/>
          <w:szCs w:val="24"/>
        </w:rPr>
      </w:pPr>
      <w:bookmarkStart w:id="30" w:name="_Toc236418043"/>
      <w:r w:rsidRPr="009B5413">
        <w:rPr>
          <w:rFonts w:ascii="Arial" w:hAnsi="Arial" w:cs="Arial"/>
          <w:sz w:val="24"/>
          <w:szCs w:val="24"/>
        </w:rPr>
        <w:t>References</w:t>
      </w:r>
      <w:bookmarkEnd w:id="30"/>
    </w:p>
    <w:p w14:paraId="079DED4C" w14:textId="77777777" w:rsidR="009B5413" w:rsidRPr="009B5413" w:rsidRDefault="009B5413" w:rsidP="009B5413">
      <w:pPr>
        <w:pStyle w:val="NormalWeb"/>
        <w:numPr>
          <w:ilvl w:val="0"/>
          <w:numId w:val="7"/>
        </w:numPr>
        <w:rPr>
          <w:rFonts w:ascii="Arial" w:hAnsi="Arial" w:cs="Arial"/>
        </w:rPr>
      </w:pPr>
      <w:r w:rsidRPr="009B5413">
        <w:rPr>
          <w:rFonts w:ascii="Arial" w:hAnsi="Arial" w:cs="Arial"/>
        </w:rPr>
        <w:t xml:space="preserve">Adler-Milstein, J. and Jha, A.K. (2017) ‘HITECH Act drove large gains in hospital electronic health record adoption’, </w:t>
      </w:r>
      <w:r w:rsidRPr="009B5413">
        <w:rPr>
          <w:rStyle w:val="Emphasis"/>
          <w:rFonts w:ascii="Arial" w:hAnsi="Arial" w:cs="Arial"/>
        </w:rPr>
        <w:t>Health Affairs</w:t>
      </w:r>
      <w:r w:rsidRPr="009B5413">
        <w:rPr>
          <w:rFonts w:ascii="Arial" w:hAnsi="Arial" w:cs="Arial"/>
        </w:rPr>
        <w:t>, 36(8), pp. 1416–1422. Available at: https://doi.org/10.1377/hlthaff.2017.0414</w:t>
      </w:r>
    </w:p>
    <w:p w14:paraId="50A52020" w14:textId="77777777" w:rsidR="009B5413" w:rsidRPr="009B5413" w:rsidRDefault="009B5413" w:rsidP="009B5413">
      <w:pPr>
        <w:pStyle w:val="NormalWeb"/>
        <w:numPr>
          <w:ilvl w:val="0"/>
          <w:numId w:val="7"/>
        </w:numPr>
        <w:rPr>
          <w:rFonts w:ascii="Arial" w:hAnsi="Arial" w:cs="Arial"/>
        </w:rPr>
      </w:pPr>
      <w:proofErr w:type="spellStart"/>
      <w:r w:rsidRPr="009B5413">
        <w:rPr>
          <w:rFonts w:ascii="Arial" w:hAnsi="Arial" w:cs="Arial"/>
        </w:rPr>
        <w:t>Arksey</w:t>
      </w:r>
      <w:proofErr w:type="spellEnd"/>
      <w:r w:rsidRPr="009B5413">
        <w:rPr>
          <w:rFonts w:ascii="Arial" w:hAnsi="Arial" w:cs="Arial"/>
        </w:rPr>
        <w:t xml:space="preserve">, H. and O’Malley, L. (2005) ‘Scoping studies: towards a methodological framework’, </w:t>
      </w:r>
      <w:r w:rsidRPr="009B5413">
        <w:rPr>
          <w:rStyle w:val="Emphasis"/>
          <w:rFonts w:ascii="Arial" w:hAnsi="Arial" w:cs="Arial"/>
        </w:rPr>
        <w:t>International Journal of Social Research Methodology</w:t>
      </w:r>
      <w:r w:rsidRPr="009B5413">
        <w:rPr>
          <w:rFonts w:ascii="Arial" w:hAnsi="Arial" w:cs="Arial"/>
        </w:rPr>
        <w:t xml:space="preserve">, 8(1), pp. 19–32. Available at: </w:t>
      </w:r>
      <w:hyperlink r:id="rId6" w:tgtFrame="_new" w:history="1">
        <w:r w:rsidRPr="009B5413">
          <w:rPr>
            <w:rStyle w:val="Hyperlink"/>
            <w:rFonts w:ascii="Arial" w:eastAsiaTheme="majorEastAsia" w:hAnsi="Arial" w:cs="Arial"/>
          </w:rPr>
          <w:t>https://doi.org/10.1080/1364557032000119616</w:t>
        </w:r>
      </w:hyperlink>
    </w:p>
    <w:p w14:paraId="69CE4935" w14:textId="77777777" w:rsidR="009B5413" w:rsidRPr="009B5413" w:rsidRDefault="009B5413" w:rsidP="009B5413">
      <w:pPr>
        <w:pStyle w:val="NormalWeb"/>
        <w:numPr>
          <w:ilvl w:val="0"/>
          <w:numId w:val="7"/>
        </w:numPr>
        <w:rPr>
          <w:rFonts w:ascii="Arial" w:hAnsi="Arial" w:cs="Arial"/>
        </w:rPr>
      </w:pPr>
      <w:r w:rsidRPr="009B5413">
        <w:rPr>
          <w:rFonts w:ascii="Arial" w:hAnsi="Arial" w:cs="Arial"/>
        </w:rPr>
        <w:t xml:space="preserve">Braun, V. and Clarke, V. (2021) </w:t>
      </w:r>
      <w:r w:rsidRPr="009B5413">
        <w:rPr>
          <w:rStyle w:val="Emphasis"/>
          <w:rFonts w:ascii="Arial" w:hAnsi="Arial" w:cs="Arial"/>
        </w:rPr>
        <w:t>Thematic Analysis: A Practical Guide</w:t>
      </w:r>
      <w:r w:rsidRPr="009B5413">
        <w:rPr>
          <w:rFonts w:ascii="Arial" w:hAnsi="Arial" w:cs="Arial"/>
        </w:rPr>
        <w:t>. London: SAGE Publications.</w:t>
      </w:r>
    </w:p>
    <w:p w14:paraId="29DB7170" w14:textId="77777777" w:rsidR="009B5413" w:rsidRPr="009B5413" w:rsidRDefault="009B5413" w:rsidP="009B5413">
      <w:pPr>
        <w:pStyle w:val="NormalWeb"/>
        <w:numPr>
          <w:ilvl w:val="0"/>
          <w:numId w:val="7"/>
        </w:numPr>
        <w:rPr>
          <w:rFonts w:ascii="Arial" w:hAnsi="Arial" w:cs="Arial"/>
        </w:rPr>
      </w:pPr>
      <w:proofErr w:type="spellStart"/>
      <w:r w:rsidRPr="009B5413">
        <w:rPr>
          <w:rFonts w:ascii="Arial" w:hAnsi="Arial" w:cs="Arial"/>
        </w:rPr>
        <w:t>Greenhalgh</w:t>
      </w:r>
      <w:proofErr w:type="spellEnd"/>
      <w:r w:rsidRPr="009B5413">
        <w:rPr>
          <w:rFonts w:ascii="Arial" w:hAnsi="Arial" w:cs="Arial"/>
        </w:rPr>
        <w:t xml:space="preserve">, T., </w:t>
      </w:r>
      <w:proofErr w:type="spellStart"/>
      <w:r w:rsidRPr="009B5413">
        <w:rPr>
          <w:rFonts w:ascii="Arial" w:hAnsi="Arial" w:cs="Arial"/>
        </w:rPr>
        <w:t>Wherton</w:t>
      </w:r>
      <w:proofErr w:type="spellEnd"/>
      <w:r w:rsidRPr="009B5413">
        <w:rPr>
          <w:rFonts w:ascii="Arial" w:hAnsi="Arial" w:cs="Arial"/>
        </w:rPr>
        <w:t xml:space="preserve">, J., Shaw, S. and Morrison, C. (2020) ‘Video consultations for covid-19’, </w:t>
      </w:r>
      <w:r w:rsidRPr="009B5413">
        <w:rPr>
          <w:rStyle w:val="Emphasis"/>
          <w:rFonts w:ascii="Arial" w:hAnsi="Arial" w:cs="Arial"/>
        </w:rPr>
        <w:t>BMJ</w:t>
      </w:r>
      <w:r w:rsidRPr="009B5413">
        <w:rPr>
          <w:rFonts w:ascii="Arial" w:hAnsi="Arial" w:cs="Arial"/>
        </w:rPr>
        <w:t>, 368, m998. Available at: https://doi.org/10.1136/bmj.m998</w:t>
      </w:r>
    </w:p>
    <w:p w14:paraId="629BA0D7" w14:textId="77777777" w:rsidR="009B5413" w:rsidRPr="009B5413" w:rsidRDefault="009B5413" w:rsidP="009B5413">
      <w:pPr>
        <w:pStyle w:val="NormalWeb"/>
        <w:numPr>
          <w:ilvl w:val="0"/>
          <w:numId w:val="7"/>
        </w:numPr>
        <w:rPr>
          <w:rFonts w:ascii="Arial" w:hAnsi="Arial" w:cs="Arial"/>
        </w:rPr>
      </w:pPr>
      <w:proofErr w:type="spellStart"/>
      <w:r w:rsidRPr="009B5413">
        <w:rPr>
          <w:rFonts w:ascii="Arial" w:hAnsi="Arial" w:cs="Arial"/>
        </w:rPr>
        <w:t>Kitsiou</w:t>
      </w:r>
      <w:proofErr w:type="spellEnd"/>
      <w:r w:rsidRPr="009B5413">
        <w:rPr>
          <w:rFonts w:ascii="Arial" w:hAnsi="Arial" w:cs="Arial"/>
        </w:rPr>
        <w:t xml:space="preserve">, S., </w:t>
      </w:r>
      <w:proofErr w:type="spellStart"/>
      <w:r w:rsidRPr="009B5413">
        <w:rPr>
          <w:rFonts w:ascii="Arial" w:hAnsi="Arial" w:cs="Arial"/>
        </w:rPr>
        <w:t>Paré</w:t>
      </w:r>
      <w:proofErr w:type="spellEnd"/>
      <w:r w:rsidRPr="009B5413">
        <w:rPr>
          <w:rFonts w:ascii="Arial" w:hAnsi="Arial" w:cs="Arial"/>
        </w:rPr>
        <w:t xml:space="preserve">, G., </w:t>
      </w:r>
      <w:proofErr w:type="spellStart"/>
      <w:r w:rsidRPr="009B5413">
        <w:rPr>
          <w:rFonts w:ascii="Arial" w:hAnsi="Arial" w:cs="Arial"/>
        </w:rPr>
        <w:t>Jaana</w:t>
      </w:r>
      <w:proofErr w:type="spellEnd"/>
      <w:r w:rsidRPr="009B5413">
        <w:rPr>
          <w:rFonts w:ascii="Arial" w:hAnsi="Arial" w:cs="Arial"/>
        </w:rPr>
        <w:t xml:space="preserve">, M. and Gerber, B. (2017) ‘Effectiveness of mHealth interventions for patients with diabetes: An overview of systematic reviews’, </w:t>
      </w:r>
      <w:r w:rsidRPr="009B5413">
        <w:rPr>
          <w:rStyle w:val="Emphasis"/>
          <w:rFonts w:ascii="Arial" w:hAnsi="Arial" w:cs="Arial"/>
        </w:rPr>
        <w:t>PLoS ONE</w:t>
      </w:r>
      <w:r w:rsidRPr="009B5413">
        <w:rPr>
          <w:rFonts w:ascii="Arial" w:hAnsi="Arial" w:cs="Arial"/>
        </w:rPr>
        <w:t>, 12(3), e0173160. Available at: https://doi.org/10.1371/journal.pone.0173160</w:t>
      </w:r>
    </w:p>
    <w:p w14:paraId="07763911" w14:textId="77777777" w:rsidR="009B5413" w:rsidRPr="009B5413" w:rsidRDefault="009B5413" w:rsidP="009B5413">
      <w:pPr>
        <w:pStyle w:val="NormalWeb"/>
        <w:numPr>
          <w:ilvl w:val="0"/>
          <w:numId w:val="7"/>
        </w:numPr>
        <w:rPr>
          <w:rFonts w:ascii="Arial" w:hAnsi="Arial" w:cs="Arial"/>
        </w:rPr>
      </w:pPr>
      <w:r w:rsidRPr="009B5413">
        <w:rPr>
          <w:rFonts w:ascii="Arial" w:hAnsi="Arial" w:cs="Arial"/>
        </w:rPr>
        <w:t xml:space="preserve">Litchfield, I., Shukla, D. and Greenfield, S. (2021) ‘Impact of COVID-19 on the digital divide: a rapid review’, </w:t>
      </w:r>
      <w:r w:rsidRPr="009B5413">
        <w:rPr>
          <w:rStyle w:val="Emphasis"/>
          <w:rFonts w:ascii="Arial" w:hAnsi="Arial" w:cs="Arial"/>
        </w:rPr>
        <w:t>BMJ Open</w:t>
      </w:r>
      <w:r w:rsidRPr="009B5413">
        <w:rPr>
          <w:rFonts w:ascii="Arial" w:hAnsi="Arial" w:cs="Arial"/>
        </w:rPr>
        <w:t>, 11(10), e053440. Available at: https://doi.org/10.1136/bmjopen-2021-053440</w:t>
      </w:r>
    </w:p>
    <w:p w14:paraId="5D77F64C" w14:textId="77777777" w:rsidR="009B5413" w:rsidRPr="009B5413" w:rsidRDefault="009B5413" w:rsidP="009B5413">
      <w:pPr>
        <w:pStyle w:val="NormalWeb"/>
        <w:numPr>
          <w:ilvl w:val="0"/>
          <w:numId w:val="7"/>
        </w:numPr>
        <w:rPr>
          <w:rFonts w:ascii="Arial" w:hAnsi="Arial" w:cs="Arial"/>
        </w:rPr>
      </w:pPr>
      <w:r w:rsidRPr="009B5413">
        <w:rPr>
          <w:rFonts w:ascii="Arial" w:hAnsi="Arial" w:cs="Arial"/>
        </w:rPr>
        <w:t xml:space="preserve">NHS England (2019) </w:t>
      </w:r>
      <w:r w:rsidRPr="009B5413">
        <w:rPr>
          <w:rStyle w:val="Emphasis"/>
          <w:rFonts w:ascii="Arial" w:hAnsi="Arial" w:cs="Arial"/>
        </w:rPr>
        <w:t>The NHS Long Term Plan</w:t>
      </w:r>
      <w:r w:rsidRPr="009B5413">
        <w:rPr>
          <w:rFonts w:ascii="Arial" w:hAnsi="Arial" w:cs="Arial"/>
        </w:rPr>
        <w:t xml:space="preserve">. Available at: </w:t>
      </w:r>
      <w:hyperlink r:id="rId7" w:tgtFrame="_new" w:history="1">
        <w:r w:rsidRPr="009B5413">
          <w:rPr>
            <w:rStyle w:val="Hyperlink"/>
            <w:rFonts w:ascii="Arial" w:eastAsiaTheme="majorEastAsia" w:hAnsi="Arial" w:cs="Arial"/>
          </w:rPr>
          <w:t>https://www.longtermplan.nhs.uk/</w:t>
        </w:r>
      </w:hyperlink>
      <w:r w:rsidRPr="009B5413">
        <w:rPr>
          <w:rFonts w:ascii="Arial" w:hAnsi="Arial" w:cs="Arial"/>
        </w:rPr>
        <w:t xml:space="preserve"> (Accessed: 31 July 2026).</w:t>
      </w:r>
    </w:p>
    <w:p w14:paraId="5E30B97E" w14:textId="77777777" w:rsidR="009B5413" w:rsidRPr="009B5413" w:rsidRDefault="009B5413" w:rsidP="009B5413">
      <w:pPr>
        <w:pStyle w:val="NormalWeb"/>
        <w:numPr>
          <w:ilvl w:val="0"/>
          <w:numId w:val="7"/>
        </w:numPr>
        <w:rPr>
          <w:rFonts w:ascii="Arial" w:hAnsi="Arial" w:cs="Arial"/>
        </w:rPr>
      </w:pPr>
      <w:r w:rsidRPr="009B5413">
        <w:rPr>
          <w:rFonts w:ascii="Arial" w:hAnsi="Arial" w:cs="Arial"/>
        </w:rPr>
        <w:t xml:space="preserve">NHS England (2022) </w:t>
      </w:r>
      <w:r w:rsidRPr="009B5413">
        <w:rPr>
          <w:rStyle w:val="Emphasis"/>
          <w:rFonts w:ascii="Arial" w:hAnsi="Arial" w:cs="Arial"/>
        </w:rPr>
        <w:t>A plan for digital health and social care</w:t>
      </w:r>
      <w:r w:rsidRPr="009B5413">
        <w:rPr>
          <w:rFonts w:ascii="Arial" w:hAnsi="Arial" w:cs="Arial"/>
        </w:rPr>
        <w:t xml:space="preserve">. Available at: </w:t>
      </w:r>
      <w:hyperlink r:id="rId8" w:tgtFrame="_new" w:history="1">
        <w:r w:rsidRPr="009B5413">
          <w:rPr>
            <w:rStyle w:val="Hyperlink"/>
            <w:rFonts w:ascii="Arial" w:eastAsiaTheme="majorEastAsia" w:hAnsi="Arial" w:cs="Arial"/>
          </w:rPr>
          <w:t>https://www.gov.uk/government/publications/a-plan-for-digital-health-and-social-care</w:t>
        </w:r>
      </w:hyperlink>
      <w:r w:rsidRPr="009B5413">
        <w:rPr>
          <w:rFonts w:ascii="Arial" w:hAnsi="Arial" w:cs="Arial"/>
        </w:rPr>
        <w:t xml:space="preserve"> (Accessed: 31 July 2026).</w:t>
      </w:r>
    </w:p>
    <w:p w14:paraId="0E490898" w14:textId="77777777" w:rsidR="009B5413" w:rsidRPr="009B5413" w:rsidRDefault="009B5413" w:rsidP="009B5413">
      <w:pPr>
        <w:pStyle w:val="NormalWeb"/>
        <w:numPr>
          <w:ilvl w:val="0"/>
          <w:numId w:val="7"/>
        </w:numPr>
        <w:rPr>
          <w:rFonts w:ascii="Arial" w:hAnsi="Arial" w:cs="Arial"/>
        </w:rPr>
      </w:pPr>
      <w:r w:rsidRPr="009B5413">
        <w:rPr>
          <w:rFonts w:ascii="Arial" w:hAnsi="Arial" w:cs="Arial"/>
        </w:rPr>
        <w:t xml:space="preserve">NHS England (2023) </w:t>
      </w:r>
      <w:r w:rsidRPr="009B5413">
        <w:rPr>
          <w:rStyle w:val="Emphasis"/>
          <w:rFonts w:ascii="Arial" w:hAnsi="Arial" w:cs="Arial"/>
        </w:rPr>
        <w:t>Digital transformation in the NHS</w:t>
      </w:r>
      <w:r w:rsidRPr="009B5413">
        <w:rPr>
          <w:rFonts w:ascii="Arial" w:hAnsi="Arial" w:cs="Arial"/>
        </w:rPr>
        <w:t xml:space="preserve">. Available at: </w:t>
      </w:r>
      <w:hyperlink r:id="rId9" w:tgtFrame="_new" w:history="1">
        <w:r w:rsidRPr="009B5413">
          <w:rPr>
            <w:rStyle w:val="Hyperlink"/>
            <w:rFonts w:ascii="Arial" w:eastAsiaTheme="majorEastAsia" w:hAnsi="Arial" w:cs="Arial"/>
          </w:rPr>
          <w:t>https://www.england.nhs.uk/digitaltechnology/</w:t>
        </w:r>
      </w:hyperlink>
      <w:r w:rsidRPr="009B5413">
        <w:rPr>
          <w:rFonts w:ascii="Arial" w:hAnsi="Arial" w:cs="Arial"/>
        </w:rPr>
        <w:t xml:space="preserve"> (Accessed: 31 July 2026).</w:t>
      </w:r>
    </w:p>
    <w:p w14:paraId="22DB5F53" w14:textId="77777777" w:rsidR="009B5413" w:rsidRPr="009B5413" w:rsidRDefault="009B5413" w:rsidP="009B5413">
      <w:pPr>
        <w:pStyle w:val="NormalWeb"/>
        <w:numPr>
          <w:ilvl w:val="0"/>
          <w:numId w:val="7"/>
        </w:numPr>
        <w:rPr>
          <w:rFonts w:ascii="Arial" w:hAnsi="Arial" w:cs="Arial"/>
        </w:rPr>
      </w:pPr>
      <w:r w:rsidRPr="009B5413">
        <w:rPr>
          <w:rFonts w:ascii="Arial" w:hAnsi="Arial" w:cs="Arial"/>
        </w:rPr>
        <w:t xml:space="preserve">Nouri, S., </w:t>
      </w:r>
      <w:proofErr w:type="spellStart"/>
      <w:r w:rsidRPr="009B5413">
        <w:rPr>
          <w:rFonts w:ascii="Arial" w:hAnsi="Arial" w:cs="Arial"/>
        </w:rPr>
        <w:t>Khoong</w:t>
      </w:r>
      <w:proofErr w:type="spellEnd"/>
      <w:r w:rsidRPr="009B5413">
        <w:rPr>
          <w:rFonts w:ascii="Arial" w:hAnsi="Arial" w:cs="Arial"/>
        </w:rPr>
        <w:t xml:space="preserve">, E.C., Lyles, C.R. and </w:t>
      </w:r>
      <w:proofErr w:type="spellStart"/>
      <w:r w:rsidRPr="009B5413">
        <w:rPr>
          <w:rFonts w:ascii="Arial" w:hAnsi="Arial" w:cs="Arial"/>
        </w:rPr>
        <w:t>Karliner</w:t>
      </w:r>
      <w:proofErr w:type="spellEnd"/>
      <w:r w:rsidRPr="009B5413">
        <w:rPr>
          <w:rFonts w:ascii="Arial" w:hAnsi="Arial" w:cs="Arial"/>
        </w:rPr>
        <w:t xml:space="preserve">, L. (2020) ‘Addressing equity in telemedicine for chronic disease management during the COVID-19 pandemic’, </w:t>
      </w:r>
      <w:r w:rsidRPr="009B5413">
        <w:rPr>
          <w:rStyle w:val="Emphasis"/>
          <w:rFonts w:ascii="Arial" w:hAnsi="Arial" w:cs="Arial"/>
        </w:rPr>
        <w:t>NEJM Catalyst</w:t>
      </w:r>
      <w:r w:rsidRPr="009B5413">
        <w:rPr>
          <w:rFonts w:ascii="Arial" w:hAnsi="Arial" w:cs="Arial"/>
        </w:rPr>
        <w:t xml:space="preserve">. Available at: </w:t>
      </w:r>
      <w:hyperlink r:id="rId10" w:tgtFrame="_new" w:history="1">
        <w:r w:rsidRPr="009B5413">
          <w:rPr>
            <w:rStyle w:val="Hyperlink"/>
            <w:rFonts w:ascii="Arial" w:eastAsiaTheme="majorEastAsia" w:hAnsi="Arial" w:cs="Arial"/>
          </w:rPr>
          <w:t>https://catalyst.nejm.org/doi/full/10.1056/CAT.20.0123</w:t>
        </w:r>
      </w:hyperlink>
    </w:p>
    <w:p w14:paraId="54E4BE28" w14:textId="77777777" w:rsidR="009B5413" w:rsidRPr="009B5413" w:rsidRDefault="009B5413" w:rsidP="009B5413">
      <w:pPr>
        <w:pStyle w:val="NormalWeb"/>
        <w:numPr>
          <w:ilvl w:val="0"/>
          <w:numId w:val="7"/>
        </w:numPr>
        <w:rPr>
          <w:rFonts w:ascii="Arial" w:hAnsi="Arial" w:cs="Arial"/>
        </w:rPr>
      </w:pPr>
      <w:r w:rsidRPr="009B5413">
        <w:rPr>
          <w:rFonts w:ascii="Arial" w:hAnsi="Arial" w:cs="Arial"/>
        </w:rPr>
        <w:t xml:space="preserve">Peek, N., </w:t>
      </w:r>
      <w:proofErr w:type="spellStart"/>
      <w:r w:rsidRPr="009B5413">
        <w:rPr>
          <w:rFonts w:ascii="Arial" w:hAnsi="Arial" w:cs="Arial"/>
        </w:rPr>
        <w:t>Sujan</w:t>
      </w:r>
      <w:proofErr w:type="spellEnd"/>
      <w:r w:rsidRPr="009B5413">
        <w:rPr>
          <w:rFonts w:ascii="Arial" w:hAnsi="Arial" w:cs="Arial"/>
        </w:rPr>
        <w:t xml:space="preserve">, M. and Scott, P. (2021) ‘Digital health and care: current and future directions’, </w:t>
      </w:r>
      <w:r w:rsidRPr="009B5413">
        <w:rPr>
          <w:rStyle w:val="Emphasis"/>
          <w:rFonts w:ascii="Arial" w:hAnsi="Arial" w:cs="Arial"/>
        </w:rPr>
        <w:t>BMJ</w:t>
      </w:r>
      <w:r w:rsidRPr="009B5413">
        <w:rPr>
          <w:rFonts w:ascii="Arial" w:hAnsi="Arial" w:cs="Arial"/>
        </w:rPr>
        <w:t>, 373, n1688. Available at: https://doi.org/10.1136/bmj.n1688</w:t>
      </w:r>
    </w:p>
    <w:p w14:paraId="665FD78D" w14:textId="77777777" w:rsidR="009B5413" w:rsidRPr="009B5413" w:rsidRDefault="009B5413" w:rsidP="009B5413">
      <w:pPr>
        <w:pStyle w:val="NormalWeb"/>
        <w:numPr>
          <w:ilvl w:val="0"/>
          <w:numId w:val="7"/>
        </w:numPr>
        <w:rPr>
          <w:rFonts w:ascii="Arial" w:hAnsi="Arial" w:cs="Arial"/>
        </w:rPr>
      </w:pPr>
      <w:r w:rsidRPr="009B5413">
        <w:rPr>
          <w:rFonts w:ascii="Arial" w:hAnsi="Arial" w:cs="Arial"/>
        </w:rPr>
        <w:t xml:space="preserve">Peters, M.D.J., Godfrey, C., </w:t>
      </w:r>
      <w:proofErr w:type="spellStart"/>
      <w:r w:rsidRPr="009B5413">
        <w:rPr>
          <w:rFonts w:ascii="Arial" w:hAnsi="Arial" w:cs="Arial"/>
        </w:rPr>
        <w:t>McInerney</w:t>
      </w:r>
      <w:proofErr w:type="spellEnd"/>
      <w:r w:rsidRPr="009B5413">
        <w:rPr>
          <w:rFonts w:ascii="Arial" w:hAnsi="Arial" w:cs="Arial"/>
        </w:rPr>
        <w:t xml:space="preserve">, P., Munn, Z., </w:t>
      </w:r>
      <w:proofErr w:type="spellStart"/>
      <w:r w:rsidRPr="009B5413">
        <w:rPr>
          <w:rFonts w:ascii="Arial" w:hAnsi="Arial" w:cs="Arial"/>
        </w:rPr>
        <w:t>Tricco</w:t>
      </w:r>
      <w:proofErr w:type="spellEnd"/>
      <w:r w:rsidRPr="009B5413">
        <w:rPr>
          <w:rFonts w:ascii="Arial" w:hAnsi="Arial" w:cs="Arial"/>
        </w:rPr>
        <w:t xml:space="preserve">, A.C. and Khalil, H. (2020) ‘Chapter 11: Scoping reviews’, in </w:t>
      </w:r>
      <w:proofErr w:type="spellStart"/>
      <w:r w:rsidRPr="009B5413">
        <w:rPr>
          <w:rFonts w:ascii="Arial" w:hAnsi="Arial" w:cs="Arial"/>
        </w:rPr>
        <w:t>Aromataris</w:t>
      </w:r>
      <w:proofErr w:type="spellEnd"/>
      <w:r w:rsidRPr="009B5413">
        <w:rPr>
          <w:rFonts w:ascii="Arial" w:hAnsi="Arial" w:cs="Arial"/>
        </w:rPr>
        <w:t xml:space="preserve">, E. and Munn, Z. (eds.) </w:t>
      </w:r>
      <w:r w:rsidRPr="009B5413">
        <w:rPr>
          <w:rStyle w:val="Emphasis"/>
          <w:rFonts w:ascii="Arial" w:hAnsi="Arial" w:cs="Arial"/>
        </w:rPr>
        <w:t>JBI Manual for Evidence Synthesis</w:t>
      </w:r>
      <w:r w:rsidRPr="009B5413">
        <w:rPr>
          <w:rFonts w:ascii="Arial" w:hAnsi="Arial" w:cs="Arial"/>
        </w:rPr>
        <w:t xml:space="preserve">. Adelaide: Joanna Briggs Institute. Available at: </w:t>
      </w:r>
      <w:hyperlink r:id="rId11" w:tgtFrame="_new" w:history="1">
        <w:r w:rsidRPr="009B5413">
          <w:rPr>
            <w:rStyle w:val="Hyperlink"/>
            <w:rFonts w:ascii="Arial" w:eastAsiaTheme="majorEastAsia" w:hAnsi="Arial" w:cs="Arial"/>
          </w:rPr>
          <w:t>https://doi.org/10.46658/JBIMES-20-12</w:t>
        </w:r>
      </w:hyperlink>
    </w:p>
    <w:p w14:paraId="05DD1FF5" w14:textId="77777777" w:rsidR="009B5413" w:rsidRPr="009B5413" w:rsidRDefault="009B5413" w:rsidP="009B5413">
      <w:pPr>
        <w:pStyle w:val="NormalWeb"/>
        <w:numPr>
          <w:ilvl w:val="0"/>
          <w:numId w:val="7"/>
        </w:numPr>
        <w:rPr>
          <w:rFonts w:ascii="Arial" w:hAnsi="Arial" w:cs="Arial"/>
        </w:rPr>
      </w:pPr>
      <w:proofErr w:type="spellStart"/>
      <w:r w:rsidRPr="009B5413">
        <w:rPr>
          <w:rFonts w:ascii="Arial" w:hAnsi="Arial" w:cs="Arial"/>
        </w:rPr>
        <w:t>Tricco</w:t>
      </w:r>
      <w:proofErr w:type="spellEnd"/>
      <w:r w:rsidRPr="009B5413">
        <w:rPr>
          <w:rFonts w:ascii="Arial" w:hAnsi="Arial" w:cs="Arial"/>
        </w:rPr>
        <w:t xml:space="preserve">, A.C., Lillie, E., </w:t>
      </w:r>
      <w:proofErr w:type="spellStart"/>
      <w:r w:rsidRPr="009B5413">
        <w:rPr>
          <w:rFonts w:ascii="Arial" w:hAnsi="Arial" w:cs="Arial"/>
        </w:rPr>
        <w:t>Zarin</w:t>
      </w:r>
      <w:proofErr w:type="spellEnd"/>
      <w:r w:rsidRPr="009B5413">
        <w:rPr>
          <w:rFonts w:ascii="Arial" w:hAnsi="Arial" w:cs="Arial"/>
        </w:rPr>
        <w:t xml:space="preserve">, W., O’Brien, K.K., Colquhoun, H., </w:t>
      </w:r>
      <w:proofErr w:type="spellStart"/>
      <w:r w:rsidRPr="009B5413">
        <w:rPr>
          <w:rFonts w:ascii="Arial" w:hAnsi="Arial" w:cs="Arial"/>
        </w:rPr>
        <w:t>Levac</w:t>
      </w:r>
      <w:proofErr w:type="spellEnd"/>
      <w:r w:rsidRPr="009B5413">
        <w:rPr>
          <w:rFonts w:ascii="Arial" w:hAnsi="Arial" w:cs="Arial"/>
        </w:rPr>
        <w:t xml:space="preserve">, D., Moher, D., Peters, M.D.J., Horsley, T., Weeks, L., Hempel, S., </w:t>
      </w:r>
      <w:proofErr w:type="spellStart"/>
      <w:r w:rsidRPr="009B5413">
        <w:rPr>
          <w:rFonts w:ascii="Arial" w:hAnsi="Arial" w:cs="Arial"/>
        </w:rPr>
        <w:t>Akl</w:t>
      </w:r>
      <w:proofErr w:type="spellEnd"/>
      <w:r w:rsidRPr="009B5413">
        <w:rPr>
          <w:rFonts w:ascii="Arial" w:hAnsi="Arial" w:cs="Arial"/>
        </w:rPr>
        <w:t xml:space="preserve">, E.A., Chang, C., McGowan, J., Stewart, L., </w:t>
      </w:r>
      <w:proofErr w:type="spellStart"/>
      <w:r w:rsidRPr="009B5413">
        <w:rPr>
          <w:rFonts w:ascii="Arial" w:hAnsi="Arial" w:cs="Arial"/>
        </w:rPr>
        <w:t>Hartling</w:t>
      </w:r>
      <w:proofErr w:type="spellEnd"/>
      <w:r w:rsidRPr="009B5413">
        <w:rPr>
          <w:rFonts w:ascii="Arial" w:hAnsi="Arial" w:cs="Arial"/>
        </w:rPr>
        <w:t xml:space="preserve">, L., </w:t>
      </w:r>
      <w:proofErr w:type="spellStart"/>
      <w:r w:rsidRPr="009B5413">
        <w:rPr>
          <w:rFonts w:ascii="Arial" w:hAnsi="Arial" w:cs="Arial"/>
        </w:rPr>
        <w:t>Aldcroft</w:t>
      </w:r>
      <w:proofErr w:type="spellEnd"/>
      <w:r w:rsidRPr="009B5413">
        <w:rPr>
          <w:rFonts w:ascii="Arial" w:hAnsi="Arial" w:cs="Arial"/>
        </w:rPr>
        <w:t xml:space="preserve">, A., Wilson, M.G., </w:t>
      </w:r>
      <w:proofErr w:type="spellStart"/>
      <w:r w:rsidRPr="009B5413">
        <w:rPr>
          <w:rFonts w:ascii="Arial" w:hAnsi="Arial" w:cs="Arial"/>
        </w:rPr>
        <w:t>Garritty</w:t>
      </w:r>
      <w:proofErr w:type="spellEnd"/>
      <w:r w:rsidRPr="009B5413">
        <w:rPr>
          <w:rFonts w:ascii="Arial" w:hAnsi="Arial" w:cs="Arial"/>
        </w:rPr>
        <w:t xml:space="preserve">, C., Lewin, S., Godfrey, C.M., </w:t>
      </w:r>
      <w:proofErr w:type="spellStart"/>
      <w:r w:rsidRPr="009B5413">
        <w:rPr>
          <w:rFonts w:ascii="Arial" w:hAnsi="Arial" w:cs="Arial"/>
        </w:rPr>
        <w:t>Macdonald</w:t>
      </w:r>
      <w:proofErr w:type="spellEnd"/>
      <w:r w:rsidRPr="009B5413">
        <w:rPr>
          <w:rFonts w:ascii="Arial" w:hAnsi="Arial" w:cs="Arial"/>
        </w:rPr>
        <w:t xml:space="preserve">, M.T., Langlois, E.V., </w:t>
      </w:r>
      <w:proofErr w:type="spellStart"/>
      <w:r w:rsidRPr="009B5413">
        <w:rPr>
          <w:rFonts w:ascii="Arial" w:hAnsi="Arial" w:cs="Arial"/>
        </w:rPr>
        <w:t>Soares-Weiser</w:t>
      </w:r>
      <w:proofErr w:type="spellEnd"/>
      <w:r w:rsidRPr="009B5413">
        <w:rPr>
          <w:rFonts w:ascii="Arial" w:hAnsi="Arial" w:cs="Arial"/>
        </w:rPr>
        <w:t xml:space="preserve">, K., Moriarty, J., Clifford, T., </w:t>
      </w:r>
      <w:proofErr w:type="spellStart"/>
      <w:r w:rsidRPr="009B5413">
        <w:rPr>
          <w:rFonts w:ascii="Arial" w:hAnsi="Arial" w:cs="Arial"/>
        </w:rPr>
        <w:t>Tunçalp</w:t>
      </w:r>
      <w:proofErr w:type="spellEnd"/>
      <w:r w:rsidRPr="009B5413">
        <w:rPr>
          <w:rFonts w:ascii="Arial" w:hAnsi="Arial" w:cs="Arial"/>
        </w:rPr>
        <w:t xml:space="preserve">, Ö. and Straus, S.E. (2018) ‘PRISMA extension for scoping reviews (PRISMA-ScR): checklist and explanation’, </w:t>
      </w:r>
      <w:r w:rsidRPr="009B5413">
        <w:rPr>
          <w:rStyle w:val="Emphasis"/>
          <w:rFonts w:ascii="Arial" w:hAnsi="Arial" w:cs="Arial"/>
        </w:rPr>
        <w:t>Annals of Internal Medicine</w:t>
      </w:r>
      <w:r w:rsidRPr="009B5413">
        <w:rPr>
          <w:rFonts w:ascii="Arial" w:hAnsi="Arial" w:cs="Arial"/>
        </w:rPr>
        <w:t xml:space="preserve">, 169(7), pp. 467–473. Available at: </w:t>
      </w:r>
      <w:hyperlink r:id="rId12" w:tgtFrame="_new" w:history="1">
        <w:r w:rsidRPr="009B5413">
          <w:rPr>
            <w:rStyle w:val="Hyperlink"/>
            <w:rFonts w:ascii="Arial" w:eastAsiaTheme="majorEastAsia" w:hAnsi="Arial" w:cs="Arial"/>
          </w:rPr>
          <w:t>https://doi.org/10.7326/M18-0850</w:t>
        </w:r>
      </w:hyperlink>
    </w:p>
    <w:p w14:paraId="0F1FA46B" w14:textId="77777777" w:rsidR="009B5413" w:rsidRPr="009B5413" w:rsidRDefault="009B5413" w:rsidP="009B5413">
      <w:pPr>
        <w:pStyle w:val="NormalWeb"/>
        <w:numPr>
          <w:ilvl w:val="0"/>
          <w:numId w:val="7"/>
        </w:numPr>
        <w:rPr>
          <w:rFonts w:ascii="Arial" w:hAnsi="Arial" w:cs="Arial"/>
        </w:rPr>
      </w:pPr>
      <w:proofErr w:type="spellStart"/>
      <w:r w:rsidRPr="009B5413">
        <w:rPr>
          <w:rFonts w:ascii="Arial" w:hAnsi="Arial" w:cs="Arial"/>
        </w:rPr>
        <w:t>Wherton</w:t>
      </w:r>
      <w:proofErr w:type="spellEnd"/>
      <w:r w:rsidRPr="009B5413">
        <w:rPr>
          <w:rFonts w:ascii="Arial" w:hAnsi="Arial" w:cs="Arial"/>
        </w:rPr>
        <w:t xml:space="preserve">, J., </w:t>
      </w:r>
      <w:proofErr w:type="spellStart"/>
      <w:r w:rsidRPr="009B5413">
        <w:rPr>
          <w:rFonts w:ascii="Arial" w:hAnsi="Arial" w:cs="Arial"/>
        </w:rPr>
        <w:t>Greenhalgh</w:t>
      </w:r>
      <w:proofErr w:type="spellEnd"/>
      <w:r w:rsidRPr="009B5413">
        <w:rPr>
          <w:rFonts w:ascii="Arial" w:hAnsi="Arial" w:cs="Arial"/>
        </w:rPr>
        <w:t xml:space="preserve">, T., Shaw, S.E., </w:t>
      </w:r>
      <w:proofErr w:type="spellStart"/>
      <w:r w:rsidRPr="009B5413">
        <w:rPr>
          <w:rFonts w:ascii="Arial" w:hAnsi="Arial" w:cs="Arial"/>
        </w:rPr>
        <w:t>Papoutsi</w:t>
      </w:r>
      <w:proofErr w:type="spellEnd"/>
      <w:r w:rsidRPr="009B5413">
        <w:rPr>
          <w:rFonts w:ascii="Arial" w:hAnsi="Arial" w:cs="Arial"/>
        </w:rPr>
        <w:t xml:space="preserve">, C., </w:t>
      </w:r>
      <w:proofErr w:type="spellStart"/>
      <w:r w:rsidRPr="009B5413">
        <w:rPr>
          <w:rFonts w:ascii="Arial" w:hAnsi="Arial" w:cs="Arial"/>
        </w:rPr>
        <w:t>Vijayaraghavan</w:t>
      </w:r>
      <w:proofErr w:type="spellEnd"/>
      <w:r w:rsidRPr="009B5413">
        <w:rPr>
          <w:rFonts w:ascii="Arial" w:hAnsi="Arial" w:cs="Arial"/>
        </w:rPr>
        <w:t xml:space="preserve">, S., Stones, R., Hughes, G., A’Court, C., Hotham, S., Shaw, J., </w:t>
      </w:r>
      <w:proofErr w:type="spellStart"/>
      <w:r w:rsidRPr="009B5413">
        <w:rPr>
          <w:rFonts w:ascii="Arial" w:hAnsi="Arial" w:cs="Arial"/>
        </w:rPr>
        <w:t>Morriss</w:t>
      </w:r>
      <w:proofErr w:type="spellEnd"/>
      <w:r w:rsidRPr="009B5413">
        <w:rPr>
          <w:rFonts w:ascii="Arial" w:hAnsi="Arial" w:cs="Arial"/>
        </w:rPr>
        <w:t xml:space="preserve">, R. and Barnett, J. (2020) ‘Expanding video consultation services at pace and scale in Scotland during the COVID-19 pandemic: national survey and qualitative interview study’, </w:t>
      </w:r>
      <w:r w:rsidRPr="009B5413">
        <w:rPr>
          <w:rStyle w:val="Emphasis"/>
          <w:rFonts w:ascii="Arial" w:hAnsi="Arial" w:cs="Arial"/>
        </w:rPr>
        <w:t>Journal of Medical Internet Research</w:t>
      </w:r>
      <w:r w:rsidRPr="009B5413">
        <w:rPr>
          <w:rFonts w:ascii="Arial" w:hAnsi="Arial" w:cs="Arial"/>
        </w:rPr>
        <w:t xml:space="preserve">, 22(10), e21380. Available at: </w:t>
      </w:r>
      <w:hyperlink r:id="rId13" w:tgtFrame="_new" w:history="1">
        <w:r w:rsidRPr="009B5413">
          <w:rPr>
            <w:rStyle w:val="Hyperlink"/>
            <w:rFonts w:ascii="Arial" w:eastAsiaTheme="majorEastAsia" w:hAnsi="Arial" w:cs="Arial"/>
          </w:rPr>
          <w:t>https://doi.org/10.2196/21380</w:t>
        </w:r>
      </w:hyperlink>
    </w:p>
    <w:p w14:paraId="4BF34901" w14:textId="77777777" w:rsidR="009B5413" w:rsidRPr="009B5413" w:rsidRDefault="009B5413" w:rsidP="009B5413">
      <w:pPr>
        <w:pStyle w:val="NormalWeb"/>
        <w:numPr>
          <w:ilvl w:val="0"/>
          <w:numId w:val="7"/>
        </w:numPr>
        <w:rPr>
          <w:rFonts w:ascii="Arial" w:hAnsi="Arial" w:cs="Arial"/>
        </w:rPr>
      </w:pPr>
      <w:r w:rsidRPr="009B5413">
        <w:rPr>
          <w:rFonts w:ascii="Arial" w:hAnsi="Arial" w:cs="Arial"/>
        </w:rPr>
        <w:t xml:space="preserve">World Health Organization (2021) </w:t>
      </w:r>
      <w:r w:rsidRPr="009B5413">
        <w:rPr>
          <w:rStyle w:val="Emphasis"/>
          <w:rFonts w:ascii="Arial" w:hAnsi="Arial" w:cs="Arial"/>
        </w:rPr>
        <w:t>Global strategy on digital health 2020–2025</w:t>
      </w:r>
      <w:r w:rsidRPr="009B5413">
        <w:rPr>
          <w:rFonts w:ascii="Arial" w:hAnsi="Arial" w:cs="Arial"/>
        </w:rPr>
        <w:t xml:space="preserve">. Geneva: World Health Organization. Available at: </w:t>
      </w:r>
      <w:hyperlink r:id="rId14" w:tgtFrame="_new" w:history="1">
        <w:r w:rsidRPr="009B5413">
          <w:rPr>
            <w:rStyle w:val="Hyperlink"/>
            <w:rFonts w:ascii="Arial" w:eastAsiaTheme="majorEastAsia" w:hAnsi="Arial" w:cs="Arial"/>
          </w:rPr>
          <w:t>https://www.who.int/publications/i/item/9789240020924</w:t>
        </w:r>
      </w:hyperlink>
    </w:p>
    <w:p w14:paraId="4F4484AD" w14:textId="77777777" w:rsidR="009B5413" w:rsidRPr="009B5413" w:rsidRDefault="009B5413" w:rsidP="009B5413">
      <w:pPr>
        <w:pStyle w:val="NormalWeb"/>
        <w:spacing w:line="360" w:lineRule="auto"/>
        <w:jc w:val="both"/>
        <w:rPr>
          <w:rFonts w:ascii="Arial" w:hAnsi="Arial" w:cs="Arial"/>
        </w:rPr>
      </w:pPr>
    </w:p>
    <w:p w14:paraId="12A2CE79" w14:textId="77777777" w:rsidR="00921625" w:rsidRPr="009B5413" w:rsidRDefault="00921625" w:rsidP="009B5413">
      <w:pPr>
        <w:spacing w:line="360" w:lineRule="auto"/>
        <w:jc w:val="both"/>
        <w:rPr>
          <w:rFonts w:ascii="Arial" w:hAnsi="Arial" w:cs="Arial"/>
          <w:sz w:val="24"/>
          <w:szCs w:val="24"/>
        </w:rPr>
      </w:pPr>
    </w:p>
    <w:sectPr w:rsidR="00921625" w:rsidRPr="009B5413" w:rsidSect="00B44C48">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87BFE"/>
    <w:multiLevelType w:val="multilevel"/>
    <w:tmpl w:val="2CD2B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F73B63"/>
    <w:multiLevelType w:val="multilevel"/>
    <w:tmpl w:val="1D465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0266D5"/>
    <w:multiLevelType w:val="multilevel"/>
    <w:tmpl w:val="6A42D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0B74ED"/>
    <w:multiLevelType w:val="multilevel"/>
    <w:tmpl w:val="DF36D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D5100B"/>
    <w:multiLevelType w:val="hybridMultilevel"/>
    <w:tmpl w:val="515CC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D7500A"/>
    <w:multiLevelType w:val="multilevel"/>
    <w:tmpl w:val="9FDE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4E1F4D"/>
    <w:multiLevelType w:val="multilevel"/>
    <w:tmpl w:val="1334F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2806023">
    <w:abstractNumId w:val="3"/>
  </w:num>
  <w:num w:numId="2" w16cid:durableId="16339">
    <w:abstractNumId w:val="1"/>
  </w:num>
  <w:num w:numId="3" w16cid:durableId="259724957">
    <w:abstractNumId w:val="5"/>
  </w:num>
  <w:num w:numId="4" w16cid:durableId="719551192">
    <w:abstractNumId w:val="0"/>
  </w:num>
  <w:num w:numId="5" w16cid:durableId="2084183978">
    <w:abstractNumId w:val="2"/>
  </w:num>
  <w:num w:numId="6" w16cid:durableId="1499232609">
    <w:abstractNumId w:val="6"/>
  </w:num>
  <w:num w:numId="7" w16cid:durableId="12495407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413"/>
    <w:rsid w:val="00296D5E"/>
    <w:rsid w:val="00425CC9"/>
    <w:rsid w:val="00531CC0"/>
    <w:rsid w:val="00540A10"/>
    <w:rsid w:val="00921625"/>
    <w:rsid w:val="009B5413"/>
    <w:rsid w:val="00B44C48"/>
    <w:rsid w:val="00BD2DB9"/>
    <w:rsid w:val="00CE2D24"/>
    <w:rsid w:val="00EE58A3"/>
    <w:rsid w:val="00EF289F"/>
    <w:rsid w:val="00F76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AA6DA20"/>
  <w15:chartTrackingRefBased/>
  <w15:docId w15:val="{4E1E7AA1-90EE-4552-8775-9242FD0F5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96D5E"/>
    <w:pPr>
      <w:spacing w:before="100" w:beforeAutospacing="1" w:after="100" w:afterAutospacing="1" w:line="240" w:lineRule="auto"/>
      <w:outlineLvl w:val="0"/>
    </w:pPr>
    <w:rPr>
      <w:rFonts w:ascii="Arial" w:eastAsia="Times New Roman" w:hAnsi="Arial" w:cs="Times New Roman"/>
      <w:b/>
      <w:bCs/>
      <w:kern w:val="36"/>
      <w:sz w:val="28"/>
      <w:szCs w:val="48"/>
      <w:lang w:eastAsia="en-GB"/>
    </w:rPr>
  </w:style>
  <w:style w:type="paragraph" w:styleId="Heading2">
    <w:name w:val="heading 2"/>
    <w:basedOn w:val="Normal"/>
    <w:link w:val="Heading2Char"/>
    <w:uiPriority w:val="9"/>
    <w:qFormat/>
    <w:rsid w:val="009B541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B541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D5E"/>
    <w:rPr>
      <w:rFonts w:ascii="Arial" w:eastAsia="Times New Roman" w:hAnsi="Arial" w:cs="Times New Roman"/>
      <w:b/>
      <w:bCs/>
      <w:kern w:val="36"/>
      <w:sz w:val="28"/>
      <w:szCs w:val="48"/>
      <w:lang w:eastAsia="en-GB"/>
    </w:rPr>
  </w:style>
  <w:style w:type="character" w:customStyle="1" w:styleId="Heading2Char">
    <w:name w:val="Heading 2 Char"/>
    <w:basedOn w:val="DefaultParagraphFont"/>
    <w:link w:val="Heading2"/>
    <w:uiPriority w:val="9"/>
    <w:rsid w:val="009B541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9B54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B5413"/>
    <w:rPr>
      <w:b/>
      <w:bCs/>
    </w:rPr>
  </w:style>
  <w:style w:type="character" w:customStyle="1" w:styleId="Heading3Char">
    <w:name w:val="Heading 3 Char"/>
    <w:basedOn w:val="DefaultParagraphFont"/>
    <w:link w:val="Heading3"/>
    <w:uiPriority w:val="9"/>
    <w:semiHidden/>
    <w:rsid w:val="009B5413"/>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9B54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B5413"/>
    <w:rPr>
      <w:i/>
      <w:iCs/>
    </w:rPr>
  </w:style>
  <w:style w:type="character" w:styleId="Hyperlink">
    <w:name w:val="Hyperlink"/>
    <w:basedOn w:val="DefaultParagraphFont"/>
    <w:uiPriority w:val="99"/>
    <w:unhideWhenUsed/>
    <w:rsid w:val="009B5413"/>
    <w:rPr>
      <w:color w:val="0000FF"/>
      <w:u w:val="single"/>
    </w:rPr>
  </w:style>
  <w:style w:type="paragraph" w:styleId="TOCHeading">
    <w:name w:val="TOC Heading"/>
    <w:basedOn w:val="Heading1"/>
    <w:next w:val="Normal"/>
    <w:uiPriority w:val="39"/>
    <w:unhideWhenUsed/>
    <w:qFormat/>
    <w:rsid w:val="009B541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9B5413"/>
    <w:pPr>
      <w:spacing w:after="100"/>
    </w:pPr>
  </w:style>
  <w:style w:type="paragraph" w:styleId="TOC2">
    <w:name w:val="toc 2"/>
    <w:basedOn w:val="Normal"/>
    <w:next w:val="Normal"/>
    <w:autoRedefine/>
    <w:uiPriority w:val="39"/>
    <w:unhideWhenUsed/>
    <w:rsid w:val="009B5413"/>
    <w:pPr>
      <w:spacing w:after="100"/>
      <w:ind w:left="220"/>
    </w:pPr>
  </w:style>
  <w:style w:type="paragraph" w:styleId="TOC3">
    <w:name w:val="toc 3"/>
    <w:basedOn w:val="Normal"/>
    <w:next w:val="Normal"/>
    <w:autoRedefine/>
    <w:uiPriority w:val="39"/>
    <w:unhideWhenUsed/>
    <w:rsid w:val="009B5413"/>
    <w:pPr>
      <w:spacing w:after="100"/>
      <w:ind w:left="440"/>
    </w:pPr>
  </w:style>
  <w:style w:type="character" w:styleId="FollowedHyperlink">
    <w:name w:val="FollowedHyperlink"/>
    <w:basedOn w:val="DefaultParagraphFont"/>
    <w:uiPriority w:val="99"/>
    <w:semiHidden/>
    <w:unhideWhenUsed/>
    <w:rsid w:val="00EE58A3"/>
    <w:rPr>
      <w:color w:val="954F72" w:themeColor="followedHyperlink"/>
      <w:u w:val="single"/>
    </w:rPr>
  </w:style>
  <w:style w:type="character" w:customStyle="1" w:styleId="s1">
    <w:name w:val="s1"/>
    <w:basedOn w:val="DefaultParagraphFont"/>
    <w:rsid w:val="00EF289F"/>
  </w:style>
  <w:style w:type="paragraph" w:customStyle="1" w:styleId="p2">
    <w:name w:val="p2"/>
    <w:basedOn w:val="Normal"/>
    <w:rsid w:val="00EF289F"/>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p3">
    <w:name w:val="p3"/>
    <w:basedOn w:val="Normal"/>
    <w:rsid w:val="00EF289F"/>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EF289F"/>
  </w:style>
  <w:style w:type="paragraph" w:customStyle="1" w:styleId="p4">
    <w:name w:val="p4"/>
    <w:basedOn w:val="Normal"/>
    <w:rsid w:val="00EF289F"/>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334345">
      <w:bodyDiv w:val="1"/>
      <w:marLeft w:val="0"/>
      <w:marRight w:val="0"/>
      <w:marTop w:val="0"/>
      <w:marBottom w:val="0"/>
      <w:divBdr>
        <w:top w:val="none" w:sz="0" w:space="0" w:color="auto"/>
        <w:left w:val="none" w:sz="0" w:space="0" w:color="auto"/>
        <w:bottom w:val="none" w:sz="0" w:space="0" w:color="auto"/>
        <w:right w:val="none" w:sz="0" w:space="0" w:color="auto"/>
      </w:divBdr>
    </w:div>
    <w:div w:id="285241001">
      <w:bodyDiv w:val="1"/>
      <w:marLeft w:val="0"/>
      <w:marRight w:val="0"/>
      <w:marTop w:val="0"/>
      <w:marBottom w:val="0"/>
      <w:divBdr>
        <w:top w:val="none" w:sz="0" w:space="0" w:color="auto"/>
        <w:left w:val="none" w:sz="0" w:space="0" w:color="auto"/>
        <w:bottom w:val="none" w:sz="0" w:space="0" w:color="auto"/>
        <w:right w:val="none" w:sz="0" w:space="0" w:color="auto"/>
      </w:divBdr>
    </w:div>
    <w:div w:id="1645768768">
      <w:bodyDiv w:val="1"/>
      <w:marLeft w:val="0"/>
      <w:marRight w:val="0"/>
      <w:marTop w:val="0"/>
      <w:marBottom w:val="0"/>
      <w:divBdr>
        <w:top w:val="none" w:sz="0" w:space="0" w:color="auto"/>
        <w:left w:val="none" w:sz="0" w:space="0" w:color="auto"/>
        <w:bottom w:val="none" w:sz="0" w:space="0" w:color="auto"/>
        <w:right w:val="none" w:sz="0" w:space="0" w:color="auto"/>
      </w:divBdr>
    </w:div>
    <w:div w:id="1741098424">
      <w:bodyDiv w:val="1"/>
      <w:marLeft w:val="0"/>
      <w:marRight w:val="0"/>
      <w:marTop w:val="0"/>
      <w:marBottom w:val="0"/>
      <w:divBdr>
        <w:top w:val="none" w:sz="0" w:space="0" w:color="auto"/>
        <w:left w:val="none" w:sz="0" w:space="0" w:color="auto"/>
        <w:bottom w:val="none" w:sz="0" w:space="0" w:color="auto"/>
        <w:right w:val="none" w:sz="0" w:space="0" w:color="auto"/>
      </w:divBdr>
    </w:div>
    <w:div w:id="1883055152">
      <w:bodyDiv w:val="1"/>
      <w:marLeft w:val="0"/>
      <w:marRight w:val="0"/>
      <w:marTop w:val="0"/>
      <w:marBottom w:val="0"/>
      <w:divBdr>
        <w:top w:val="none" w:sz="0" w:space="0" w:color="auto"/>
        <w:left w:val="none" w:sz="0" w:space="0" w:color="auto"/>
        <w:bottom w:val="none" w:sz="0" w:space="0" w:color="auto"/>
        <w:right w:val="none" w:sz="0" w:space="0" w:color="auto"/>
      </w:divBdr>
    </w:div>
    <w:div w:id="2036690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 TargetMode="External"/><Relationship Id="rId13" Type="http://schemas.openxmlformats.org/officeDocument/2006/relationships/hyperlink" Target="https://doi.org/10.2196/21380" TargetMode="External"/><Relationship Id="rId3" Type="http://schemas.openxmlformats.org/officeDocument/2006/relationships/styles" Target="styles.xml"/><Relationship Id="rId7" Type="http://schemas.openxmlformats.org/officeDocument/2006/relationships/hyperlink" Target="https://www.longtermplan.nhs.uk/" TargetMode="External"/><Relationship Id="rId12" Type="http://schemas.openxmlformats.org/officeDocument/2006/relationships/hyperlink" Target="https://doi.org/10.7326/M18-085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080/1364557032000119616" TargetMode="External"/><Relationship Id="rId11" Type="http://schemas.openxmlformats.org/officeDocument/2006/relationships/hyperlink" Target="https://doi.org/10.46658/JBIMES-20-1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atalyst.nejm.org/doi/full/10.1056/CAT.20.0123" TargetMode="External"/><Relationship Id="rId4" Type="http://schemas.openxmlformats.org/officeDocument/2006/relationships/settings" Target="settings.xml"/><Relationship Id="rId9" Type="http://schemas.openxmlformats.org/officeDocument/2006/relationships/hyperlink" Target="https://www.england.nhs.uk/digitaltechnology/" TargetMode="External"/><Relationship Id="rId14" Type="http://schemas.openxmlformats.org/officeDocument/2006/relationships/hyperlink" Target="https://www.who.int/publications/i/item/97892400209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8146AE-6053-4C91-801F-C849E02495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6714</Words>
  <Characters>38275</Characters>
  <Application>Microsoft Office Word</Application>
  <DocSecurity>0</DocSecurity>
  <Lines>318</Lines>
  <Paragraphs>89</Paragraphs>
  <ScaleCrop>false</ScaleCrop>
  <Company/>
  <LinksUpToDate>false</LinksUpToDate>
  <CharactersWithSpaces>44900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obaid ullah</dc:creator>
  <cp:keywords/>
  <dc:description/>
  <cp:lastModifiedBy>Toniece Lee</cp:lastModifiedBy>
  <cp:revision>2</cp:revision>
  <dcterms:created xsi:type="dcterms:W3CDTF">2026-08-14T16:56:00Z</dcterms:created>
  <dcterms:modified xsi:type="dcterms:W3CDTF">2026-08-14T16:56:00Z</dcterms:modified>
</cp:coreProperties>
</file>